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 He was paid in fish, at the official rate of 1.7 fish per hour. He was hoping for 1.8. The relevant form had been pending since before the Pre-Transition drawer was labelled. Most of the Bureau treated him as a remote consultant who occasionally sent useful geometry and then went back to thinking about fish.</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As for the purpose of everything, the Bureau’s unofficial position was that it was probably 42. No one had successfully derived the corresponding question, and the forms required to request it had been missing since before the Pre-Transition drawer was labelled.
There were, of course, children. The Bureau’s official position was that they were a long-term staffing solution and should be discouraged from developing an interest in geometry until after their GCSEs.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Derek had met her once at a Bureau Christmas function that had refused to end on time. She had asked one question about simultaneous events and then left before anyone could answer it properly.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 The panel had scored it highly for clarity of objectives.</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 Trevor wrote the sentence down anyway, under Provisional."</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He suspected it would not remain someone else’s for long. Trevor, for his part, had gone quiet in the specific way that meant he was recalculating several assumptions at once.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
A small official notice was taped to a pillar:
RAIN IS NOT TO BE CONSIDERED EVIDENCE WITHOUT FORM 17B-W.
Beneath it, in different handwriting:
Especially if it falls sideways.
Derek studied the notice for a moment. Someone in the Bureau had clearly been here before him, or after him, or in a reference frame that made the distinction unhelpful. He photographed the notice, filed it under Provisional Geometry, and only then looked back at the rain.</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She had the calm of someone who could leave at any moment and be late for something better.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He suspected it would not remain someone else’s for long. Trevor, for his part, had gone quiet in the specific way that meant he was recalculating several assumptions at once.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at 1.7 fish per hour.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