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 He was paid in fish, at the official rate of 1.7 fish per hour. He was hoping for 1.8. The relevant form had been pending since before the Pre-Transition drawer was labelled. Most of the Bureau treated him as a remote consultant who occasionally sent useful geometry and then went back to thinking about fish.</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As for the purpose of everything, the Bureau’s unofficial position was that it was probably 42. No one had successfully derived the corresponding question, and the forms required to request it had been missing since before the Pre-Transition drawer was labelled.
There were, of course, children. The Bureau’s official position was that they were a long-term staffing solution and should be discouraged from developing an interest in geometry until after their GCSEs.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Derek had met her once at a Bureau Christmas function that had refused to end on time. She had asked one question about simultaneous events and then left before anyone could answer it properly.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 Trevor wrote the sentence down anyway, under Provisional."</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The rest of the country was worse. The Bureau’s unofficial map of Britain included several regions marked simply “Do Not Attempt to Classify.”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
A small official notice was taped to a pillar:
RAIN IS NOT TO BE CONSIDERED EVIDENCE WITHOUT FORM 17B-W.
Beneath it, in different handwriting:
Especially if it falls sideways.
Derek studied the notice for a moment. Someone in the Bureau had clearly been here before him, or after him, or in a reference frame that made the distinction unhelpful. He photographed the notice, filed it under Provisional Geometry, and only then looked back at the rain.</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The rest of the country was worse. The Bureau’s unofficial map of Britain included several regions marked simply “Do Not Attempt to Classify.”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at 1.7 fish per hour.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