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There were, of course, children. Someone had to grow up and fill in the forms. Someone had to pay for the pensions of the people currently failing to prevent the disasters. The Bureau’s official position on children was that they were a long-term staffing solution and should be discouraged from developing an interest in geometry until after their GCSEs. Someone, after all, had to grow up and pay for the pensions of the people currently failing to prevent the disasters.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Some of the older ones still carried the wrong headers, as if the filing system itself had not been fully briefed on the new arrangements. The rest of the country was worse. The Bureau’s unofficial map of Britain included several regions marked simply “Do Not Attempt to Classify.” One of them was in Wales. Two were in Scotland. One moved.
Outside the Bureau, a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Some of the older ones still carried the wrong headers, as if the filing system itself had not been fully briefed on the new arrangements. The rest of the country was worse. The Bureau’s unofficial map of Britain included several regions marked simply “Do Not Attempt to Classify.” One of them was in Wales. Two were in Scotland. One moved.
Outside the Bureau, a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