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pPr>
        <w:spacing w:before="200" w:after="160"/>
      </w:pPr>
      <w:r>
        <w:rPr>
          <w:b/>
          <w:sz w:val="28"/>
          <w:rFonts w:ascii="Palatino Linotype" w:hAnsi="Palatino Linotype"/>
        </w:rPr>
        <w:t>Contents</w:t>
      </w:r>
    </w:p>
    <w:p>
      <w:pPr>
        <w:spacing w:after="40"/>
      </w:pPr>
      <w:hyperlink w:anchor="toc_prologue">
        <w:r>
          <w:rPr>
            <w:color w:val="0563C1"/>
            <w:u w:val="single"/>
            <w:sz w:val="20"/>
            <w:rFonts w:ascii="Palatino Linotype" w:hAnsi="Palatino Linotype"/>
          </w:rPr>
          <w:t>Prologue — In Which the Universe Refuses to Behave</w:t>
        </w:r>
      </w:hyperlink>
    </w:p>
    <w:p>
      <w:pPr>
        <w:spacing w:after="40"/>
      </w:pPr>
      <w:hyperlink w:anchor="toc_ch1">
        <w:r>
          <w:rPr>
            <w:color w:val="0563C1"/>
            <w:u w:val="single"/>
            <w:sz w:val="20"/>
            <w:rFonts w:ascii="Palatino Linotype" w:hAnsi="Palatino Linotype"/>
          </w:rPr>
          <w:t>Chapter 1 — The Murder That Hadn’t Happened Yet</w:t>
        </w:r>
      </w:hyperlink>
    </w:p>
    <w:p>
      <w:pPr>
        <w:spacing w:after="40"/>
      </w:pPr>
      <w:hyperlink w:anchor="toc_ch2">
        <w:r>
          <w:rPr>
            <w:color w:val="0563C1"/>
            <w:u w:val="single"/>
            <w:sz w:val="20"/>
            <w:rFonts w:ascii="Palatino Linotype" w:hAnsi="Palatino Linotype"/>
          </w:rPr>
          <w:t>Chapter 2 — The Lorentz Transform</w:t>
        </w:r>
      </w:hyperlink>
    </w:p>
    <w:p>
      <w:pPr>
        <w:spacing w:after="40"/>
      </w:pPr>
      <w:hyperlink w:anchor="toc_ch3">
        <w:r>
          <w:rPr>
            <w:color w:val="0563C1"/>
            <w:u w:val="single"/>
            <w:sz w:val="20"/>
            <w:rFonts w:ascii="Palatino Linotype" w:hAnsi="Palatino Linotype"/>
          </w:rPr>
          <w:t>Chapter 3 — The Weight of Time</w:t>
        </w:r>
      </w:hyperlink>
    </w:p>
    <w:p>
      <w:pPr>
        <w:spacing w:after="40"/>
      </w:pPr>
      <w:hyperlink w:anchor="toc_ch4">
        <w:r>
          <w:rPr>
            <w:color w:val="0563C1"/>
            <w:u w:val="single"/>
            <w:sz w:val="20"/>
            <w:rFonts w:ascii="Palatino Linotype" w:hAnsi="Palatino Linotype"/>
          </w:rPr>
          <w:t>Chapter 4 — The Man Who Had Mislaid Time</w:t>
        </w:r>
      </w:hyperlink>
    </w:p>
    <w:p>
      <w:pPr>
        <w:spacing w:after="40"/>
      </w:pPr>
      <w:hyperlink w:anchor="toc_ch5">
        <w:r>
          <w:rPr>
            <w:color w:val="0563C1"/>
            <w:u w:val="single"/>
            <w:sz w:val="20"/>
            <w:rFonts w:ascii="Palatino Linotype" w:hAnsi="Palatino Linotype"/>
          </w:rPr>
          <w:t>Chapter 5 — The Apple Problem</w:t>
        </w:r>
      </w:hyperlink>
    </w:p>
    <w:p>
      <w:pPr>
        <w:spacing w:after="40"/>
      </w:pPr>
      <w:hyperlink w:anchor="toc_ch6">
        <w:r>
          <w:rPr>
            <w:color w:val="0563C1"/>
            <w:u w:val="single"/>
            <w:sz w:val="20"/>
            <w:rFonts w:ascii="Palatino Linotype" w:hAnsi="Palatino Linotype"/>
          </w:rPr>
          <w:t>Chapter 6 — The Fourth Coordinate</w:t>
        </w:r>
      </w:hyperlink>
    </w:p>
    <w:p>
      <w:pPr>
        <w:spacing w:after="40"/>
      </w:pPr>
      <w:hyperlink w:anchor="toc_ch7">
        <w:r>
          <w:rPr>
            <w:color w:val="0563C1"/>
            <w:u w:val="single"/>
            <w:sz w:val="20"/>
            <w:rFonts w:ascii="Palatino Linotype" w:hAnsi="Palatino Linotype"/>
          </w:rPr>
          <w:t>Chapter 7 — The Cold Rain, the Underground and the Problem with Poetry</w:t>
        </w:r>
      </w:hyperlink>
    </w:p>
    <w:p>
      <w:pPr>
        <w:spacing w:after="40"/>
      </w:pPr>
      <w:hyperlink w:anchor="toc_ch8">
        <w:r>
          <w:rPr>
            <w:color w:val="0563C1"/>
            <w:u w:val="single"/>
            <w:sz w:val="20"/>
            <w:rFonts w:ascii="Palatino Linotype" w:hAnsi="Palatino Linotype"/>
          </w:rPr>
          <w:t>Chapter 8 — The Open-Door Principle</w:t>
        </w:r>
      </w:hyperlink>
    </w:p>
    <w:p>
      <w:pPr>
        <w:spacing w:after="40"/>
      </w:pPr>
      <w:hyperlink w:anchor="toc_ch9">
        <w:r>
          <w:rPr>
            <w:color w:val="0563C1"/>
            <w:u w:val="single"/>
            <w:sz w:val="20"/>
            <w:rFonts w:ascii="Palatino Linotype" w:hAnsi="Palatino Linotype"/>
          </w:rPr>
          <w:t>Chapter 9 — The Relativistic Ride</w:t>
        </w:r>
      </w:hyperlink>
    </w:p>
    <w:p>
      <w:pPr>
        <w:spacing w:after="40"/>
      </w:pPr>
      <w:hyperlink w:anchor="toc_ch10">
        <w:r>
          <w:rPr>
            <w:color w:val="0563C1"/>
            <w:u w:val="single"/>
            <w:sz w:val="20"/>
            <w:rFonts w:ascii="Palatino Linotype" w:hAnsi="Palatino Linotype"/>
          </w:rPr>
          <w:t>Chapter 10 — The Ordinary Cucumber Problem</w:t>
        </w:r>
      </w:hyperlink>
    </w:p>
    <w:p>
      <w:pPr>
        <w:spacing w:after="40"/>
      </w:pPr>
      <w:hyperlink w:anchor="toc_ch11">
        <w:r>
          <w:rPr>
            <w:color w:val="0563C1"/>
            <w:u w:val="single"/>
            <w:sz w:val="20"/>
            <w:rFonts w:ascii="Palatino Linotype" w:hAnsi="Palatino Linotype"/>
          </w:rPr>
          <w:t>Chapter 11 — The Hologram Problem</w:t>
        </w:r>
      </w:hyperlink>
    </w:p>
    <w:p>
      <w:pPr>
        <w:spacing w:after="40"/>
      </w:pPr>
      <w:hyperlink w:anchor="toc_ch12">
        <w:r>
          <w:rPr>
            <w:color w:val="0563C1"/>
            <w:u w:val="single"/>
            <w:sz w:val="20"/>
            <w:rFonts w:ascii="Palatino Linotype" w:hAnsi="Palatino Linotype"/>
          </w:rPr>
          <w:t>Chapter 12 — Everything Everywhere All at Once</w:t>
        </w:r>
      </w:hyperlink>
    </w:p>
    <w:p>
      <w:pPr>
        <w:spacing w:after="40"/>
      </w:pPr>
      <w:hyperlink w:anchor="toc_ch13">
        <w:r>
          <w:rPr>
            <w:color w:val="0563C1"/>
            <w:u w:val="single"/>
            <w:sz w:val="20"/>
            <w:rFonts w:ascii="Palatino Linotype" w:hAnsi="Palatino Linotype"/>
          </w:rPr>
          <w:t>Chapter 13 — The Station That Wasn’t Quite There</w:t>
        </w:r>
      </w:hyperlink>
    </w:p>
    <w:p>
      <w:pPr>
        <w:spacing w:after="40"/>
      </w:pPr>
      <w:hyperlink w:anchor="toc_ch14">
        <w:r>
          <w:rPr>
            <w:color w:val="0563C1"/>
            <w:u w:val="single"/>
            <w:sz w:val="20"/>
            <w:rFonts w:ascii="Palatino Linotype" w:hAnsi="Palatino Linotype"/>
          </w:rPr>
          <w:t>Chapter 14 — The Distant Train That Arrived Before It Left</w:t>
        </w:r>
      </w:hyperlink>
    </w:p>
    <w:p>
      <w:pPr>
        <w:spacing w:after="40"/>
      </w:pPr>
      <w:hyperlink w:anchor="toc_ch15">
        <w:r>
          <w:rPr>
            <w:color w:val="0563C1"/>
            <w:u w:val="single"/>
            <w:sz w:val="20"/>
            <w:rFonts w:ascii="Palatino Linotype" w:hAnsi="Palatino Linotype"/>
          </w:rPr>
          <w:t>Chapter 15 — Sherlock and the Final Geometry</w:t>
        </w:r>
      </w:hyperlink>
    </w:p>
    <w:p>
      <w:pPr>
        <w:spacing w:after="40"/>
      </w:pPr>
      <w:hyperlink w:anchor="toc_appendix">
        <w:r>
          <w:rPr>
            <w:color w:val="0563C1"/>
            <w:u w:val="single"/>
            <w:sz w:val="20"/>
            <w:rFonts w:ascii="Palatino Linotype" w:hAnsi="Palatino Linotype"/>
          </w:rPr>
          <w:t>Appendix — The Physics, Apparently</w:t>
        </w:r>
      </w:hyperlink>
    </w:p>
    <w:p>
      <w:pPr>
        <w:spacing w:after="40"/>
      </w:pPr>
      <w:hyperlink w:anchor="toc_credits">
        <w:r>
          <w:rPr>
            <w:color w:val="0563C1"/>
            <w:u w:val="single"/>
            <w:sz w:val="20"/>
            <w:rFonts w:ascii="Palatino Linotype" w:hAnsi="Palatino Linotype"/>
          </w:rPr>
          <w:t>Book Credits</w:t>
        </w:r>
      </w:hyperlink>
    </w:p>
    <w:p/>
    <w:p w14:paraId="53A9E1DC" w14:textId="77777777" w:rsidR="00A1675C" w:rsidRDefault="00000000">
      <w:pPr>
        <w:pStyle w:val="Heading1"/>
        <w:pageBreakBefore/>
        <w:widowControl/>
        <w:spacing w:before="480" w:after="240"/>
        <w:ind w:firstLine="0"/>
        <w:jc w:val="center"/>
      </w:pPr>
      <w:bookmarkStart w:id="86972" w:name="toc_prologue"/>
      <w:r>
        <w:rPr>
          <w:rFonts w:ascii="Palatino" w:hAnsi="Palatino" w:cs="Palatino Linotype" w:eastAsia="Palatino Linotype"/>
          <w:sz w:val="22"/>
        </w:rPr>
        <w:t>Prologue</w:t>
      </w:r>
      <w:bookmarkEnd w:id="86972"/>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 He was paid in fish, at the official rate of 1.7 fish per hour. He was hoping for 1.8. The relevant form had been pending since before the Pre-Transition drawer was labelled. Most of the Bureau treated him as a remote consultant who occasionally sent useful geometry and then went back to thinking about fish.</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bookmarkStart w:id="1917" w:name="toc_ch1"/>
      <w:r>
        <w:rPr>
          <w:rFonts w:ascii="Palatino" w:hAnsi="Palatino" w:cs="Palatino Linotype" w:eastAsia="Palatino Linotype"/>
          <w:sz w:val="22"/>
        </w:rPr>
        <w:t>Chapter 1</w:t>
      </w:r>
      <w:bookmarkEnd w:id="1917"/>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As for the purpose of everything, the Bureau’s unofficial position was that it was probably 42. No one had successfully derived the corresponding question, and the forms required to request it had been missing since before the Pre-Transition drawer was labelled.
There were, of course, children. The Bureau’s official position was that they were a long-term staffing solution and should be discouraged from developing an interest in geometry until after their GCSEs. Social security, like spacetime, required a continuous supply of new observers.
London supplied them without comment. The city had always been better at producing new observers than at agreeing what they were observing.”</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Derek had met her once at a Bureau Christmas function that had refused to end on time. She had asked one question about simultaneous events and then left before anyone could answer it properly.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 The panel had scored it highly for clarity of objectives.</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recognise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 Trevor wrote the sentence down anyway, under Provisional.”</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bookmarkStart w:id="47877" w:name="toc_ch2"/>
      <w:r>
        <w:rPr>
          <w:rFonts w:ascii="Palatino" w:hAnsi="Palatino" w:cs="Palatino Linotype" w:eastAsia="Palatino Linotype"/>
          <w:sz w:val="22"/>
        </w:rPr>
        <w:t>Chapter 2</w:t>
      </w:r>
      <w:bookmarkEnd w:id="47877"/>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He suspected it would not remain someone else’s for long. Trevor, for his part, had gone quiet in the specific way that meant he was recalculating several assumptions at once.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bookmarkStart w:id="75488" w:name="toc_ch3"/>
      <w:r>
        <w:rPr>
          <w:rFonts w:ascii="Palatino" w:hAnsi="Palatino" w:cs="Palatino Linotype" w:eastAsia="Palatino Linotype"/>
          <w:sz w:val="22"/>
        </w:rPr>
        <w:t>Chapter 3</w:t>
      </w:r>
      <w:bookmarkEnd w:id="75488"/>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bookmarkStart w:id="4282" w:name="toc_ch4"/>
      <w:r>
        <w:rPr>
          <w:rFonts w:ascii="Palatino" w:hAnsi="Palatino" w:cs="Palatino Linotype" w:eastAsia="Palatino Linotype"/>
          <w:sz w:val="22"/>
        </w:rPr>
        <w:t>Chapter 4</w:t>
      </w:r>
      <w:bookmarkEnd w:id="4282"/>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bookmarkStart w:id="60497" w:name="toc_ch5"/>
      <w:r>
        <w:rPr>
          <w:rFonts w:ascii="Palatino" w:hAnsi="Palatino" w:cs="Palatino Linotype" w:eastAsia="Palatino Linotype"/>
          <w:sz w:val="22"/>
        </w:rPr>
        <w:t>Chapter 5</w:t>
      </w:r>
      <w:bookmarkEnd w:id="60497"/>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bookmarkStart w:id="88456" w:name="toc_ch6"/>
      <w:r>
        <w:rPr>
          <w:rFonts w:ascii="Palatino" w:hAnsi="Palatino" w:cs="Palatino Linotype" w:eastAsia="Palatino Linotype"/>
          <w:sz w:val="22"/>
        </w:rPr>
        <w:t>Chapter 6</w:t>
      </w:r>
      <w:bookmarkEnd w:id="88456"/>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bookmarkStart w:id="85218" w:name="toc_ch7"/>
      <w:r>
        <w:rPr>
          <w:rFonts w:ascii="Palatino" w:hAnsi="Palatino" w:cs="Palatino Linotype" w:eastAsia="Palatino Linotype"/>
          <w:sz w:val="22"/>
        </w:rPr>
        <w:t>Chapter 7</w:t>
      </w:r>
      <w:bookmarkEnd w:id="85218"/>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
A small official notice was taped to a pillar:
RAIN IS NOT TO BE CONSIDERED EVIDENCE WITHOUT FORM 17B-W.
Beneath it, in different handwriting:
Especially if it falls sideways.
Derek studied the notice for a moment. Someone in the Bureau had clearly been here before him, or after him, or in a reference frame that made the distinction unhelpful. He photographed the notice, filed it under Provisional Geometry, and only then looked back at the rain.</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bookmarkStart w:id="5592" w:name="toc_ch8"/>
      <w:r>
        <w:rPr>
          <w:rFonts w:ascii="Palatino" w:hAnsi="Palatino" w:cs="Palatino Linotype" w:eastAsia="Palatino Linotype"/>
          <w:sz w:val="22"/>
        </w:rPr>
        <w:t>Chapter 8</w:t>
      </w:r>
      <w:bookmarkEnd w:id="5592"/>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bookmarkStart w:id="23664" w:name="toc_ch9"/>
      <w:r>
        <w:rPr>
          <w:rFonts w:ascii="Palatino" w:hAnsi="Palatino" w:cs="Palatino Linotype" w:eastAsia="Palatino Linotype"/>
          <w:sz w:val="22"/>
        </w:rPr>
        <w:t>Chapter 9</w:t>
      </w:r>
      <w:bookmarkEnd w:id="23664"/>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bookmarkStart w:id="81812" w:name="toc_ch10"/>
      <w:r>
        <w:rPr>
          <w:rFonts w:ascii="Palatino" w:hAnsi="Palatino" w:cs="Palatino Linotype" w:eastAsia="Palatino Linotype"/>
          <w:sz w:val="22"/>
        </w:rPr>
        <w:t>Chapter 10</w:t>
      </w:r>
      <w:bookmarkEnd w:id="81812"/>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bookmarkStart w:id="90478" w:name="toc_ch11"/>
      <w:r>
        <w:rPr>
          <w:rFonts w:ascii="Palatino" w:hAnsi="Palatino" w:cs="Palatino Linotype" w:eastAsia="Palatino Linotype"/>
          <w:sz w:val="22"/>
        </w:rPr>
        <w:t>Chapter 11</w:t>
      </w:r>
      <w:bookmarkEnd w:id="90478"/>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bookmarkStart w:id="11568" w:name="toc_ch12"/>
      <w:r>
        <w:rPr>
          <w:rFonts w:ascii="Palatino" w:hAnsi="Palatino" w:cs="Palatino Linotype" w:eastAsia="Palatino Linotype"/>
          <w:sz w:val="22"/>
        </w:rPr>
        <w:t>Chapter 12</w:t>
      </w:r>
      <w:bookmarkEnd w:id="11568"/>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bookmarkStart w:id="64166" w:name="toc_ch13"/>
      <w:r>
        <w:rPr>
          <w:rFonts w:ascii="Palatino" w:hAnsi="Palatino" w:cs="Palatino Linotype" w:eastAsia="Palatino Linotype"/>
          <w:sz w:val="22"/>
        </w:rPr>
        <w:t>Chapter 13</w:t>
      </w:r>
      <w:bookmarkEnd w:id="64166"/>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bookmarkStart w:id="40678" w:name="toc_ch14"/>
      <w:r>
        <w:rPr>
          <w:rFonts w:ascii="Palatino" w:hAnsi="Palatino" w:cs="Palatino Linotype" w:eastAsia="Palatino Linotype"/>
          <w:sz w:val="22"/>
        </w:rPr>
        <w:t>Chapter 14</w:t>
      </w:r>
      <w:bookmarkEnd w:id="40678"/>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She had the calm of someone who could leave at any moment and be late for something better.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He suspected it would not remain someone else’s for long. Trevor, for his part, had gone quiet in the specific way that meant he was recalculating several assumptions at once.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bookmarkStart w:id="53781" w:name="toc_ch15"/>
      <w:r>
        <w:rPr>
          <w:rFonts w:ascii="Palatino" w:hAnsi="Palatino" w:cs="Palatino Linotype" w:eastAsia="Palatino Linotype"/>
          <w:sz w:val="22"/>
        </w:rPr>
        <w:t>Chapter 15</w:t>
      </w:r>
      <w:bookmarkEnd w:id="53781"/>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at 1.7 fish per hour.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bookmarkStart w:id="58999" w:name="toc_appendix"/>
      <w:r>
        <w:rPr>
          <w:rFonts w:ascii="Palatino" w:hAnsi="Palatino" w:cs="Palatino Linotype" w:eastAsia="Palatino Linotype"/>
          <w:sz w:val="22"/>
        </w:rPr>
        <w:t>Appendix — The Physics, Apparently</w:t>
      </w:r>
      <w:bookmarkEnd w:id="58999"/>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bookmarkStart w:id="85859" w:name="toc_credits"/>
      <w:r>
        <w:rPr>
          <w:rFonts w:ascii="Palatino" w:hAnsi="Palatino" w:cs="Palatino Linotype" w:eastAsia="Palatino Linotype"/>
          <w:sz w:val="22"/>
        </w:rPr>
        <w:t>Book Credits</w:t>
      </w:r>
      <w:bookmarkEnd w:id="85859"/>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