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Finite-Dimensional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measured curves and surfaces sitting inside ℝ³ and found, with Gauss, that curvature does not need the surrounding space. This chapter takes that seriously: tensors, manifolds and forms describe geometry in any dimension, with no ambient space at all.</w:t>
      </w:r>
    </w:p>
    <w:p>
      <w:pPr>
        <w:keepLines/>
        <w:pBdr>
          <w:left w:val="single" w:sz="18" w:space="8" w:color="2E6F62"/>
        </w:pBdr>
        <w:shd w:val="clear" w:color="auto" w:fill="EEF6F3"/>
        <w:spacing w:after="240" w:line="276" w:lineRule="auto"/>
        <w:ind w:left="432" w:right="432"/>
        <w:jc w:val="both"/>
      </w:pPr>
      <w:r>
        <w:t xml:space="preserve">It also sets up the next step. At each point everything here is finite-dimensional linear algebra. </w:t>
      </w:r>
      <w:hyperlink w:anchor="ch_35" w:history="1">
        <w:r>
          <w:rPr>
            <w:color w:val="0563C1"/>
            <w:u w:val="single"/>
          </w:rPr>
          <w:t xml:space="preserve">Functional Analysis</w:t>
        </w:r>
      </w:hyperlink>
      <w:r>
        <w:t xml:space="preserve"> keeps the linear algebra and drops the finite dimension, because the spaces of functions that PDEs need are infinite-dimensional.</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