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Schrodinger Equation</w:t>
      </w:r>
    </w:p>
    <w:p>
      <w:pPr>
        <w:pStyle w:val="Subtitle"/>
        <w:jc w:val="center"/>
      </w:pPr>
      <w:r>
        <w:t>Prologue 7 of the Complete Quantum Electrodynamics Course</w:t>
      </w:r>
    </w:p>
    <w:p>
      <w:r>
        <w:br/>
      </w:r>
    </w:p>
    <w:p>
      <w:pPr>
        <w:jc w:val="center"/>
      </w:pPr>
      <w:r>
        <w:rPr>
          <w:b/>
          <w:sz w:val="26"/>
        </w:rPr>
        <w:t>A ket does not sit still. The Hamiltonian is the machine that rotates its arrows as time passes</w:t>
      </w:r>
    </w:p>
    <w:p>
      <w:r>
        <w:br/>
        <w:br/>
      </w:r>
    </w:p>
    <w:p>
      <w:pPr>
        <w:jc w:val="center"/>
      </w:pPr>
      <w:r>
        <w:t>First edition, 2026</w:t>
      </w:r>
    </w:p>
    <w:p>
      <w:r>
        <w:br w:type="page"/>
      </w:r>
    </w:p>
    <w:p>
      <w:pPr>
        <w:pStyle w:val="Heading2"/>
      </w:pPr>
      <w:r>
        <w:t>How to use this prologue</w:t>
      </w:r>
    </w:p>
    <w:p>
      <w:r>
        <w:t>Prologue 1's arrows rotate with time. Prologue 6 named the situation |ψ⟩. This prologue writes the law that rotates it: the Schrödinger equation. Lesson 11 derives it properly and solves the free particle and the oscillator. Here is the idiot-proof version: iℏ times how fast the ket is changing equals a machine Ĥ acting on the ket. Ĥ is called the Hamiltonian because it is the energy. Expect four to six hours.</w:t>
      </w:r>
    </w:p>
    <w:p>
      <w:pPr>
        <w:pStyle w:val="Heading3"/>
      </w:pPr>
      <w:r>
        <w:t>Learning objectives</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18).</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|ψ(t)⟩=e^{−iEt/ℏ}|ψ(0)⟩. The whole ket multiplies by a rotating arrow of length 1. Every sandwich ⟨φ|ψ(t)⟩ picks up that rotation. Probabilities, being lengths squared, do not notice a global rotation. That is a stationary state.</w:t>
      </w:r>
    </w:p>
    <w:p>
      <w:r>
        <w:rPr>
          <w:b/>
          <w:i/>
        </w:rPr>
        <w:t>Worked example 1</w:t>
      </w:r>
    </w:p>
    <w:p>
      <w:r>
        <w:t>Prologue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2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3 What Schrödinger cannot do</w:t>
      </w:r>
    </w:p>
    <w:p>
      <w:r>
        <w:t>The equation treats time as a driver and space as a label on the wave function. Relativity will not allow that split. Lesson 17 tries Klein–Gordon, Lesson 19 succeeds with Dirac. This prologue is the nonrelativistic machine, and it is still the right machine for atoms when v≪c, including the hydrogen that Lesson 76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Result of this prologue</w:t>
            </w:r>
          </w:p>
        </w:tc>
        <w:tc>
          <w:tcPr>
            <w:tcW w:type="dxa" w:w="2448"/>
            <w:shd w:fill="1F4E78"/>
            <w:vAlign w:val="center"/>
            <w:tcMar>
              <w:top w:w="100" w:type="dxa"/>
              <w:start w:w="100" w:type="dxa"/>
              <w:bottom w:w="100" w:type="dxa"/>
              <w:end w:w="100" w:type="dxa"/>
            </w:tcMar>
          </w:tcPr>
          <w:p>
            <w:r>
              <w:rPr>
                <w:b/>
                <w:color w:val="FFFFFF"/>
              </w:rPr>
              <w:t>Where it is used</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iℏ d</w:t>
            </w:r>
          </w:p>
        </w:tc>
        <w:tc>
          <w:tcPr>
            <w:tcW w:type="dxa" w:w="2448"/>
            <w:vAlign w:val="center"/>
            <w:tcMar>
              <w:top w:w="100" w:type="dxa"/>
              <w:start w:w="100" w:type="dxa"/>
              <w:bottom w:w="100" w:type="dxa"/>
              <w:end w:w="100" w:type="dxa"/>
            </w:tcMar>
          </w:tcPr>
          <w:p>
            <w:r>
              <w:t>ψ⟩/dt=Ĥ</w:t>
            </w:r>
          </w:p>
        </w:tc>
        <w:tc>
          <w:tcPr>
            <w:tcW w:type="dxa" w:w="2448"/>
            <w:vAlign w:val="center"/>
            <w:tcMar>
              <w:top w:w="100" w:type="dxa"/>
              <w:start w:w="100" w:type="dxa"/>
              <w:bottom w:w="100" w:type="dxa"/>
              <w:end w:w="100" w:type="dxa"/>
            </w:tcMar>
          </w:tcPr>
          <w:p>
            <w:r>
              <w:t>ψ⟩</w:t>
            </w:r>
          </w:p>
        </w:tc>
        <w:tc>
          <w:tcPr>
            <w:tcW w:type="dxa" w:w="2448"/>
            <w:vAlign w:val="center"/>
            <w:tcMar>
              <w:top w:w="100" w:type="dxa"/>
              <w:start w:w="100" w:type="dxa"/>
              <w:bottom w:w="100" w:type="dxa"/>
              <w:end w:w="100" w:type="dxa"/>
            </w:tcMar>
          </w:tcPr>
          <w:p>
            <w:r>
              <w:t>Lesson 11, in full</w:t>
            </w:r>
          </w:p>
        </w:tc>
      </w:tr>
      <w:tr>
        <w:tc>
          <w:tcPr>
            <w:tcW w:type="dxa" w:w="2448"/>
            <w:vAlign w:val="center"/>
            <w:shd w:fill="EAF2F8"/>
            <w:tcMar>
              <w:top w:w="100" w:type="dxa"/>
              <w:start w:w="100" w:type="dxa"/>
              <w:bottom w:w="100" w:type="dxa"/>
              <w:end w:w="100" w:type="dxa"/>
            </w:tcMar>
          </w:tcPr>
          <w:p>
            <w:r>
              <w:t>Rotation rate E/ℏ</w:t>
            </w:r>
          </w:p>
        </w:tc>
        <w:tc>
          <w:tcPr>
            <w:tcW w:type="dxa" w:w="2448"/>
            <w:vAlign w:val="center"/>
            <w:shd w:fill="EAF2F8"/>
            <w:tcMar>
              <w:top w:w="100" w:type="dxa"/>
              <w:start w:w="100" w:type="dxa"/>
              <w:bottom w:w="100" w:type="dxa"/>
              <w:end w:w="100" w:type="dxa"/>
            </w:tcMar>
          </w:tcPr>
          <w:p>
            <w:r>
              <w:t>Prologue 1 colour; photon energy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Stationary P</w:t>
            </w:r>
          </w:p>
        </w:tc>
        <w:tc>
          <w:tcPr>
            <w:tcW w:type="dxa" w:w="2448"/>
            <w:vAlign w:val="center"/>
            <w:tcMar>
              <w:top w:w="100" w:type="dxa"/>
              <w:start w:w="100" w:type="dxa"/>
              <w:bottom w:w="100" w:type="dxa"/>
              <w:end w:w="100" w:type="dxa"/>
            </w:tcMar>
          </w:tcPr>
          <w:p>
            <w:r>
              <w:t>Energy eigenstates, Lesson 11</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bl>
    <w:p>
      <w:pPr>
        <w:pStyle w:val="Heading2"/>
      </w:pPr>
      <w:r>
        <w:t>Summary</w:t>
      </w:r>
    </w:p>
    <w:p>
      <w:pPr>
        <w:pStyle w:val="ListNumber"/>
        <w:numPr>
          <w:ilvl w:val="0"/>
          <w:numId w:val="10"/>
        </w:numPr>
      </w:pPr>
      <w:r>
        <w:t>The Schrödinger equation says how a ket changes.</w:t>
      </w:r>
    </w:p>
    <w:p>
      <w:pPr>
        <w:pStyle w:val="ListNumber"/>
        <w:numPr>
          <w:ilvl w:val="0"/>
          <w:numId w:val="10"/>
        </w:numPr>
      </w:pPr>
      <w:r>
        <w:t>Ĥ is the energy machine.</w:t>
      </w:r>
    </w:p>
    <w:p>
      <w:pPr>
        <w:pStyle w:val="ListNumber"/>
        <w:numPr>
          <w:ilvl w:val="0"/>
          <w:numId w:val="10"/>
        </w:numPr>
      </w:pPr>
      <w:r>
        <w:t>One energy: rotate, probabilities sit still.</w:t>
      </w:r>
    </w:p>
    <w:p>
      <w:pPr>
        <w:pStyle w:val="ListNumber"/>
        <w:numPr>
          <w:ilvl w:val="0"/>
          <w:numId w:val="10"/>
        </w:numPr>
      </w:pPr>
      <w:r>
        <w:t>Several energies: relative arrows move, interference ticks.</w:t>
      </w:r>
    </w:p>
    <w:p>
      <w:pPr>
        <w:pStyle w:val="ListNumber"/>
        <w:numPr>
          <w:ilvl w:val="0"/>
          <w:numId w:val="10"/>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958"/>
        <w:gridCol w:w="1958"/>
        <w:gridCol w:w="1958"/>
        <w:gridCol w:w="1958"/>
        <w:gridCol w:w="1958"/>
      </w:tblGrid>
      <w:tr>
        <w:tc>
          <w:tcPr>
            <w:tcW w:type="dxa" w:w="1958"/>
            <w:shd w:fill="1F4E78"/>
            <w:vAlign w:val="center"/>
            <w:tcMar>
              <w:top w:w="100" w:type="dxa"/>
              <w:start w:w="100" w:type="dxa"/>
              <w:bottom w:w="100" w:type="dxa"/>
              <w:end w:w="100" w:type="dxa"/>
            </w:tcMar>
          </w:tcPr>
          <w:p>
            <w:r>
              <w:rPr>
                <w:b/>
                <w:color w:val="FFFFFF"/>
              </w:rPr>
              <w:t>No</w:t>
            </w:r>
          </w:p>
        </w:tc>
        <w:tc>
          <w:tcPr>
            <w:tcW w:type="dxa" w:w="1958"/>
            <w:shd w:fill="1F4E78"/>
            <w:vAlign w:val="center"/>
            <w:tcMar>
              <w:top w:w="100" w:type="dxa"/>
              <w:start w:w="100" w:type="dxa"/>
              <w:bottom w:w="100" w:type="dxa"/>
              <w:end w:w="100" w:type="dxa"/>
            </w:tcMar>
          </w:tcPr>
          <w:p>
            <w:r>
              <w:rPr>
                <w:b/>
                <w:color w:val="FFFFFF"/>
              </w:rPr>
              <w:t>Problem</w:t>
            </w:r>
          </w:p>
        </w:tc>
        <w:tc>
          <w:tcPr>
            <w:tcW w:type="dxa" w:w="1958"/>
            <w:shd w:fill="1F4E78"/>
            <w:vAlign w:val="center"/>
            <w:tcMar>
              <w:top w:w="100" w:type="dxa"/>
              <w:start w:w="100" w:type="dxa"/>
              <w:bottom w:w="100" w:type="dxa"/>
              <w:end w:w="100" w:type="dxa"/>
            </w:tcMar>
          </w:tcPr>
          <w:p>
            <w:r>
              <w:rPr>
                <w:b/>
                <w:color w:val="FFFFFF"/>
              </w:rPr>
            </w:r>
          </w:p>
        </w:tc>
        <w:tc>
          <w:tcPr>
            <w:tcW w:type="dxa" w:w="1958"/>
            <w:shd w:fill="1F4E78"/>
            <w:vAlign w:val="center"/>
            <w:tcMar>
              <w:top w:w="100" w:type="dxa"/>
              <w:start w:w="100" w:type="dxa"/>
              <w:bottom w:w="100" w:type="dxa"/>
              <w:end w:w="100" w:type="dxa"/>
            </w:tcMar>
          </w:tcPr>
          <w:p>
            <w:r>
              <w:rPr>
                <w:b/>
                <w:color w:val="FFFFFF"/>
              </w:rPr>
            </w:r>
          </w:p>
        </w:tc>
        <w:tc>
          <w:tcPr>
            <w:tcW w:type="dxa" w:w="1958"/>
            <w:shd w:fill="1F4E78"/>
            <w:vAlign w:val="center"/>
            <w:tcMar>
              <w:top w:w="100" w:type="dxa"/>
              <w:start w:w="100" w:type="dxa"/>
              <w:bottom w:w="100" w:type="dxa"/>
              <w:end w:w="100" w:type="dxa"/>
            </w:tcMar>
          </w:tcPr>
          <w:p>
            <w:r>
              <w:rPr>
                <w:b/>
                <w:color w:val="FFFFFF"/>
              </w:rPr>
            </w:r>
          </w:p>
        </w:tc>
      </w:tr>
      <w:tr>
        <w:tc>
          <w:tcPr>
            <w:tcW w:type="dxa" w:w="1958"/>
            <w:vAlign w:val="center"/>
            <w:tcMar>
              <w:top w:w="100" w:type="dxa"/>
              <w:start w:w="100" w:type="dxa"/>
              <w:bottom w:w="100" w:type="dxa"/>
              <w:end w:w="100" w:type="dxa"/>
            </w:tcMar>
          </w:tcPr>
          <w:p>
            <w:r>
              <w:t>1</w:t>
            </w:r>
          </w:p>
        </w:tc>
        <w:tc>
          <w:tcPr>
            <w:tcW w:type="dxa" w:w="1958"/>
            <w:vAlign w:val="center"/>
            <w:tcMar>
              <w:top w:w="100" w:type="dxa"/>
              <w:start w:w="100" w:type="dxa"/>
              <w:bottom w:w="100" w:type="dxa"/>
              <w:end w:w="100" w:type="dxa"/>
            </w:tcMar>
          </w:tcPr>
          <w:p>
            <w:r>
              <w:t>Say iℏ d</w:t>
            </w:r>
          </w:p>
        </w:tc>
        <w:tc>
          <w:tcPr>
            <w:tcW w:type="dxa" w:w="1958"/>
            <w:vAlign w:val="center"/>
            <w:tcMar>
              <w:top w:w="100" w:type="dxa"/>
              <w:start w:w="100" w:type="dxa"/>
              <w:bottom w:w="100" w:type="dxa"/>
              <w:end w:w="100" w:type="dxa"/>
            </w:tcMar>
          </w:tcPr>
          <w:p>
            <w:r>
              <w:t>ψ⟩/dt=Ĥ</w:t>
            </w:r>
          </w:p>
        </w:tc>
        <w:tc>
          <w:tcPr>
            <w:tcW w:type="dxa" w:w="1958"/>
            <w:vAlign w:val="center"/>
            <w:tcMar>
              <w:top w:w="100" w:type="dxa"/>
              <w:start w:w="100" w:type="dxa"/>
              <w:bottom w:w="100" w:type="dxa"/>
              <w:end w:w="100" w:type="dxa"/>
            </w:tcMar>
          </w:tcPr>
          <w:p>
            <w:r>
              <w:t>ψ⟩ in six words.</w:t>
            </w: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2</w:t>
            </w:r>
          </w:p>
        </w:tc>
        <w:tc>
          <w:tcPr>
            <w:tcW w:type="dxa" w:w="1958"/>
            <w:vAlign w:val="center"/>
            <w:shd w:fill="EAF2F8"/>
            <w:tcMar>
              <w:top w:w="100" w:type="dxa"/>
              <w:start w:w="100" w:type="dxa"/>
              <w:bottom w:w="100" w:type="dxa"/>
              <w:end w:w="100" w:type="dxa"/>
            </w:tcMar>
          </w:tcPr>
          <w:p>
            <w:r>
              <w:t>If Ĥ</w:t>
            </w:r>
          </w:p>
        </w:tc>
        <w:tc>
          <w:tcPr>
            <w:tcW w:type="dxa" w:w="1958"/>
            <w:vAlign w:val="center"/>
            <w:shd w:fill="EAF2F8"/>
            <w:tcMar>
              <w:top w:w="100" w:type="dxa"/>
              <w:start w:w="100" w:type="dxa"/>
              <w:bottom w:w="100" w:type="dxa"/>
              <w:end w:w="100" w:type="dxa"/>
            </w:tcMar>
          </w:tcPr>
          <w:p>
            <w:r>
              <w:t>ψ⟩=E</w:t>
            </w:r>
          </w:p>
        </w:tc>
        <w:tc>
          <w:tcPr>
            <w:tcW w:type="dxa" w:w="1958"/>
            <w:vAlign w:val="center"/>
            <w:shd w:fill="EAF2F8"/>
            <w:tcMar>
              <w:top w:w="100" w:type="dxa"/>
              <w:start w:w="100" w:type="dxa"/>
              <w:bottom w:w="100" w:type="dxa"/>
              <w:end w:w="100" w:type="dxa"/>
            </w:tcMar>
          </w:tcPr>
          <w:p>
            <w:r>
              <w:t>ψ⟩, write</w:t>
            </w:r>
          </w:p>
        </w:tc>
        <w:tc>
          <w:tcPr>
            <w:tcW w:type="dxa" w:w="1958"/>
            <w:vAlign w:val="center"/>
            <w:shd w:fill="EAF2F8"/>
            <w:tcMar>
              <w:top w:w="100" w:type="dxa"/>
              <w:start w:w="100" w:type="dxa"/>
              <w:bottom w:w="100" w:type="dxa"/>
              <w:end w:w="100" w:type="dxa"/>
            </w:tcMar>
          </w:tcPr>
          <w:p>
            <w:r>
              <w:t>ψ(t)⟩.</w:t>
            </w:r>
          </w:p>
        </w:tc>
      </w:tr>
      <w:tr>
        <w:tc>
          <w:tcPr>
            <w:tcW w:type="dxa" w:w="1958"/>
            <w:vAlign w:val="center"/>
            <w:tcMar>
              <w:top w:w="100" w:type="dxa"/>
              <w:start w:w="100" w:type="dxa"/>
              <w:bottom w:w="100" w:type="dxa"/>
              <w:end w:w="100" w:type="dxa"/>
            </w:tcMar>
          </w:tcPr>
          <w:p>
            <w:r>
              <w:t>3</w:t>
            </w:r>
          </w:p>
        </w:tc>
        <w:tc>
          <w:tcPr>
            <w:tcW w:type="dxa" w:w="1958"/>
            <w:vAlign w:val="center"/>
            <w:tcMar>
              <w:top w:w="100" w:type="dxa"/>
              <w:start w:w="100" w:type="dxa"/>
              <w:bottom w:w="100" w:type="dxa"/>
              <w:end w:w="100" w:type="dxa"/>
            </w:tcMar>
          </w:tcPr>
          <w:p>
            <w:r>
              <w:t>Why don't probabilities change in a stationary state?</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4</w:t>
            </w:r>
          </w:p>
        </w:tc>
        <w:tc>
          <w:tcPr>
            <w:tcW w:type="dxa" w:w="1958"/>
            <w:vAlign w:val="center"/>
            <w:shd w:fill="EAF2F8"/>
            <w:tcMar>
              <w:top w:w="100" w:type="dxa"/>
              <w:start w:w="100" w:type="dxa"/>
              <w:bottom w:w="100" w:type="dxa"/>
              <w:end w:w="100" w:type="dxa"/>
            </w:tcMar>
          </w:tcPr>
          <w:p>
            <w:r>
              <w:t>Connect blue-versus-red rotation to E.</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5</w:t>
            </w:r>
          </w:p>
        </w:tc>
        <w:tc>
          <w:tcPr>
            <w:tcW w:type="dxa" w:w="1958"/>
            <w:vAlign w:val="center"/>
            <w:tcMar>
              <w:top w:w="100" w:type="dxa"/>
              <w:start w:w="100" w:type="dxa"/>
              <w:bottom w:w="100" w:type="dxa"/>
              <w:end w:w="100" w:type="dxa"/>
            </w:tcMar>
          </w:tcPr>
          <w:p>
            <w:r>
              <w:t>What happens if two energies are superposed?</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6</w:t>
            </w:r>
          </w:p>
        </w:tc>
        <w:tc>
          <w:tcPr>
            <w:tcW w:type="dxa" w:w="1958"/>
            <w:vAlign w:val="center"/>
            <w:shd w:fill="EAF2F8"/>
            <w:tcMar>
              <w:top w:w="100" w:type="dxa"/>
              <w:start w:w="100" w:type="dxa"/>
              <w:bottom w:w="100" w:type="dxa"/>
              <w:end w:w="100" w:type="dxa"/>
            </w:tcMar>
          </w:tcPr>
          <w:p>
            <w:r>
              <w:t>Why must this equation change for a fast electron?</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7</w:t>
            </w:r>
          </w:p>
        </w:tc>
        <w:tc>
          <w:tcPr>
            <w:tcW w:type="dxa" w:w="1958"/>
            <w:vAlign w:val="center"/>
            <w:tcMar>
              <w:top w:w="100" w:type="dxa"/>
              <w:start w:w="100" w:type="dxa"/>
              <w:bottom w:w="100" w:type="dxa"/>
              <w:end w:w="100" w:type="dxa"/>
            </w:tcMar>
          </w:tcPr>
          <w:p>
            <w:r>
              <w:t>Where is it solved in this course?</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8</w:t>
            </w:r>
          </w:p>
        </w:tc>
        <w:tc>
          <w:tcPr>
            <w:tcW w:type="dxa" w:w="1958"/>
            <w:vAlign w:val="center"/>
            <w:shd w:fill="EAF2F8"/>
            <w:tcMar>
              <w:top w:w="100" w:type="dxa"/>
              <w:start w:w="100" w:type="dxa"/>
              <w:bottom w:w="100" w:type="dxa"/>
              <w:end w:w="100" w:type="dxa"/>
            </w:tcMar>
          </w:tcPr>
          <w:p>
            <w:r>
              <w:t>Challenge: if ℏ=1, what is the period of the phase e^{−iEt}?</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bl>
    <w:p>
      <w:pPr>
        <w:pStyle w:val="Heading2"/>
      </w:pPr>
      <w:r>
        <w:t>Solutions</w:t>
      </w:r>
    </w:p>
    <w:p>
      <w:r>
        <w:rPr>
          <w:b/>
        </w:rPr>
        <w:t>1.</w:t>
      </w:r>
      <w:r>
        <w:t xml:space="preserve"> </w:t>
      </w:r>
      <w:r>
        <w:t>Energy rotates the situation's arrows.</w:t>
      </w:r>
    </w:p>
    <w:p>
      <w:r>
        <w:rPr>
          <w:b/>
        </w:rPr>
        <w:t>2.</w:t>
      </w:r>
      <w:r>
        <w:t xml:space="preserve"> </w:t>
      </w:r>
      <w:r>
        <w:t>e^{−iEt/ℏ}|ψ(0)⟩.</w:t>
      </w:r>
    </w:p>
    <w:p>
      <w:r>
        <w:rPr>
          <w:b/>
        </w:rPr>
        <w:t>3.</w:t>
      </w:r>
      <w:r>
        <w:t xml:space="preserve"> </w:t>
      </w:r>
      <w:r>
        <w:t>A common rotating arrow of length 1 cancels in |⟨φ|ψ⟩|².</w:t>
      </w:r>
    </w:p>
    <w:p>
      <w:r>
        <w:rPr>
          <w:b/>
        </w:rPr>
        <w:t>4.</w:t>
      </w:r>
      <w:r>
        <w:t xml:space="preserve"> </w:t>
      </w:r>
      <w:r>
        <w:t>E=hf, rate E/ℏ=2πf; blue has larger f.</w:t>
      </w:r>
    </w:p>
    <w:p>
      <w:r>
        <w:rPr>
          <w:b/>
        </w:rPr>
        <w:t>5.</w:t>
      </w:r>
      <w:r>
        <w:t xml:space="preserve"> </w:t>
      </w:r>
      <w:r>
        <w:t>The relative phase moves; P can tick.</w:t>
      </w:r>
    </w:p>
    <w:p>
      <w:r>
        <w:rPr>
          <w:b/>
        </w:rPr>
        <w:t>6.</w:t>
      </w:r>
      <w:r>
        <w:t xml:space="preserve"> </w:t>
      </w:r>
      <w:r>
        <w:t>Time and space must enter symmetrically; Schrödinger does not.</w:t>
      </w:r>
    </w:p>
    <w:p>
      <w:r>
        <w:rPr>
          <w:b/>
        </w:rPr>
        <w:t>7.</w:t>
      </w:r>
      <w:r>
        <w:t xml:space="preserve"> </w:t>
      </w:r>
      <w:r>
        <w:t>Lesson 11.</w:t>
      </w:r>
    </w:p>
    <w:p>
      <w:r>
        <w:rPr>
          <w:b/>
        </w:rPr>
        <w:t>8.</w:t>
      </w:r>
      <w:r>
        <w:t xml:space="preserve"> </w:t>
      </w:r>
      <w:r>
        <w:t>T=2π/E.</w:t>
      </w:r>
    </w:p>
    <w:p>
      <w:pPr>
        <w:pStyle w:val="Heading2"/>
      </w:pPr>
      <w:r>
        <w:t>Mastery checklist</w:t>
      </w:r>
    </w:p>
    <w:p>
      <w:pPr>
        <w:pStyle w:val="ListBullet"/>
      </w:pPr>
      <w:r>
        <w:t>I can read the Schrödinger equation as "energy rotates kets."</w:t>
      </w:r>
    </w:p>
    <w:p>
      <w:pPr>
        <w:pStyle w:val="ListBullet"/>
      </w:pPr>
      <w:r>
        <w:t>I can explain a stationary state without saying "nothing happens."</w:t>
      </w:r>
    </w:p>
    <w:p>
      <w:pPr>
        <w:pStyle w:val="ListBullet"/>
      </w:pPr>
      <w:r>
        <w:t>I know Lesson 11 is the full derivation.</w:t>
      </w:r>
    </w:p>
    <w:p>
      <w:pPr>
        <w:pStyle w:val="Heading2"/>
      </w:pPr>
      <w:r>
        <w:t>Next lesson</w:t>
      </w:r>
    </w:p>
    <w:p>
      <w:r>
        <w:t>Prologue 8 connects laboratory S-parameters — the microwave engineer's in-and-out arrows — to the S-matrix this course uses for particles.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Prologue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