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Predictions</w:t>
      </w:r>
    </w:p>
    <w:p>
      <w:pPr>
        <w:pStyle w:val="Subtitle"/>
        <w:jc w:val="center"/>
      </w:pPr>
      <w:r>
        <w:t>Lesson 60 of the Complete Quantum Electrodynamics Course</w:t>
      </w:r>
    </w:p>
    <w:p>
      <w:r>
        <w:br/>
      </w:r>
    </w:p>
    <w:p>
      <w:pPr>
        <w:jc w:val="center"/>
      </w:pPr>
      <w:r>
        <w:rPr>
          <w:b/>
          <w:sz w:val="26"/>
        </w:rPr>
        <w:t>Combining Lessons 53–59 into real angular distributions, separating the photon-exchange peak from the collinear fermion poles, and naming where these five processes actually show up in a laboratory</w:t>
      </w:r>
    </w:p>
    <w:p>
      <w:r>
        <w:br/>
        <w:br/>
      </w:r>
    </w:p>
    <w:p>
      <w:pPr>
        <w:jc w:val="center"/>
      </w:pPr>
      <w:r>
        <w:t>Course edition 1.0</w:t>
      </w:r>
    </w:p>
    <w:p>
      <w:r>
        <w:br w:type="page"/>
      </w:r>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Using the identity 1−cosθ=2sin²(θ/2), Lesson 52,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0"/>
        </w:numPr>
      </w:pPr>
      <w:r>
        <w:t>Combining Lessons 53–57's amplitudes with Lesson 58's phase-space formula gives five explicit differential cross sections, collected in Section 1's table.</w:t>
      </w:r>
    </w:p>
    <w:p>
      <w:pPr>
        <w:pStyle w:val="ListNumber"/>
        <w:numPr>
          <w:ilvl w:val="0"/>
          <w:numId w:val="1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0"/>
        </w:numPr>
      </w:pPr>
      <w:r>
        <w:t>Every differential cross section in this course's table falls as 1/s at fixed angle as the collision energy grows, a dimensional consequence of the ratios of Mandelstam variables involved.</w:t>
      </w:r>
    </w:p>
    <w:p>
      <w:pPr>
        <w:pStyle w:val="ListNumber"/>
        <w:numPr>
          <w:ilvl w:val="0"/>
          <w:numId w:val="10"/>
        </w:numPr>
      </w:pPr>
      <w:r>
        <w:t>Each of the five processes has a real role in experimental physics: polarimetry, structure studies, medical imaging, and particle-shower physics among them.</w:t>
      </w:r>
    </w:p>
    <w:p>
      <w:pPr>
        <w:pStyle w:val="ListNumber"/>
        <w:numPr>
          <w:ilvl w:val="0"/>
          <w:numId w:val="1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