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nobody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back in March,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on the grounds that a kettle with opinions about earth was a professional insult. He put the tea where her hand would find it and did not mention the door. She had a face on that said she was already holding one thing too many.</w:t>
      </w:r>
    </w:p>
    <w:p>
      <w:pPr>
        <w:pStyle w:val="BodyText"/>
      </w:pPr>
      <w:r>
        <w:t xml:space="preserve">He would mention it later. He was usually right about when later was.</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in green ink, because the Act required a colour other than black and green was the least likely to be mistaken for an endorsement. She read them now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asking her to come to Marsham Street on Wednesday at ten. Fainrose wrote that she would be </w:t>
      </w:r>
      <w:r>
        <w:rPr>
          <w:i/>
        </w:rPr>
        <w:t xml:space="preserve">grateful</w:t>
      </w:r>
      <w:r>
        <w:t xml:space="preserve">, removed the word, and then put it back, because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decided later, the only sensible answer anyone had given her all year. Mrs Kind kept the agency open the other four days because, she said, on Tuesdays a woman came in trying to get to her sister’s funeral on a budget that did not cover it, “and somebody has to be there who still thinks that is the important kind of problem.”</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which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 Mrs Kind, who had once explained to a coach party why Lourdes is not on the way to Benidorm, recognised the air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twice,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extremely eminent men told him that his atoms were a bookkeeping fiction and that a serious science described what could be observed. He had defended himself very well, in public, and it had cost him a great deal. He had been ill for long periods in a way his century did not know how to name.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 which by September was where the department went.</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and I told him the truth, and asked him not to write it down, and he refused, and he was right to.” Eilstein’s hands were on the back of the chair. “And I want the next thing minuted before anybody is tempted to be sentimental. He died four months later and it had nothing to do with me.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all the way about a man in Croydon who owed him a fiver and a woman in Requisitions who owed him an explanation.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umbrella across her knees,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nobody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very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Nashville told this department that whoever built this list would be building a trusted club out of the wreckage of a universal fund, and that everyone left out would be right to resent it.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“I have told you what a barrier is,” said Arakawa.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which was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