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Interaction Vertices</w:t>
      </w:r>
    </w:p>
    <w:p>
      <w:pPr>
        <w:pStyle w:val="Subtitle"/>
        <w:jc w:val="center"/>
      </w:pPr>
      <w:r>
        <w:t>Lesson 48 of the Complete Quantum Electrodynamics Course</w:t>
      </w:r>
    </w:p>
    <w:p>
      <w:r>
        <w:br/>
      </w:r>
    </w:p>
    <w:p>
      <w:pPr>
        <w:jc w:val="center"/>
      </w:pPr>
      <w:r>
        <w:rPr>
          <w:b/>
          <w:sz w:val="26"/>
        </w:rPr>
        <w:t>The complete set of six external-line factors attached to the electron-photon vertex, the fermion-flow assembly rule, and why the same ieγ^μ serves every combination</w:t>
      </w:r>
    </w:p>
    <w:p>
      <w:r>
        <w:br/>
        <w:br/>
      </w:r>
    </w:p>
    <w:p>
      <w:pPr>
        <w:jc w:val="center"/>
      </w:pPr>
      <w:r>
        <w:t>Course edition 1.0</w:t>
      </w:r>
    </w:p>
    <w:p>
      <w:r>
        <w:br w:type="page"/>
      </w:r>
    </w:p>
    <w:p>
      <w:pPr>
        <w:pStyle w:val="Heading2"/>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3"/>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2"/>
      </w:pPr>
      <w:r>
        <w:t>1 Recap and strategy</w:t>
      </w:r>
    </w:p>
    <w:p>
      <w:pPr>
        <w:pStyle w:val="Heading3"/>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3"/>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2"/>
      </w:pPr>
      <w:r>
        <w:t>2 The electron legs, recalled</w:t>
      </w:r>
    </w:p>
    <w:p>
      <w:pPr>
        <w:pStyle w:val="Heading3"/>
      </w:pPr>
      <w:r>
        <w:t>2.1 Incoming electron</w:t>
      </w:r>
    </w:p>
    <w:p>
      <w:r>
        <w:t>From Lesson 44, Section 2.1, the b_s(p) term of ψ(x) contributes u_s(p)e^(−ipx) for an incoming electron of momentum p, spin s.</w:t>
      </w:r>
    </w:p>
    <w:p>
      <w:pPr>
        <w:pStyle w:val="Heading3"/>
      </w:pPr>
      <w:r>
        <w:t>2.2 Outgoing electron</w:t>
      </w:r>
    </w:p>
    <w:p>
      <w:r>
        <w:t>From Lesson 44, Section 2.2, the b_s′†(p′) term of ψ̄(x) contributes ū_s′(p′)e^(ip′x) for an outgoing electron of momentum p′, spin s′.</w:t>
      </w:r>
    </w:p>
    <w:p>
      <w:pPr>
        <w:pStyle w:val="Heading2"/>
      </w:pPr>
      <w:r>
        <w:t>3 The positron legs</w:t>
      </w:r>
    </w:p>
    <w:p>
      <w:pPr>
        <w:pStyle w:val="Heading3"/>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m:t>
          </m:r>
          <m:d>
            <m:dPr/>
            <m:e>
              <m:r>
                <m:t xml:space="preserve">x</m:t>
              </m:r>
            </m:e>
          </m:d>
          <m:r>
            <m:t xml:space="preserve">=</m:t>
          </m:r>
          <m:r>
            <m:t xml:space="preserve">ψ†</m:t>
          </m:r>
          <m:d>
            <m:dPr/>
            <m:e>
              <m:r>
                <m:t xml:space="preserve">x</m:t>
              </m:r>
            </m:e>
          </m:d>
          <m:sSup>
            <m:e>
              <m:r>
                <m:t xml:space="preserve">γ</m:t>
              </m:r>
            </m:e>
            <m:sup>
              <m:r>
                <m:t xml:space="preserve">0</m:t>
              </m:r>
            </m:sup>
          </m:sSup>
          <m:r>
            <m:t xml:space="preserve">=</m:t>
          </m:r>
          <m:r>
            <m:t xml:space="preserve">∫</m:t>
          </m:r>
          <m:r>
            <m:t xml:space="preserve"> </m:t>
          </m:r>
          <m:f>
            <m:num>
              <m:sSup>
                <m:e>
                  <m:r>
                    <m:t xml:space="preserve">d</m:t>
                  </m:r>
                </m:e>
                <m:sup>
                  <m:r>
                    <m:t xml:space="preserve">3</m:t>
                  </m:r>
                </m:sup>
              </m:sSup>
              <m:r>
                <m:t xml:space="preserve">p</m:t>
              </m:r>
            </m:num>
            <m:den>
              <m:sSup>
                <m:e>
                  <m:sSup>
                    <m:e>
                      <m:d>
                        <m:dPr/>
                        <m:e>
                          <m:r>
                            <m:t xml:space="preserve">2π</m:t>
                          </m:r>
                        </m:e>
                      </m:d>
                    </m:e>
                    <m:sup>
                      <m:r>
                        <m:t xml:space="preserve">3</m:t>
                      </m:r>
                    </m:sup>
                  </m:sSup>
                  <m:d>
                    <m:dPr/>
                    <m:e>
                      <m:r>
                        <m:t xml:space="preserve">2E</m:t>
                      </m:r>
                    </m:e>
                  </m:d>
                </m:e>
                <m:sup>
                  <m:r>
                    <m:t xml:space="preserve">−</m:t>
                  </m:r>
                  <m:f>
                    <m:num>
                      <m:r>
                        <m:t xml:space="preserve">1</m:t>
                      </m:r>
                    </m:num>
                    <m:den>
                      <m:r>
                        <m:t xml:space="preserve">2</m:t>
                      </m:r>
                    </m:den>
                  </m:f>
                </m:sup>
              </m:sSup>
            </m:den>
          </m:f>
          <m:r>
            <m:t xml:space="preserve"> </m:t>
          </m:r>
          <m:sSub>
            <m:e>
              <m:r>
                <m:t xml:space="preserve">Σ</m:t>
              </m:r>
            </m:e>
            <m:sub>
              <m:r>
                <m:t xml:space="preserve">s</m:t>
              </m:r>
            </m:sub>
          </m:sSub>
          <m:r>
            <m:t xml:space="preserve"> </m:t>
          </m:r>
          <m:d>
            <m:dPr>
              <m:begChr m:val="["/>
              <m:endChr m:val="]"/>
            </m:dPr>
            <m:e>
              <m:sSubSup>
                <m:e>
                  <m:r>
                    <m:t xml:space="preserve">b</m:t>
                  </m:r>
                </m:e>
                <m:sub>
                  <m:r>
                    <m:t xml:space="preserve">s</m:t>
                  </m:r>
                </m:sub>
                <m:sup>
                  <m:r>
                    <m:t xml:space="preserve">†</m:t>
                  </m:r>
                </m:sup>
              </m:sSubSup>
              <m:d>
                <m:dPr/>
                <m:e>
                  <m:r>
                    <m:t xml:space="preserve">p</m:t>
                  </m:r>
                </m:e>
              </m:d>
              <m:r>
                <m:t xml:space="preserve"> </m:t>
              </m:r>
              <m:sSub>
                <m:e>
                  <m:r>
                    <m:t xml:space="preserve">ū</m:t>
                  </m:r>
                </m:e>
                <m:sub>
                  <m:r>
                    <m:t xml:space="preserve">s</m:t>
                  </m:r>
                </m:sub>
              </m:sSub>
              <m:d>
                <m:dPr/>
                <m:e>
                  <m:r>
                    <m:t xml:space="preserve">p</m:t>
                  </m:r>
                </m:e>
              </m:d>
              <m:r>
                <m:t xml:space="preserve"> </m:t>
              </m:r>
              <m:sSup>
                <m:e>
                  <m:r>
                    <m:t xml:space="preserve">e</m:t>
                  </m:r>
                </m:e>
                <m:sup>
                  <m:r>
                    <m:t xml:space="preserve">ipx</m:t>
                  </m:r>
                </m:sup>
              </m:sSup>
              <m:r>
                <m:t xml:space="preserve">+</m:t>
              </m:r>
              <m:sSub>
                <m:e>
                  <m:r>
                    <m:t xml:space="preserve">d</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 </m:t>
              </m:r>
              <m:sSup>
                <m:e>
                  <m:r>
                    <m:t xml:space="preserve">e</m:t>
                  </m:r>
                </m:e>
                <m:sup>
                  <m:r>
                    <m:t xml:space="preserve">−</m:t>
                  </m:r>
                  <m:r>
                    <m:t xml:space="preserve">ipx</m:t>
                  </m:r>
                </m:sup>
              </m:sSup>
            </m:e>
          </m:d>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3"/>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sSub>
            <m:e>
              <m:r>
                <m:t xml:space="preserve">v̄</m:t>
              </m:r>
            </m:e>
            <m:sub>
              <m:r>
                <m:t xml:space="preserve">s</m:t>
              </m:r>
            </m:sub>
          </m:sSub>
          <m:d>
            <m:dPr/>
            <m:e>
              <m:r>
                <m:t xml:space="preserve">p</m:t>
              </m:r>
            </m:e>
          </m:d>
          <m:r>
            <m:t xml:space="preserve"> </m:t>
          </m:r>
          <m:sSup>
            <m:e>
              <m:r>
                <m:t xml:space="preserve">e</m:t>
              </m:r>
            </m:e>
            <m:sup>
              <m:r>
                <m:t xml:space="preserve">−</m:t>
              </m:r>
              <m:r>
                <m:t xml:space="preserve">ipx</m:t>
              </m:r>
            </m:sup>
          </m:sSup>
        </m:oMath>
      </m:oMathPara>
    </w:p>
    <w:p>
      <w:pPr>
        <w:pStyle w:val="Heading3"/>
      </w:pPr>
      <w:r>
        <w:t>3.3 Outgoing positron</w:t>
      </w:r>
    </w:p>
    <w:p>
      <w:r>
        <w:t>Since ψ(x)'s d_s′†(p′) term creates a positron, contracting against a final state containing a positron of momentum p′, spin s′, picks out</w:t>
      </w:r>
    </w:p>
    <w:p>
      <w:pPr>
        <w:spacing w:before="100" w:after="160"/>
        <w:jc w:val="center"/>
      </w:pPr>
      <m:oMathPara>
        <m:oMath>
          <m:sSub>
            <m:e>
              <m:r>
                <m:t xml:space="preserve">v</m:t>
              </m:r>
            </m:e>
            <m:sub>
              <m:r>
                <m:t xml:space="preserve">s′</m:t>
              </m:r>
            </m:sub>
          </m:sSub>
          <m:d>
            <m:dPr/>
            <m:e>
              <m:r>
                <m:t xml:space="preserve">p′</m:t>
              </m:r>
            </m:e>
          </m:d>
          <m:r>
            <m:t xml:space="preserve"> </m:t>
          </m:r>
          <m:sSup>
            <m:e>
              <m:r>
                <m:t xml:space="preserve">e</m:t>
              </m:r>
            </m:e>
            <m:sup>
              <m:r>
                <m:t xml:space="preserve">ip′</m:t>
              </m:r>
              <m:r>
                <m:t xml:space="preserve">x</m:t>
              </m:r>
            </m:sup>
          </m:sSup>
        </m:oMath>
      </m:oMathPara>
    </w:p>
    <w:p>
      <w:r>
        <w:t>exactly the reverse bar-pattern from the electron case: an incoming positron uses the barred spinor v̄, and an outgoing positron uses the unbarred spinor v.</w:t>
      </w:r>
    </w:p>
    <w:p>
      <w:r>
        <w:rPr>
          <w:b/>
          <w:i/>
        </w:rP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2"/>
      </w:pPr>
      <w:r>
        <w:t>4 The photon legs</w:t>
      </w:r>
    </w:p>
    <w:p>
      <w:pPr>
        <w:pStyle w:val="Heading3"/>
      </w:pPr>
      <w:r>
        <w:t>4.1 Incoming photon</w:t>
      </w:r>
    </w:p>
    <w:p>
      <w:r>
        <w:t>From Lesson 44, Section 2.3, A_μ(x)'s annihilation piece contributes ε_λ,μ(k)e^(−ikx) for an incoming photon.</w:t>
      </w:r>
    </w:p>
    <w:p>
      <w:pPr>
        <w:pStyle w:val="Heading3"/>
      </w:pPr>
      <w:r>
        <w:t>4.2 Outgoing photon</w:t>
      </w:r>
    </w:p>
    <w:p>
      <w:r>
        <w:t>The creation piece of A^i(x)'s mode expansion (Lesson 37), ∫d³k/(2π)³(2ω)^(−1/2)Σ_λε_λ^i(k)a_λ†(k)e^(ikx), contracted against a final state containing a photon of momentum k, polarization λ, contributes</w:t>
      </w:r>
    </w:p>
    <w:p>
      <w:pPr>
        <w:spacing w:before="100" w:after="160"/>
        <w:jc w:val="center"/>
      </w:pPr>
      <m:oMathPara>
        <m:oMath>
          <m:sSub>
            <m:e>
              <m:r>
                <m:t xml:space="preserve">ε</m:t>
              </m:r>
            </m:e>
            <m:sub>
              <m:r>
                <m:t xml:space="preserve">λ</m:t>
              </m:r>
            </m:sub>
          </m:sSub>
          <m:r>
            <m:t xml:space="preserve">,</m:t>
          </m:r>
          <m:r>
            <m:t xml:space="preserve">μ</m:t>
          </m:r>
          <m:d>
            <m:dPr/>
            <m:e>
              <m:r>
                <m:t xml:space="preserve">k</m:t>
              </m:r>
            </m:e>
          </m:d>
          <m:r>
            <m:t xml:space="preserve"> </m:t>
          </m:r>
          <m:sSup>
            <m:e>
              <m:r>
                <m:t xml:space="preserve">e</m:t>
              </m:r>
            </m:e>
            <m:sup>
              <m:r>
                <m:t xml:space="preserve">ikx</m:t>
              </m:r>
            </m:sup>
          </m:sSup>
        </m:oMath>
      </m:oMathPara>
    </w:p>
    <w:p>
      <w:r>
        <w:t>In a general convention, an outgoing photon's factor would be ε*_λ,μ(k), the complex conjugate of the incoming factor; this course's polarization vectors are real (Lesson 37), so ε*=ε and no distinct notation is needed, though the exponential's sign still flips between incoming (e^(−ikx)) and outgoing (e^(ikx)).</w:t>
      </w:r>
    </w:p>
    <w:p>
      <w:r>
        <w:rPr>
          <w:b/>
          <w:i/>
        </w:rP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2"/>
      </w:pPr>
      <w:r>
        <w:t>5 The complete table and an assembly example</w:t>
      </w:r>
    </w:p>
    <w:p>
      <w:pPr>
        <w:pStyle w:val="Heading3"/>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3"/>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m:t>
          </m:r>
          <m:r>
            <m:t xml:space="preserve"> </m:t>
          </m:r>
          <m:r>
            <m:t xml:space="preserve">e</m:t>
          </m:r>
          <m:r>
            <m:t xml:space="preserve"> </m:t>
          </m:r>
          <m:sSub>
            <m:e>
              <m:r>
                <m:t xml:space="preserve">v̄</m:t>
              </m:r>
            </m:e>
            <m:sub>
              <m:sSub>
                <m:e>
                  <m:r>
                    <m:t xml:space="preserve">s</m:t>
                  </m:r>
                </m:e>
                <m:sub>
                  <m:r>
                    <m:t xml:space="preserve">+</m:t>
                  </m:r>
                </m:sub>
              </m:sSub>
            </m:sub>
          </m:sSub>
          <m:d>
            <m:dPr/>
            <m:e>
              <m:sSub>
                <m:e>
                  <m:r>
                    <m:t xml:space="preserve">p</m:t>
                  </m:r>
                </m:e>
                <m:sub>
                  <m:r>
                    <m:t xml:space="preserve">+</m:t>
                  </m:r>
                </m:sub>
              </m:sSub>
            </m:e>
          </m:d>
          <m:r>
            <m:t xml:space="preserve"> </m:t>
          </m:r>
          <m:sSup>
            <m:e>
              <m:r>
                <m:t xml:space="preserve">γ</m:t>
              </m:r>
            </m:e>
            <m:sup>
              <m:r>
                <m:t xml:space="preserve">μ</m:t>
              </m:r>
            </m:sup>
          </m:sSup>
          <m:r>
            <m:t xml:space="preserve"> </m:t>
          </m:r>
          <m:sSub>
            <m:e>
              <m:r>
                <m:t xml:space="preserve">u</m:t>
              </m:r>
            </m:e>
            <m:sub>
              <m:r>
                <m:t xml:space="preserve">s</m:t>
              </m:r>
            </m:sub>
          </m:sSub>
          <m:d>
            <m:dPr/>
            <m:e>
              <m:r>
                <m:t xml:space="preserve">p</m:t>
              </m:r>
            </m:e>
          </m:d>
          <m:r>
            <m:t xml:space="preserve"> </m:t>
          </m:r>
          <m:sSub>
            <m:e>
              <m:r>
                <m:t xml:space="preserve">ε</m:t>
              </m:r>
            </m:e>
            <m:sub>
              <m:r>
                <m:t xml:space="preserve">λ</m:t>
              </m:r>
            </m:sub>
          </m:sSub>
          <m:r>
            <m:t xml:space="preserve">,</m:t>
          </m:r>
          <m:r>
            <m:t xml:space="preserve">μ</m:t>
          </m:r>
          <m:d>
            <m:dPr/>
            <m:e>
              <m:r>
                <m:t xml:space="preserve">k</m:t>
              </m:r>
            </m:e>
          </m:d>
        </m:oMath>
      </m:oMathPara>
    </w:p>
    <w:p>
      <w:r>
        <w:t>exactly parallel in structure to Lesson 44, Section 3.3's ū(p′)γ^μu(p)ε_μ(k), with v̄(p_+) now occupying the position ū(p′) occupied there.</w:t>
      </w:r>
    </w:p>
    <w:p>
      <w:r>
        <w:rPr>
          <w:b/>
          <w:i/>
        </w:rP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2"/>
      </w:pPr>
      <w:r>
        <w:t>6 Why one vertex factor serves every combination</w:t>
      </w:r>
    </w:p>
    <w:p>
      <w:pPr>
        <w:pStyle w:val="Heading3"/>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3"/>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r>
        <w:t>Lesson 49 now has every ingredient needed to state the complete, formal Feynman rules of QED: the vertex of Lesson 44, the propagators of Lessons 45–47, and this lesson's six external-line factors.</w:t>
      </w:r>
    </w:p>
    <w:p>
      <w:pPr>
        <w:pStyle w:val="Heading2"/>
      </w:pPr>
      <w:r>
        <w:t>8 Summary</w:t>
      </w:r>
    </w:p>
    <w:p>
      <w:pPr>
        <w:pStyle w:val="ListNumber"/>
        <w:numPr>
          <w:ilvl w:val="0"/>
          <w:numId w:val="10"/>
        </w:numPr>
      </w:pPr>
      <w:r>
        <w:t>The vertex factor ieγ^μ, derived in Lesson 44, is unchanged by which specific particles occupy a diagram's legs.</w:t>
      </w:r>
    </w:p>
    <w:p>
      <w:pPr>
        <w:pStyle w:val="ListNumber"/>
        <w:numPr>
          <w:ilvl w:val="0"/>
          <w:numId w:val="10"/>
        </w:numPr>
      </w:pPr>
      <w:r>
        <w:t>Conjugating ψ's mode expansion shows ψ̄ contains the positron's annihilation operator and the electron's creation operator, the reverse of ψ itself.</w:t>
      </w:r>
    </w:p>
    <w:p>
      <w:pPr>
        <w:pStyle w:val="ListNumber"/>
        <w:numPr>
          <w:ilvl w:val="0"/>
          <w:numId w:val="10"/>
        </w:numPr>
      </w:pPr>
      <w:r>
        <w:t>An incoming positron is read off from ψ̄ as v̄(p); an outgoing positron is read off from ψ as v(p′), the reverse of the electron's u/ū assignment.</w:t>
      </w:r>
    </w:p>
    <w:p>
      <w:pPr>
        <w:pStyle w:val="ListNumber"/>
        <w:numPr>
          <w:ilvl w:val="0"/>
          <w:numId w:val="10"/>
        </w:numPr>
      </w:pPr>
      <w:r>
        <w:t>An outgoing photon's factor, ε_λ,μ(k)e^(ikx), differs from the incoming factor only in the sign of the exponent, since this course's polarization vectors are real.</w:t>
      </w:r>
    </w:p>
    <w:p>
      <w:pPr>
        <w:pStyle w:val="ListNumber"/>
        <w:numPr>
          <w:ilvl w:val="0"/>
          <w:numId w:val="10"/>
        </w:numPr>
      </w:pPr>
      <w:r>
        <w:t>The general assembly rule places a barred spinor to the left of the vertex factor and an unbarred spinor to the right, regardless of which specific particle or antiparticle is involved.</w:t>
      </w:r>
    </w:p>
    <w:p>
      <w:pPr>
        <w:pStyle w:val="ListNumber"/>
        <w:numPr>
          <w:ilvl w:val="0"/>
          <w:numId w:val="10"/>
        </w:numPr>
      </w:pPr>
      <w:r>
        <w:t>A single-vertex assembly for e⁻e⁺→γ, like Lesson 44's e⁻γ→e⁻ vertex, is not a complete physical process on its own.</w:t>
      </w:r>
    </w:p>
    <w:p>
      <w:pPr>
        <w:pStyle w:val="ListNumber"/>
        <w:numPr>
          <w:ilvl w:val="0"/>
          <w:numId w:val="10"/>
        </w:numPr>
      </w:pPr>
      <w:r>
        <w:t>The same coupling e appears in every leg combination, consistent with the universality established in Lesson 43.</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2"/>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ε*_λ,μ(k) of the incoming factor ε_λ,μ(k), since creation and annihilation pieces of a field are always related by conjugation; Lesson 37 fixed a convention with two real transverse polarization vectors, so ε*_λ,μ(k)=ε_λ,μ(k)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2"/>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2"/>
      </w:pPr>
      <w:r>
        <w:t>Next lesson</w:t>
      </w:r>
    </w:p>
    <w:p>
      <w:r>
        <w:t>Lesson 49 collects this lesson's six leg factors, the three propagators of Lessons 45–47, and Lesson 44's vertex into the complete, formal Feynman rules of QED, the recipe used to write down any diagram's amplitude directly from its picture.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48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2026-10-02T02:08:33Z</dcterms:created>
  <dcterms:modified xsi:type="dcterms:W3CDTF">2026-10-02T02:08:33Z</dcterms:modified>
  <cp:category/>
</cp:coreProperties>
</file>