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Symmetries</w:t>
      </w:r>
    </w:p>
    <w:p>
      <w:pPr>
        <w:pStyle w:val="Subtitle"/>
        <w:jc w:val="center"/>
      </w:pPr>
      <w:r>
        <w:t>Lesson 29 of Quantum, Actually, Volume 2: A QED Course</w:t>
      </w:r>
    </w:p>
    <w:p>
      <w:pPr>
        <w:jc w:val="center"/>
      </w:pPr>
      <w:r>
        <w:t>Lothar J. Musiol</w:t>
      </w:r>
    </w:p>
    <w:p>
      <w:r>
        <w:br/>
      </w:r>
    </w:p>
    <w:p>
      <w:pPr>
        <w:jc w:val="center"/>
      </w:pPr>
      <w:r>
        <w:rPr>
          <w:b/>
          <w:sz w:val="26"/>
        </w:rPr>
        <w:t>Symmetry groups, generators and their algebra, the Poincare symmetries of spacetime, internal symmetries, and the charge rule for building invariant Lagrangians</w:t>
      </w:r>
    </w:p>
    <w:p>
      <w:r>
        <w:br/>
        <w:br/>
      </w:r>
    </w:p>
    <w:p>
      <w:pPr>
        <w:jc w:val="center"/>
      </w:pPr>
      <w:r>
        <w:t>First edition, 2026</w:t>
      </w:r>
    </w:p>
    <w:p>
      <w:r>
        <w:br w:type="page"/>
      </w:r>
    </w:p>
    <w:p>
      <w:pPr>
        <w:pStyle w:val="Heading2"/>
      </w:pPr>
      <w:r>
        <w:t>How to use this lesson</w:t>
      </w:r>
    </w:p>
    <w:p>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w:t>
            </w:r>
            <w:r>
              <w:rPr>
                <w:vertAlign w:val="subscript"/>
              </w:rPr>
              <w:t>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w:t>
            </w:r>
            <w:r>
              <w:rPr>
                <w:vertAlign w:val="subscript"/>
              </w:rPr>
              <w:t>ab</w:t>
            </w:r>
            <w:r>
              <w:rPr>
                <w:vertAlign w:val="superscript"/>
              </w:rPr>
              <w:t>c</w:t>
            </w:r>
          </w:p>
        </w:tc>
        <w:tc>
          <w:tcPr>
            <w:tcW w:type="dxa" w:w="7632"/>
            <w:vAlign w:val="center"/>
            <w:tcMar>
              <w:top w:w="100" w:type="dxa"/>
              <w:start w:w="100" w:type="dxa"/>
              <w:bottom w:w="100" w:type="dxa"/>
              <w:end w:w="100" w:type="dxa"/>
            </w:tcMar>
          </w:tcPr>
          <w:p>
            <w:r>
              <w:t>Structure constants, [T</w:t>
            </w:r>
            <w:r>
              <w:rPr>
                <w:vertAlign w:val="subscript"/>
              </w:rPr>
              <w:t>a</w:t>
            </w:r>
            <w:r>
              <w:t>, T</w:t>
            </w:r>
            <w:r>
              <w:rPr>
                <w:vertAlign w:val="subscript"/>
              </w:rPr>
              <w:t>b</w:t>
            </w:r>
            <w:r>
              <w:t>] = i f</w:t>
            </w:r>
            <w:r>
              <w:rPr>
                <w:vertAlign w:val="subscript"/>
              </w:rPr>
              <w:t>ab</w:t>
            </w:r>
            <w:r>
              <w:rPr>
                <w:vertAlign w:val="superscript"/>
              </w:rPr>
              <w:t>c</w:t>
            </w:r>
            <w:r>
              <w:t xml:space="preserve"> T</w:t>
            </w:r>
            <w:r>
              <w:rPr>
                <w:vertAlign w:val="subscript"/>
              </w:rPr>
              <w:t>c</w:t>
            </w:r>
          </w:p>
        </w:tc>
      </w:tr>
      <w:tr>
        <w:tc>
          <w:tcPr>
            <w:tcW w:type="dxa" w:w="2160"/>
            <w:vAlign w:val="center"/>
            <w:shd w:fill="EAF2F8"/>
            <w:tcMar>
              <w:top w:w="100" w:type="dxa"/>
              <w:start w:w="100" w:type="dxa"/>
              <w:bottom w:w="100" w:type="dxa"/>
              <w:end w:w="100" w:type="dxa"/>
            </w:tcMar>
          </w:tcPr>
          <w:p>
            <w:r>
              <w:t>ω</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Infinitesimal Lorentz transformation,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p>
        </w:tc>
      </w:tr>
      <w:tr>
        <w:tc>
          <w:tcPr>
            <w:tcW w:type="dxa" w:w="2160"/>
            <w:vAlign w:val="center"/>
            <w:tcMar>
              <w:top w:w="100" w:type="dxa"/>
              <w:start w:w="100" w:type="dxa"/>
              <w:bottom w:w="100" w:type="dxa"/>
              <w:end w:w="100" w:type="dxa"/>
            </w:tcMar>
          </w:tcPr>
          <w:p>
            <w:r>
              <w:t>P</w:t>
            </w:r>
            <w:r>
              <w:rPr>
                <w:vertAlign w:val="superscript"/>
              </w:rPr>
              <w:t>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w:t>
            </w:r>
            <w:r>
              <w:rPr>
                <w:vertAlign w:val="subscript"/>
              </w:rPr>
              <w:t>i</w:t>
            </w:r>
            <w:r>
              <w:t>, K</w:t>
            </w:r>
            <w:r>
              <w:rPr>
                <w:vertAlign w:val="subscript"/>
              </w:rPr>
              <w:t>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w:t>
            </w:r>
            <w:r>
              <w:rPr>
                <w:vertAlign w:val="subscript"/>
              </w:rPr>
              <w:t>a</w:t>
            </w:r>
          </w:p>
        </w:tc>
        <w:tc>
          <w:tcPr>
            <w:tcW w:type="dxa" w:w="7632"/>
            <w:vAlign w:val="center"/>
            <w:tcMar>
              <w:top w:w="100" w:type="dxa"/>
              <w:start w:w="100" w:type="dxa"/>
              <w:bottom w:w="100" w:type="dxa"/>
              <w:end w:w="100" w:type="dxa"/>
            </w:tcMar>
          </w:tcPr>
          <w:p>
            <w:r>
              <w:t>Noether charge of the symmetry with generator T</w:t>
            </w:r>
            <w:r>
              <w:rPr>
                <w:vertAlign w:val="subscript"/>
              </w:rPr>
              <w:t>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w:t>
      </w:r>
      <w:r>
        <w:rPr>
          <w:vertAlign w:val="superscript"/>
        </w:rPr>
        <w:t>N</w:t>
      </w:r>
      <w:r>
        <w:t xml:space="preserve"> φ, which tends to e</w:t>
      </w:r>
      <w:r>
        <w:rPr>
          <w:vertAlign w:val="superscript"/>
        </w:rPr>
        <w:t>iα</w:t>
      </w:r>
      <w:r>
        <w:t>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After quantization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30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w:t>
      </w:r>
      <w:r>
        <w:rPr>
          <w:vertAlign w:val="subscript"/>
        </w:rPr>
        <w:t>x</w:t>
      </w:r>
      <w:r>
        <w:t xml:space="preserve"> have the only nonzero entries (B</w:t>
      </w:r>
      <w:r>
        <w:rPr>
          <w:vertAlign w:val="subscript"/>
        </w:rPr>
        <w:t>x</w:t>
      </w:r>
      <w:r>
        <w:t>)⁰₁ = (B</w:t>
      </w:r>
      <w:r>
        <w:rPr>
          <w:vertAlign w:val="subscript"/>
        </w:rPr>
        <w:t>x</w:t>
      </w:r>
      <w:r>
        <w:t>)¹₀ = 1 and B</w:t>
      </w:r>
      <w:r>
        <w:rPr>
          <w:vertAlign w:val="subscript"/>
        </w:rPr>
        <w:t>y</w:t>
      </w:r>
      <w:r>
        <w:t xml:space="preserve"> the only nonzero entries (B</w:t>
      </w:r>
      <w:r>
        <w:rPr>
          <w:vertAlign w:val="subscript"/>
        </w:rPr>
        <w:t>y</w:t>
      </w:r>
      <w:r>
        <w:t>)⁰₂ = (B</w:t>
      </w:r>
      <w:r>
        <w:rPr>
          <w:vertAlign w:val="subscript"/>
        </w:rPr>
        <w:t>y</w:t>
      </w:r>
      <w:r>
        <w:t>)²₀ = 1, so that small boosts are 1 − βB</w:t>
      </w:r>
      <w:r>
        <w:rPr>
          <w:vertAlign w:val="subscript"/>
        </w:rPr>
        <w:t>x</w:t>
      </w:r>
      <w:r>
        <w:t xml:space="preserve"> and 1 − β′B</w:t>
      </w:r>
      <w:r>
        <w:rPr>
          <w:vertAlign w:val="subscript"/>
        </w:rPr>
        <w:t>y</w:t>
      </w:r>
      <w:r>
        <w:t>. The product B</w:t>
      </w:r>
      <w:r>
        <w:rPr>
          <w:vertAlign w:val="subscript"/>
        </w:rPr>
        <w:t>x</w:t>
      </w:r>
      <w:r>
        <w:t>B</w:t>
      </w:r>
      <w:r>
        <w:rPr>
          <w:vertAlign w:val="subscript"/>
        </w:rPr>
        <w:t>y</w:t>
      </w:r>
      <w:r>
        <w:t xml:space="preserve"> has a single nonzero entry (B</w:t>
      </w:r>
      <w:r>
        <w:rPr>
          <w:vertAlign w:val="subscript"/>
        </w:rPr>
        <w:t>x</w:t>
      </w:r>
      <w:r>
        <w:t>B</w:t>
      </w:r>
      <w:r>
        <w:rPr>
          <w:vertAlign w:val="subscript"/>
        </w:rPr>
        <w:t>y</w:t>
      </w:r>
      <w:r>
        <w:t>)¹₂ = (B</w:t>
      </w:r>
      <w:r>
        <w:rPr>
          <w:vertAlign w:val="subscript"/>
        </w:rPr>
        <w:t>x</w:t>
      </w:r>
      <w:r>
        <w:t>)¹₀(B</w:t>
      </w:r>
      <w:r>
        <w:rPr>
          <w:vertAlign w:val="subscript"/>
        </w:rPr>
        <w:t>y</w:t>
      </w:r>
      <w:r>
        <w:t>)⁰₂ = 1, and B</w:t>
      </w:r>
      <w:r>
        <w:rPr>
          <w:vertAlign w:val="subscript"/>
        </w:rPr>
        <w:t>y</w:t>
      </w:r>
      <w:r>
        <w:t>B</w:t>
      </w:r>
      <w:r>
        <w:rPr>
          <w:vertAlign w:val="subscript"/>
        </w:rPr>
        <w:t>x</w:t>
      </w:r>
      <w:r>
        <w:t xml:space="preserve"> has a single nonzero entry (B</w:t>
      </w:r>
      <w:r>
        <w:rPr>
          <w:vertAlign w:val="subscript"/>
        </w:rPr>
        <w:t>y</w:t>
      </w:r>
      <w:r>
        <w:t>B</w:t>
      </w:r>
      <w:r>
        <w:rPr>
          <w:vertAlign w:val="subscript"/>
        </w:rPr>
        <w:t>x</w:t>
      </w:r>
      <w:r>
        <w:t>)²₁ = 1. So [B</w:t>
      </w:r>
      <w:r>
        <w:rPr>
          <w:vertAlign w:val="subscript"/>
        </w:rPr>
        <w:t>x</w:t>
      </w:r>
      <w:r>
        <w:t>, B</w:t>
      </w:r>
      <w:r>
        <w:rPr>
          <w:vertAlign w:val="subscript"/>
        </w:rPr>
        <w:t>y</w:t>
      </w:r>
      <w:r>
        <w:t>] has entries +1 at (1, 2) and −1 at (2, 1), which is proportional to the rotation generator about z found in Worked example 2. The group commutator of the two boosts, 1 + ββ′[B</w:t>
      </w:r>
      <w:r>
        <w:rPr>
          <w:vertAlign w:val="subscript"/>
        </w:rPr>
        <w:t>x</w:t>
      </w:r>
      <w:r>
        <w:t>, B</w:t>
      </w:r>
      <w:r>
        <w:rPr>
          <w:vertAlign w:val="subscript"/>
        </w:rPr>
        <w:t>y</w:t>
      </w:r>
      <w:r>
        <w:t>], is therefore a rotation about z by an angle of magnitude ββ′. This is the Thomas rotation, and it is the content of the relation [K</w:t>
      </w:r>
      <w:r>
        <w:rPr>
          <w:vertAlign w:val="subscript"/>
        </w:rPr>
        <w:t>i</w:t>
      </w:r>
      <w:r>
        <w:t>, K</w:t>
      </w:r>
      <w:r>
        <w:rPr>
          <w:vertAlign w:val="subscript"/>
        </w:rPr>
        <w:t>j</w:t>
      </w:r>
      <w:r>
        <w:t>] = −iε</w:t>
      </w:r>
      <w:r>
        <w:rPr>
          <w:vertAlign w:val="subscript"/>
        </w:rPr>
        <w:t>ijk</w:t>
      </w:r>
      <w:r>
        <w:t>J</w:t>
      </w:r>
      <w:r>
        <w:rPr>
          <w:vertAlign w:val="subscript"/>
        </w:rPr>
        <w:t>k</w:t>
      </w:r>
      <w:r>
        <w:t xml:space="preserve">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w:t>
            </w:r>
            <w:r>
              <w:rPr>
                <w:vertAlign w:val="superscript"/>
              </w:rPr>
              <w:t>μ</w:t>
            </w:r>
            <w:r>
              <w:t>ψ A</w:t>
            </w:r>
            <w:r>
              <w:rPr>
                <w:vertAlign w:val="subscript"/>
              </w:rPr>
              <w:t>μ</w:t>
            </w:r>
            <w:r>
              <w:t xml:space="preserve">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w:t>
      </w:r>
      <w:r>
        <w:rPr>
          <w:vertAlign w:val="superscript"/>
        </w:rPr>
        <w:t>2iα</w:t>
      </w:r>
      <w:r>
        <w:t>, so rotating the fields separately is not a symmetry of a theory containing this term. Only the combined transformation, φ₁ → e</w:t>
      </w:r>
      <w:r>
        <w:rPr>
          <w:vertAlign w:val="superscript"/>
        </w:rPr>
        <w:t>iα</w:t>
      </w:r>
      <w:r>
        <w:t>φ₁ and φ₂ → e</w:t>
      </w:r>
      <w:r>
        <w:rPr>
          <w:vertAlign w:val="superscript"/>
        </w:rPr>
        <w:t>2iα</w:t>
      </w:r>
      <w:r>
        <w:t>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ψ, which is not equal to ψ̄ψ. This chiral symmetry is therefore a symmetry only for m = 0, and its current,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w:t>
            </w:r>
            <w:r>
              <w:rPr>
                <w:vertAlign w:val="superscript"/>
              </w:rPr>
              <w:t>iqα</w:t>
            </w:r>
            <w:r>
              <w:t xml:space="preserve"> of the electron field (Lesson 31)</w:t>
            </w:r>
          </w:p>
        </w:tc>
      </w:tr>
      <w:tr>
        <w:tc>
          <w:tcPr>
            <w:tcW w:type="dxa" w:w="3264"/>
            <w:vAlign w:val="center"/>
            <w:shd w:fill="EAF2F8"/>
            <w:tcMar>
              <w:top w:w="100" w:type="dxa"/>
              <w:start w:w="100" w:type="dxa"/>
              <w:bottom w:w="100" w:type="dxa"/>
              <w:end w:w="100" w:type="dxa"/>
            </w:tcMar>
          </w:tcPr>
          <w:p>
            <w:r>
              <w:t>Closure of generators, [T</w:t>
            </w:r>
            <w:r>
              <w:rPr>
                <w:vertAlign w:val="subscript"/>
              </w:rPr>
              <w:t>a</w:t>
            </w:r>
            <w:r>
              <w:t>, T</w:t>
            </w:r>
            <w:r>
              <w:rPr>
                <w:vertAlign w:val="subscript"/>
              </w:rPr>
              <w:t>b</w:t>
            </w:r>
            <w:r>
              <w:t>] = if T</w:t>
            </w:r>
            <w:r>
              <w:rPr>
                <w:vertAlign w:val="subscript"/>
              </w:rPr>
              <w:t>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w:t>
            </w:r>
            <w:r>
              <w:rPr>
                <w:vertAlign w:val="superscript"/>
              </w:rPr>
              <w:t>μ</w:t>
            </w:r>
            <w:r>
              <w:t>ψA</w:t>
            </w:r>
            <w:r>
              <w:rPr>
                <w:vertAlign w:val="subscript"/>
              </w:rPr>
              <w:t>μ</w:t>
            </w:r>
            <w:r>
              <w:t xml:space="preserve"> and forbids terms such as A</w:t>
            </w:r>
            <w:r>
              <w:rPr>
                <w:vertAlign w:val="subscript"/>
              </w:rPr>
              <w:t>μ</w:t>
            </w:r>
            <w:r>
              <w:t>A</w:t>
            </w:r>
            <w:r>
              <w:rPr>
                <w:vertAlign w:val="superscript"/>
              </w:rPr>
              <w:t>μ</w:t>
            </w:r>
            <w:r>
              <w:t xml:space="preserve">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10"/>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10"/>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10"/>
        </w:numPr>
      </w:pPr>
      <w:r>
        <w:t>Noether charges generate the symmetry through Poisson brackets and satisfy the same algebra as the generators, becoming commutators after quantization.</w:t>
      </w:r>
    </w:p>
    <w:p>
      <w:pPr>
        <w:pStyle w:val="ListNumber"/>
        <w:numPr>
          <w:ilvl w:val="0"/>
          <w:numId w:val="10"/>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10"/>
        </w:numPr>
      </w:pPr>
      <w:r>
        <w:t>The ten parameters give conservation of energy, momentum, angular momentum, and the boost charge.</w:t>
      </w:r>
    </w:p>
    <w:p>
      <w:pPr>
        <w:pStyle w:val="ListNumber"/>
        <w:numPr>
          <w:ilvl w:val="0"/>
          <w:numId w:val="10"/>
        </w:numPr>
      </w:pPr>
      <w:r>
        <w:t>In the Poincare algebra rotations close, translations commute, and two boosts produce a rotation.</w:t>
      </w:r>
    </w:p>
    <w:p>
      <w:pPr>
        <w:pStyle w:val="ListNumber"/>
        <w:numPr>
          <w:ilvl w:val="0"/>
          <w:numId w:val="10"/>
        </w:numPr>
      </w:pPr>
      <w:r>
        <w:t>Internal symmetries act on field labels, commute with the Poincare group, and may be global or local; U(1) is abelian and the doublet symmetry is non-abelian.</w:t>
      </w:r>
    </w:p>
    <w:p>
      <w:pPr>
        <w:pStyle w:val="ListNumber"/>
        <w:numPr>
          <w:ilvl w:val="0"/>
          <w:numId w:val="10"/>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(1 + iαQ/N)</w:t>
            </w:r>
            <w:r>
              <w:rPr>
                <w:vertAlign w:val="superscript"/>
              </w:rPr>
              <w:t>N</w:t>
            </w:r>
            <w:r>
              <w:t xml:space="preserve"> → e</w:t>
            </w:r>
            <w:r>
              <w:rPr>
                <w:vertAlign w:val="superscript"/>
              </w:rPr>
              <w:t>iαQ</w:t>
            </w:r>
            <w:r>
              <w:t xml:space="preserve">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small operators A and B, expand the four exponentials in e</w:t>
            </w:r>
            <w:r>
              <w:rPr>
                <w:vertAlign w:val="superscript"/>
              </w:rPr>
              <w:t>A</w:t>
            </w:r>
            <w:r>
              <w:t>e</w:t>
            </w:r>
            <w:r>
              <w:rPr>
                <w:vertAlign w:val="superscript"/>
              </w:rPr>
              <w:t>B</w:t>
            </w:r>
            <w:r>
              <w:t>e</w:t>
            </w:r>
            <w:r>
              <w:rPr>
                <w:vertAlign w:val="superscript"/>
              </w:rPr>
              <w:t>−A</w:t>
            </w:r>
            <w:r>
              <w:t>e</w:t>
            </w:r>
            <w:r>
              <w:rPr>
                <w:vertAlign w:val="superscript"/>
              </w:rPr>
              <w:t>−B</w:t>
            </w:r>
            <w:r>
              <w:t xml:space="preserve">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condition ΛᵀgΛ = g, with Λ = 1 + ω, implies ω</w:t>
            </w:r>
            <w:r>
              <w:rPr>
                <w:vertAlign w:val="subscript"/>
              </w:rPr>
              <w:t>μν</w:t>
            </w:r>
            <w:r>
              <w:t xml:space="preserve"> + ω</w:t>
            </w:r>
            <w:r>
              <w:rPr>
                <w:vertAlign w:val="subscript"/>
              </w:rPr>
              <w:t>νμ</w:t>
            </w:r>
            <w:r>
              <w:t xml:space="preserve">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antisymmetry of ω</w:t>
            </w:r>
            <w:r>
              <w:rPr>
                <w:vertAlign w:val="subscript"/>
              </w:rPr>
              <w:t>μν</w:t>
            </w:r>
            <w:r>
              <w:t xml:space="preserve">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[σ</w:t>
            </w:r>
            <w:r>
              <w:rPr>
                <w:vertAlign w:val="subscript"/>
              </w:rPr>
              <w:t>i</w:t>
            </w:r>
            <w:r>
              <w:t>/2, σ</w:t>
            </w:r>
            <w:r>
              <w:rPr>
                <w:vertAlign w:val="subscript"/>
              </w:rPr>
              <w:t>j</w:t>
            </w:r>
            <w:r>
              <w:t>/2] = iε</w:t>
            </w:r>
            <w:r>
              <w:rPr>
                <w:vertAlign w:val="subscript"/>
              </w:rPr>
              <w:t>ijk</w:t>
            </w:r>
            <w:r>
              <w:t>σ</w:t>
            </w:r>
            <w:r>
              <w:rPr>
                <w:vertAlign w:val="subscript"/>
              </w:rPr>
              <w:t>k</w:t>
            </w:r>
            <w:r>
              <w:t>/2 using 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xml:space="preserve">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(B</w:t>
            </w:r>
            <w:r>
              <w:rPr>
                <w:vertAlign w:val="subscript"/>
              </w:rPr>
              <w:t>x</w:t>
            </w:r>
            <w:r>
              <w:t>)⁰₁ = (B</w:t>
            </w:r>
            <w:r>
              <w:rPr>
                <w:vertAlign w:val="subscript"/>
              </w:rPr>
              <w:t>x</w:t>
            </w:r>
            <w:r>
              <w:t>)¹₀ = 1 and (B</w:t>
            </w:r>
            <w:r>
              <w:rPr>
                <w:vertAlign w:val="subscript"/>
              </w:rPr>
              <w:t>y</w:t>
            </w:r>
            <w:r>
              <w:t>)⁰₂ = (B</w:t>
            </w:r>
            <w:r>
              <w:rPr>
                <w:vertAlign w:val="subscript"/>
              </w:rPr>
              <w:t>y</w:t>
            </w:r>
            <w:r>
              <w:t>)²₀ = 1 as the only nonzero entries, compute [B</w:t>
            </w:r>
            <w:r>
              <w:rPr>
                <w:vertAlign w:val="subscript"/>
              </w:rPr>
              <w:t>x</w:t>
            </w:r>
            <w:r>
              <w:t>, B</w:t>
            </w:r>
            <w:r>
              <w:rPr>
                <w:vertAlign w:val="subscript"/>
              </w:rPr>
              <w:t>y</w:t>
            </w:r>
            <w:r>
              <w:t>], and show that 1 + ββ′[B</w:t>
            </w:r>
            <w:r>
              <w:rPr>
                <w:vertAlign w:val="subscript"/>
              </w:rPr>
              <w:t>x</w:t>
            </w:r>
            <w:r>
              <w:t>, B</w:t>
            </w:r>
            <w:r>
              <w:rPr>
                <w:vertAlign w:val="subscript"/>
              </w:rPr>
              <w:t>y</w:t>
            </w:r>
            <w:r>
              <w:t>]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Jacobi identity {f, {g, h}} + {g, {h, f}} + {h, {f, g}} = 0, show that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 complex scalar φ has charge 1 and a Dirac field ψ has charge −1. State which of φ*φ, φ², (φ*φ)², φ³, ψ̄ψ, φψ̄ψ, φ*φψ̄ψ, and ψ̄γ</w:t>
            </w:r>
            <w:r>
              <w:rPr>
                <w:vertAlign w:val="superscript"/>
              </w:rPr>
              <w:t>μ</w:t>
            </w:r>
            <w:r>
              <w:t>ψ A</w:t>
            </w:r>
            <w:r>
              <w:rPr>
                <w:vertAlign w:val="subscript"/>
              </w:rPr>
              <w:t>μ</w:t>
            </w:r>
            <w:r>
              <w:t xml:space="preserve">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fields φ₁ and φ₂ of charges 1 and 2 and the cubic term φ₁²φ₂*, show that a joint rotation φ₁ → e</w:t>
            </w:r>
            <w:r>
              <w:rPr>
                <w:vertAlign w:val="superscript"/>
              </w:rPr>
              <w:t>iα</w:t>
            </w:r>
            <w:r>
              <w:t>φ₁, φ₂ → e</w:t>
            </w:r>
            <w:r>
              <w:rPr>
                <w:vertAlign w:val="superscript"/>
              </w:rPr>
              <w:t>2iα</w:t>
            </w:r>
            <w:r>
              <w:t>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S(θ) = e</w:t>
            </w:r>
            <w:r>
              <w:rPr>
                <w:vertAlign w:val="superscript"/>
              </w:rPr>
              <w:t>−iθΣ_z/2</w:t>
            </w:r>
            <w:r>
              <w:t xml:space="preserve"> with Σ</w:t>
            </w:r>
            <w:r>
              <w:rPr>
                <w:vertAlign w:val="subscript"/>
              </w:rPr>
              <w:t>z</w:t>
            </w:r>
            <w:r>
              <w:t xml:space="preserve"> = diag(σ</w:t>
            </w:r>
            <w:r>
              <w:rPr>
                <w:vertAlign w:val="subscript"/>
              </w:rPr>
              <w:t>z</w:t>
            </w:r>
            <w:r>
              <w:t>, σ</w:t>
            </w:r>
            <w:r>
              <w:rPr>
                <w:vertAlign w:val="subscript"/>
              </w:rPr>
              <w:t>z</w:t>
            </w:r>
            <w:r>
              <w:t>)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the massless Dirac Lagrangian density is invariant under ψ → e</w:t>
            </w:r>
            <w:r>
              <w:rPr>
                <w:vertAlign w:val="superscript"/>
              </w:rPr>
              <w:t>iβγ⁵</w:t>
            </w:r>
            <w:r>
              <w:t>ψ, ψ̄ → ψ̄e</w:t>
            </w:r>
            <w:r>
              <w:rPr>
                <w:vertAlign w:val="superscript"/>
              </w:rPr>
              <w:t>iβγ⁵</w:t>
            </w:r>
            <w:r>
              <w:t>,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doublet φ with ℒ = ∂</w:t>
            </w:r>
            <w:r>
              <w:rPr>
                <w:vertAlign w:val="subscript"/>
              </w:rPr>
              <w:t>μ</w:t>
            </w:r>
            <w:r>
              <w:t>φ†∂</w:t>
            </w:r>
            <w:r>
              <w:rPr>
                <w:vertAlign w:val="superscript"/>
              </w:rPr>
              <w:t>μ</w:t>
            </w:r>
            <w:r>
              <w:t>φ − m²φ†φ, verify invariance under φ → Uφ for unitary U, derive j</w:t>
            </w:r>
            <w:r>
              <w:rPr>
                <w:vertAlign w:val="subscript"/>
              </w:rPr>
              <w:t>a</w:t>
            </w:r>
            <w:r>
              <w:rPr>
                <w:vertAlign w:val="superscript"/>
              </w:rPr>
              <w:t>μ</w:t>
            </w:r>
            <w:r>
              <w:t xml:space="preserve"> = i(∂</w:t>
            </w:r>
            <w:r>
              <w:rPr>
                <w:vertAlign w:val="superscript"/>
              </w:rPr>
              <w:t>μ</w:t>
            </w:r>
            <w:r>
              <w:t>φ†T</w:t>
            </w:r>
            <w:r>
              <w:rPr>
                <w:vertAlign w:val="subscript"/>
              </w:rPr>
              <w:t>a</w:t>
            </w:r>
            <w:r>
              <w:t>φ − φ†T</w:t>
            </w:r>
            <w:r>
              <w:rPr>
                <w:vertAlign w:val="subscript"/>
              </w:rPr>
              <w:t>a</w:t>
            </w:r>
            <w:r>
              <w:t>∂</w:t>
            </w:r>
            <w:r>
              <w:rPr>
                <w:vertAlign w:val="superscript"/>
              </w:rPr>
              <w:t>μ</w:t>
            </w:r>
            <w:r>
              <w:t>φ) for Δφ = iT</w:t>
            </w:r>
            <w:r>
              <w:rPr>
                <w:vertAlign w:val="subscript"/>
              </w:rPr>
              <w:t>a</w:t>
            </w:r>
            <w:r>
              <w:t>φ, and show ∂</w:t>
            </w:r>
            <w:r>
              <w:rPr>
                <w:vertAlign w:val="subscript"/>
              </w:rPr>
              <w:t>μ</w:t>
            </w:r>
            <w:r>
              <w:t>j</w:t>
            </w:r>
            <w:r>
              <w:rPr>
                <w:vertAlign w:val="subscript"/>
              </w:rPr>
              <w:t>a</w:t>
            </w:r>
            <w:r>
              <w:rPr>
                <w:vertAlign w:val="superscript"/>
              </w:rPr>
              <w:t>μ</w:t>
            </w:r>
            <w:r>
              <w:t xml:space="preserve">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Dirac field, show that the axial current j₅</w:t>
            </w:r>
            <w:r>
              <w:rPr>
                <w:vertAlign w:val="superscript"/>
              </w:rPr>
              <w:t>μ</w:t>
            </w:r>
            <w:r>
              <w:t xml:space="preserve"> = ψ̄γ</w:t>
            </w:r>
            <w:r>
              <w:rPr>
                <w:vertAlign w:val="superscript"/>
              </w:rPr>
              <w:t>μ</w:t>
            </w:r>
            <w:r>
              <w:t>γ⁵ψ satisfies ∂</w:t>
            </w:r>
            <w:r>
              <w:rPr>
                <w:vertAlign w:val="subscript"/>
              </w:rPr>
              <w:t>μ</w:t>
            </w:r>
            <w:r>
              <w:t>j₅</w:t>
            </w:r>
            <w:r>
              <w:rPr>
                <w:vertAlign w:val="superscript"/>
              </w:rPr>
              <w:t>μ</w:t>
            </w:r>
            <w:r>
              <w:t xml:space="preserve"> = 2imψ̄γ⁵ψ, using the Dirac equation and its adjoint, and conclude that it is conserved for m = 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30 works out the conserved currents of the scalar, Dirac, and electromagnetic fields explicitly: the energy-momentum tensor, the angular momentum current, and the electric current, and the charges they define.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Symmetries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