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 a rigid military caste system, an economy built on the forced labor of the conquered Helot population, and a citizenry trained from childhood for war, not debate — though much of this picture comes from Athenian and later outsiders writing generations afterward, and historians now treat its most austere version with some caution.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2026-10-14T06:55:06.106Z</dcterms:created>
  <dcterms:modified xsi:type="dcterms:W3CDTF">2026-10-14T06:55:06.106Z</dcterms:modified>
</cp:coreProperties>
</file>

<file path=docProps/custom.xml><?xml version="1.0" encoding="utf-8"?>
<Properties xmlns="http://schemas.openxmlformats.org/officeDocument/2006/custom-properties" xmlns:vt="http://schemas.openxmlformats.org/officeDocument/2006/docPropsVTypes"/>
</file>