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CATEGORY THEORY</w:t>
      </w:r>
    </w:p>
    <w:p>
      <w:pPr>
        <w:spacing w:after="500"/>
        <w:jc w:val="center"/>
      </w:pPr>
      <w:r>
        <w:rPr>
          <w:rFonts w:ascii="Georgia" w:cs="Georgia" w:eastAsia="Georgia" w:hAnsi="Georgia"/>
          <w:i/>
          <w:iCs/>
          <w:color w:val="5B9BD5"/>
          <w:sz w:val="22"/>
          <w:szCs w:val="22"/>
        </w:rPr>
        <w:t xml:space="preserve">Objects, Arrows, and the Art of Structure-Preserving Maps</w:t>
      </w:r>
    </w:p>
    <w:p>
      <w:pPr>
        <w:spacing w:before="600"/>
        <w:jc w:val="center"/>
      </w:pPr>
      <w:r>
        <w:rPr>
          <w:rFonts w:ascii="Georgia" w:cs="Georgia" w:eastAsia="Georgia" w:hAnsi="Georgia"/>
          <w:color w:val="666666"/>
          <w:sz w:val="22"/>
          <w:szCs w:val="22"/>
        </w:rPr>
        <w:t xml:space="preserve">Book 38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800" w:id="3800"/>
      <w:r>
        <w:rPr>
          <w:rFonts w:ascii="Georgia" w:cs="Georgia" w:eastAsia="Georgia" w:hAnsi="Georgia"/>
          <w:b/>
          <w:bCs/>
          <w:sz w:val="32"/>
          <w:szCs w:val="32"/>
        </w:rPr>
        <w:t xml:space="preserve">Preface</w:t>
      </w:r>
      <w:bookmarkEnd w:id="3800"/>
    </w:p>
    <w:p>
      <w:pPr>
        <w:spacing w:after="200"/>
      </w:pPr>
      <w:r>
        <w:rPr>
          <w:rFonts w:ascii="Georgia" w:cs="Georgia" w:eastAsia="Georgia" w:hAnsi="Georgia"/>
          <w:i/>
          <w:iCs/>
          <w:sz w:val="22"/>
          <w:szCs w:val="22"/>
        </w:rPr>
        <w:t xml:space="preserve">(Or: How We Learned to Care More About the Maps Than About the Objects)</w:t>
      </w:r>
    </w:p>
    <w:p>
      <w:pPr>
        <w:spacing w:after="200" w:line="276"/>
      </w:pPr>
      <w:r>
        <w:rPr>
          <w:rFonts w:ascii="Georgia" w:cs="Georgia" w:eastAsia="Georgia" w:hAnsi="Georgia"/>
          <w:sz w:val="22"/>
          <w:szCs w:val="22"/>
        </w:rPr>
        <w:t xml:space="preserve">Abstract algebra studies groups, rings, and fields. Topology studies spaces and continuous maps. Linear algebra studies vector spaces and linear maps. Category theory studies the pattern common to all of them: a collection of objects, a collection of arrows (morphisms) between objects, composition of arrows, and identity arrows. A category is precisely that data, subject to associativity and unit laws.</w:t>
      </w:r>
    </w:p>
    <w:p>
      <w:pPr>
        <w:spacing w:after="200" w:line="276"/>
      </w:pPr>
      <w:r>
        <w:rPr>
          <w:rFonts w:ascii="Georgia" w:cs="Georgia" w:eastAsia="Georgia" w:hAnsi="Georgia"/>
          <w:sz w:val="22"/>
          <w:szCs w:val="22"/>
        </w:rPr>
        <w:t xml:space="preserve">Once the pattern is isolated, constructions that previously looked different — products, quotients, duals, free objects, limits, adjoints — become instances of a single notion. Functors translate problems from one category to another; natural transformations compare functors; universal properties characterize objects by the maps into or out of them rather than by their internal structure.</w:t>
      </w:r>
    </w:p>
    <w:p>
      <w:pPr>
        <w:spacing w:after="200" w:line="276"/>
      </w:pPr>
      <w:r>
        <w:rPr>
          <w:rFonts w:ascii="Georgia" w:cs="Georgia" w:eastAsia="Georgia" w:hAnsi="Georgia"/>
          <w:sz w:val="22"/>
          <w:szCs w:val="22"/>
        </w:rPr>
        <w:t xml:space="preserve">This book develops the core: categories, functors, natural transformations, limits and colimits, adjoint functors, and the Yoneda lemma. The treatment keeps concrete categories (sets, groups, topological spaces, vector spaces, posets) constantly in view so that the abstraction remains grounded.</w:t>
      </w:r>
    </w:p>
    <w:p>
      <w:pPr>
        <w:spacing w:after="200" w:line="276"/>
      </w:pPr>
      <w:r>
        <w:rPr>
          <w:rFonts w:ascii="Georgia" w:cs="Georgia" w:eastAsia="Georgia" w:hAnsi="Georgia"/>
          <w:sz w:val="22"/>
          <w:szCs w:val="22"/>
        </w:rPr>
        <w:t xml:space="preserve">A small confession: category theory is sometimes accused of being “abstract nonsense.” The accusation is both fair and unfair. It is fair in that the subject deliberately discards almost all internal structure; it is unfair in that the residual structure — composition of arrows — is strong enough to organize large parts of modern mathematics and of theoretical computer science.</w:t>
      </w:r>
    </w:p>
    <w:p>
      <w:pPr>
        <w:spacing w:after="200" w:line="276"/>
      </w:pPr>
      <w:r>
        <w:rPr>
          <w:rFonts w:ascii="Georgia" w:cs="Georgia" w:eastAsia="Georgia" w:hAnsi="Georgia"/>
          <w:sz w:val="22"/>
          <w:szCs w:val="22"/>
        </w:rPr>
        <w:t xml:space="preserve">If abstract algebra taught us to study structure, category theory teaches us to study the maps that preserve structure.</w:t>
      </w:r>
    </w:p>
    <w:p>
      <w:pPr>
        <w:spacing w:after="200" w:line="276"/>
      </w:pPr>
      <w:r>
        <w:rPr>
          <w:rFonts w:ascii="Georgia" w:cs="Georgia" w:eastAsia="Georgia" w:hAnsi="Georgia"/>
          <w:sz w:val="22"/>
          <w:szCs w:val="22"/>
        </w:rPr>
        <w:t xml:space="preserve">Let’s follow the arrows.</w:t>
      </w:r>
    </w:p>
    <w:p>
      <w:r>
        <w:br w:type="page"/>
      </w:r>
    </w:p>
    <w:p>
      <w:pPr>
        <w:pStyle w:val="Heading1"/>
        <w:spacing w:after="240" w:before="360"/>
      </w:pPr>
      <w:bookmarkStart w:name="3801" w:id="3801"/>
      <w:r>
        <w:rPr>
          <w:rFonts w:ascii="Georgia" w:cs="Georgia" w:eastAsia="Georgia" w:hAnsi="Georgia"/>
          <w:b/>
          <w:bCs/>
          <w:sz w:val="32"/>
          <w:szCs w:val="32"/>
        </w:rPr>
        <w:t xml:space="preserve">Table of Contents</w:t>
      </w:r>
      <w:bookmarkEnd w:id="3801"/>
    </w:p>
    <w:p>
      <w:pPr>
        <w:spacing w:after="120"/>
      </w:pPr>
      <w:hyperlink w:history="1" w:anchor="3802">
        <w:r>
          <w:rPr>
            <w:rFonts w:ascii="Georgia" w:cs="Georgia" w:eastAsia="Georgia" w:hAnsi="Georgia"/>
            <w:color w:val="0563C1"/>
            <w:sz w:val="22"/>
            <w:szCs w:val="22"/>
            <w:u w:val="single"/>
          </w:rPr>
          <w:t xml:space="preserve">1. What Category Theory Actually Is</w:t>
        </w:r>
      </w:hyperlink>
    </w:p>
    <w:p>
      <w:pPr>
        <w:spacing w:after="120"/>
      </w:pPr>
      <w:hyperlink w:history="1" w:anchor="3803">
        <w:r>
          <w:rPr>
            <w:rFonts w:ascii="Georgia" w:cs="Georgia" w:eastAsia="Georgia" w:hAnsi="Georgia"/>
            <w:color w:val="0563C1"/>
            <w:sz w:val="22"/>
            <w:szCs w:val="22"/>
            <w:u w:val="single"/>
          </w:rPr>
          <w:t xml:space="preserve">2. Categories, Functors, and Natural Transformations</w:t>
        </w:r>
      </w:hyperlink>
    </w:p>
    <w:p>
      <w:pPr>
        <w:spacing w:after="120"/>
      </w:pPr>
      <w:hyperlink w:history="1" w:anchor="3804">
        <w:r>
          <w:rPr>
            <w:rFonts w:ascii="Georgia" w:cs="Georgia" w:eastAsia="Georgia" w:hAnsi="Georgia"/>
            <w:color w:val="0563C1"/>
            <w:sz w:val="22"/>
            <w:szCs w:val="22"/>
            <w:u w:val="single"/>
          </w:rPr>
          <w:t xml:space="preserve">3. Universal Properties and Representable Functors</w:t>
        </w:r>
      </w:hyperlink>
    </w:p>
    <w:p>
      <w:pPr>
        <w:spacing w:after="120"/>
      </w:pPr>
      <w:hyperlink w:history="1" w:anchor="3805">
        <w:r>
          <w:rPr>
            <w:rFonts w:ascii="Georgia" w:cs="Georgia" w:eastAsia="Georgia" w:hAnsi="Georgia"/>
            <w:color w:val="0563C1"/>
            <w:sz w:val="22"/>
            <w:szCs w:val="22"/>
            <w:u w:val="single"/>
          </w:rPr>
          <w:t xml:space="preserve">4. Limits and Colimits</w:t>
        </w:r>
      </w:hyperlink>
    </w:p>
    <w:p>
      <w:pPr>
        <w:spacing w:after="120"/>
      </w:pPr>
      <w:hyperlink w:history="1" w:anchor="3806">
        <w:r>
          <w:rPr>
            <w:rFonts w:ascii="Georgia" w:cs="Georgia" w:eastAsia="Georgia" w:hAnsi="Georgia"/>
            <w:color w:val="0563C1"/>
            <w:sz w:val="22"/>
            <w:szCs w:val="22"/>
            <w:u w:val="single"/>
          </w:rPr>
          <w:t xml:space="preserve">5. Adjoint Functors</w:t>
        </w:r>
      </w:hyperlink>
    </w:p>
    <w:p>
      <w:pPr>
        <w:spacing w:after="120"/>
      </w:pPr>
      <w:hyperlink w:history="1" w:anchor="3807">
        <w:r>
          <w:rPr>
            <w:rFonts w:ascii="Georgia" w:cs="Georgia" w:eastAsia="Georgia" w:hAnsi="Georgia"/>
            <w:color w:val="0563C1"/>
            <w:sz w:val="22"/>
            <w:szCs w:val="22"/>
            <w:u w:val="single"/>
          </w:rPr>
          <w:t xml:space="preserve">6. The Yoneda Lemma</w:t>
        </w:r>
      </w:hyperlink>
    </w:p>
    <w:p>
      <w:pPr>
        <w:spacing w:after="120"/>
      </w:pPr>
      <w:hyperlink w:history="1" w:anchor="3808">
        <w:r>
          <w:rPr>
            <w:rFonts w:ascii="Georgia" w:cs="Georgia" w:eastAsia="Georgia" w:hAnsi="Georgia"/>
            <w:color w:val="0563C1"/>
            <w:sz w:val="22"/>
            <w:szCs w:val="22"/>
            <w:u w:val="single"/>
          </w:rPr>
          <w:t xml:space="preserve">7. Monads and Algebras</w:t>
        </w:r>
      </w:hyperlink>
    </w:p>
    <w:p>
      <w:pPr>
        <w:spacing w:after="120"/>
      </w:pPr>
      <w:hyperlink w:history="1" w:anchor="3809">
        <w:r>
          <w:rPr>
            <w:rFonts w:ascii="Georgia" w:cs="Georgia" w:eastAsia="Georgia" w:hAnsi="Georgia"/>
            <w:color w:val="0563C1"/>
            <w:sz w:val="22"/>
            <w:szCs w:val="22"/>
            <w:u w:val="single"/>
          </w:rPr>
          <w:t xml:space="preserve">8. Abelian Categories and Homological Algebra</w:t>
        </w:r>
      </w:hyperlink>
    </w:p>
    <w:p>
      <w:pPr>
        <w:spacing w:after="120"/>
      </w:pPr>
      <w:hyperlink w:history="1" w:anchor="3810">
        <w:r>
          <w:rPr>
            <w:rFonts w:ascii="Georgia" w:cs="Georgia" w:eastAsia="Georgia" w:hAnsi="Georgia"/>
            <w:color w:val="0563C1"/>
            <w:sz w:val="22"/>
            <w:szCs w:val="22"/>
            <w:u w:val="single"/>
          </w:rPr>
          <w:t xml:space="preserve">9. Looking Ahead: From Categories to Higher Categories, Topoi, and Applied Category Theory</w:t>
        </w:r>
      </w:hyperlink>
    </w:p>
    <w:p>
      <w:r>
        <w:br w:type="page"/>
      </w:r>
    </w:p>
    <w:p>
      <w:pPr>
        <w:pStyle w:val="Heading1"/>
        <w:spacing w:after="240" w:before="360"/>
      </w:pPr>
      <w:bookmarkStart w:name="3802" w:id="3802"/>
      <w:r>
        <w:rPr>
          <w:rFonts w:ascii="Georgia" w:cs="Georgia" w:eastAsia="Georgia" w:hAnsi="Georgia"/>
          <w:b/>
          <w:bCs/>
          <w:sz w:val="32"/>
          <w:szCs w:val="32"/>
        </w:rPr>
        <w:t xml:space="preserve">Chapter 1  ·  What Category Theory Actually Is</w:t>
      </w:r>
      <w:bookmarkEnd w:id="3802"/>
    </w:p>
    <w:p>
      <w:pPr>
        <w:spacing w:after="200" w:line="276"/>
      </w:pPr>
      <w:hyperlink w:history="1" r:id="rIdgykqtfyqmt_hjj5_tmyhh">
        <w:r>
          <w:rPr>
            <w:rFonts w:ascii="Georgia" w:cs="Georgia" w:eastAsia="Georgia" w:hAnsi="Georgia"/>
            <w:color w:val="0563C1"/>
            <w:sz w:val="22"/>
            <w:szCs w:val="22"/>
            <w:u w:val="single"/>
          </w:rPr>
          <w:t xml:space="preserve">Category theory</w:t>
        </w:r>
      </w:hyperlink>
      <w:r>
        <w:rPr>
          <w:rFonts w:ascii="Georgia" w:cs="Georgia" w:eastAsia="Georgia" w:hAnsi="Georgia"/>
          <w:sz w:val="22"/>
          <w:szCs w:val="22"/>
        </w:rPr>
        <w:t xml:space="preserve"> is the mathematical study of structures and of the maps that preserve them. It extracts the common form of constructions that appear across algebra, topology, geometry, and logic, and it supplies a language in which those constructions can be compared.</w:t>
      </w:r>
    </w:p>
    <w:p>
      <w:pPr>
        <w:spacing w:after="200" w:line="276"/>
      </w:pPr>
      <w:r>
        <w:rPr>
          <w:rFonts w:ascii="Georgia" w:cs="Georgia" w:eastAsia="Georgia" w:hAnsi="Georgia"/>
          <w:sz w:val="22"/>
          <w:szCs w:val="22"/>
        </w:rPr>
        <w:t xml:space="preserve">The subject began with Eilenberg and Mac Lane’s work on natural isomorphisms in algebraic topology and has grown into a unifying framework for pure mathematics and, increasingly, for computer science, physics, and the foundations of mathematics.</w:t>
      </w:r>
    </w:p>
    <w:p>
      <w:pPr>
        <w:spacing w:after="200" w:line="276"/>
      </w:pPr>
      <w:r>
        <w:rPr>
          <w:rFonts w:ascii="Georgia" w:cs="Georgia" w:eastAsia="Georgia" w:hAnsi="Georgia"/>
          <w:sz w:val="22"/>
          <w:szCs w:val="22"/>
        </w:rPr>
        <w:t xml:space="preserve">Category theory is both a technical tool and a way of thinking: one asks not only what an object is, but how it relates to other objects via morphisms.</w:t>
      </w:r>
    </w:p>
    <w:p>
      <w:r>
        <w:br w:type="page"/>
      </w:r>
    </w:p>
    <w:p>
      <w:pPr>
        <w:pStyle w:val="Heading1"/>
        <w:spacing w:after="240" w:before="360"/>
      </w:pPr>
      <w:bookmarkStart w:name="3803" w:id="3803"/>
      <w:r>
        <w:rPr>
          <w:rFonts w:ascii="Georgia" w:cs="Georgia" w:eastAsia="Georgia" w:hAnsi="Georgia"/>
          <w:b/>
          <w:bCs/>
          <w:sz w:val="32"/>
          <w:szCs w:val="32"/>
        </w:rPr>
        <w:t xml:space="preserve">Chapter 2  ·  Categories, Functors, and Natural Transformations</w:t>
      </w:r>
      <w:bookmarkEnd w:id="3803"/>
    </w:p>
    <w:p>
      <w:pPr>
        <w:spacing w:after="200" w:line="276"/>
      </w:pPr>
      <w:r>
        <w:rPr>
          <w:rFonts w:ascii="Georgia" w:cs="Georgia" w:eastAsia="Georgia" w:hAnsi="Georgia"/>
          <w:sz w:val="22"/>
          <w:szCs w:val="22"/>
        </w:rPr>
        <w:t xml:space="preserve">A category consists of objects, morphisms between objects, a composition operation, and identity morphisms, subject to associativity and unit axioms. Examples include Set, Grp, Top, Vect, the category of posets, and any single monoid or preorder viewed as a category.</w:t>
      </w:r>
    </w:p>
    <w:p>
      <w:pPr>
        <w:spacing w:after="200" w:line="276"/>
      </w:pPr>
      <w:r>
        <w:rPr>
          <w:rFonts w:ascii="Georgia" w:cs="Georgia" w:eastAsia="Georgia" w:hAnsi="Georgia"/>
          <w:sz w:val="22"/>
          <w:szCs w:val="22"/>
        </w:rPr>
        <w:t xml:space="preserve">A functor is a map between categories that sends objects to objects and morphisms to morphisms while preserving composition and identities. Functors are the structure-preserving maps of category theory. A natural transformation is a family of morphisms between the values of two functors that is compatible with the action of morphisms in the source category.</w:t>
      </w:r>
    </w:p>
    <w:p>
      <w:pPr>
        <w:spacing w:after="200" w:line="276"/>
      </w:pPr>
      <w:r>
        <w:rPr>
          <w:rFonts w:ascii="Georgia" w:cs="Georgia" w:eastAsia="Georgia" w:hAnsi="Georgia"/>
          <w:sz w:val="22"/>
          <w:szCs w:val="22"/>
        </w:rPr>
        <w:t xml:space="preserve">The language of functors and natural transformations makes precise the informal idea that two constructions are “naturally isomorphic.”</w:t>
      </w:r>
    </w:p>
    <w:p>
      <w:r>
        <w:br w:type="page"/>
      </w:r>
    </w:p>
    <w:p>
      <w:pPr>
        <w:pStyle w:val="Heading1"/>
        <w:spacing w:after="240" w:before="360"/>
      </w:pPr>
      <w:bookmarkStart w:name="3804" w:id="3804"/>
      <w:r>
        <w:rPr>
          <w:rFonts w:ascii="Georgia" w:cs="Georgia" w:eastAsia="Georgia" w:hAnsi="Georgia"/>
          <w:b/>
          <w:bCs/>
          <w:sz w:val="32"/>
          <w:szCs w:val="32"/>
        </w:rPr>
        <w:t xml:space="preserve">Chapter 3  ·  Universal Properties and Representable Functors</w:t>
      </w:r>
      <w:bookmarkEnd w:id="3804"/>
    </w:p>
    <w:p>
      <w:pPr>
        <w:spacing w:after="200" w:line="276"/>
      </w:pPr>
      <w:r>
        <w:rPr>
          <w:rFonts w:ascii="Georgia" w:cs="Georgia" w:eastAsia="Georgia" w:hAnsi="Georgia"/>
          <w:sz w:val="22"/>
          <w:szCs w:val="22"/>
        </w:rPr>
        <w:t xml:space="preserve">An object is defined by a universal property when it is characterized, up to unique isomorphism, by the morphisms into or out of it. Products, coproducts, equalizers, free objects, and tensor products are all universal constructions. The advantage of the universal definition is that it makes uniqueness automatic and makes the construction functorial.</w:t>
      </w:r>
    </w:p>
    <w:p>
      <w:pPr>
        <w:spacing w:after="200" w:line="276"/>
      </w:pPr>
      <w:r>
        <w:rPr>
          <w:rFonts w:ascii="Georgia" w:cs="Georgia" w:eastAsia="Georgia" w:hAnsi="Georgia"/>
          <w:sz w:val="22"/>
          <w:szCs w:val="22"/>
        </w:rPr>
        <w:t xml:space="preserve">A functor is representable when it is naturally isomorphic to a Hom-functor. Representable functors turn questions about an arbitrary functor into questions about morphisms into or out of a single object. The notion is the categorical expression of the idea that an object is determined by the maps to or from it.</w:t>
      </w:r>
    </w:p>
    <w:p>
      <w:pPr>
        <w:spacing w:after="200" w:line="276"/>
      </w:pPr>
      <w:r>
        <w:rPr>
          <w:rFonts w:ascii="Georgia" w:cs="Georgia" w:eastAsia="Georgia" w:hAnsi="Georgia"/>
          <w:sz w:val="22"/>
          <w:szCs w:val="22"/>
        </w:rPr>
        <w:t xml:space="preserve">Universal properties are the practical reason category theory is useful: they replace explicit constructions by characterizing properties that are often easier to verify.</w:t>
      </w:r>
    </w:p>
    <w:p>
      <w:r>
        <w:br w:type="page"/>
      </w:r>
    </w:p>
    <w:p>
      <w:pPr>
        <w:pStyle w:val="Heading1"/>
        <w:spacing w:after="240" w:before="360"/>
      </w:pPr>
      <w:bookmarkStart w:name="3805" w:id="3805"/>
      <w:r>
        <w:rPr>
          <w:rFonts w:ascii="Georgia" w:cs="Georgia" w:eastAsia="Georgia" w:hAnsi="Georgia"/>
          <w:b/>
          <w:bCs/>
          <w:sz w:val="32"/>
          <w:szCs w:val="32"/>
        </w:rPr>
        <w:t xml:space="preserve">Chapter 4  ·  Limits and Colimits</w:t>
      </w:r>
      <w:bookmarkEnd w:id="3805"/>
    </w:p>
    <w:p>
      <w:pPr>
        <w:spacing w:after="200" w:line="276"/>
      </w:pPr>
      <w:r>
        <w:rPr>
          <w:rFonts w:ascii="Georgia" w:cs="Georgia" w:eastAsia="Georgia" w:hAnsi="Georgia"/>
          <w:sz w:val="22"/>
          <w:szCs w:val="22"/>
        </w:rPr>
        <w:t xml:space="preserve">Limits generalize products, equalizers, and inverse limits; colimits generalize coproducts, coequalizers, and direct limits. A limit is a universal cone; a colimit is a universal cocone. Finite limits exist in Set, Grp, Top, and many other familiar categories; the same is true of finite colimits in many algebraic categories.</w:t>
      </w:r>
    </w:p>
    <w:p>
      <w:pPr>
        <w:spacing w:after="200" w:line="276"/>
      </w:pPr>
      <w:r>
        <w:rPr>
          <w:rFonts w:ascii="Georgia" w:cs="Georgia" w:eastAsia="Georgia" w:hAnsi="Georgia"/>
          <w:sz w:val="22"/>
          <w:szCs w:val="22"/>
        </w:rPr>
        <w:t xml:space="preserve">A category is complete when it has all small limits and cocomplete when it has all small colimits. Functors that preserve limits or colimits are the ones that interact well with universal constructions. The existence of limits and colimits is often the categorical expression of a completeness or generation property.</w:t>
      </w:r>
    </w:p>
    <w:p>
      <w:pPr>
        <w:spacing w:after="200" w:line="276"/>
      </w:pPr>
      <w:r>
        <w:rPr>
          <w:rFonts w:ascii="Georgia" w:cs="Georgia" w:eastAsia="Georgia" w:hAnsi="Georgia"/>
          <w:sz w:val="22"/>
          <w:szCs w:val="22"/>
        </w:rPr>
        <w:t xml:space="preserve">Diagrams, cones, and the limit-as-terminal-object perspective unify a large collection of previously separate constructions.</w:t>
      </w:r>
    </w:p>
    <w:p>
      <w:r>
        <w:br w:type="page"/>
      </w:r>
    </w:p>
    <w:p>
      <w:pPr>
        <w:pStyle w:val="Heading1"/>
        <w:spacing w:after="240" w:before="360"/>
      </w:pPr>
      <w:bookmarkStart w:name="3806" w:id="3806"/>
      <w:r>
        <w:rPr>
          <w:rFonts w:ascii="Georgia" w:cs="Georgia" w:eastAsia="Georgia" w:hAnsi="Georgia"/>
          <w:b/>
          <w:bCs/>
          <w:sz w:val="32"/>
          <w:szCs w:val="32"/>
        </w:rPr>
        <w:t xml:space="preserve">Chapter 5  ·  Adjoint Functors</w:t>
      </w:r>
      <w:bookmarkEnd w:id="3806"/>
    </w:p>
    <w:p>
      <w:pPr>
        <w:spacing w:after="200" w:line="276"/>
      </w:pPr>
      <w:r>
        <w:rPr>
          <w:rFonts w:ascii="Georgia" w:cs="Georgia" w:eastAsia="Georgia" w:hAnsi="Georgia"/>
          <w:sz w:val="22"/>
          <w:szCs w:val="22"/>
        </w:rPr>
        <w:t xml:space="preserve">An </w:t>
      </w:r>
      <w:hyperlink w:history="1" r:id="rIdwcuipuaj51w8iuadmtsjb">
        <w:r>
          <w:rPr>
            <w:rFonts w:ascii="Georgia" w:cs="Georgia" w:eastAsia="Georgia" w:hAnsi="Georgia"/>
            <w:color w:val="0563C1"/>
            <w:sz w:val="22"/>
            <w:szCs w:val="22"/>
            <w:u w:val="single"/>
          </w:rPr>
          <w:t xml:space="preserve">adjunction</w:t>
        </w:r>
      </w:hyperlink>
      <w:r>
        <w:rPr>
          <w:rFonts w:ascii="Georgia" w:cs="Georgia" w:eastAsia="Georgia" w:hAnsi="Georgia"/>
          <w:sz w:val="22"/>
          <w:szCs w:val="22"/>
        </w:rPr>
        <w:t xml:space="preserve"> between categories C and D is a pair of functors F: C → D and G: D → C together with a natural bijection Hom(F(c), d) ≅ Hom(c, G(d)). F is left adjoint to G; G is right adjoint to F.</w:t>
      </w:r>
    </w:p>
    <w:p>
      <w:pPr>
        <w:spacing w:after="200" w:line="276"/>
      </w:pPr>
      <w:r>
        <w:rPr>
          <w:rFonts w:ascii="Georgia" w:cs="Georgia" w:eastAsia="Georgia" w:hAnsi="Georgia"/>
          <w:sz w:val="22"/>
          <w:szCs w:val="22"/>
        </w:rPr>
        <w:t xml:space="preserve">Adjunctions encode the relationship between free and forgetful functors, between quantification and substitution, between tensor and Hom, and between many other pairs of constructions. Left adjoints preserve colimits; right adjoints preserve limits. The unit and counit of an adjunction satisfy triangle identities that make the relationship precise.</w:t>
      </w:r>
    </w:p>
    <w:p>
      <w:pPr>
        <w:spacing w:after="200" w:line="276"/>
      </w:pPr>
      <w:r>
        <w:rPr>
          <w:rFonts w:ascii="Georgia" w:cs="Georgia" w:eastAsia="Georgia" w:hAnsi="Georgia"/>
          <w:sz w:val="22"/>
          <w:szCs w:val="22"/>
        </w:rPr>
        <w:t xml:space="preserve">Adjoint functors are among the most important organizing principles in modern mathematics; once an adjunction is recognized, a host of formal consequences follow automatically.</w:t>
      </w:r>
    </w:p>
    <w:p>
      <w:r>
        <w:br w:type="page"/>
      </w:r>
    </w:p>
    <w:p>
      <w:pPr>
        <w:pStyle w:val="Heading1"/>
        <w:spacing w:after="240" w:before="360"/>
      </w:pPr>
      <w:bookmarkStart w:name="3807" w:id="3807"/>
      <w:r>
        <w:rPr>
          <w:rFonts w:ascii="Georgia" w:cs="Georgia" w:eastAsia="Georgia" w:hAnsi="Georgia"/>
          <w:b/>
          <w:bCs/>
          <w:sz w:val="32"/>
          <w:szCs w:val="32"/>
        </w:rPr>
        <w:t xml:space="preserve">Chapter 6  ·  The Yoneda Lemma</w:t>
      </w:r>
      <w:bookmarkEnd w:id="3807"/>
    </w:p>
    <w:p>
      <w:pPr>
        <w:spacing w:after="200" w:line="276"/>
      </w:pPr>
      <w:r>
        <w:rPr>
          <w:rFonts w:ascii="Georgia" w:cs="Georgia" w:eastAsia="Georgia" w:hAnsi="Georgia"/>
          <w:sz w:val="22"/>
          <w:szCs w:val="22"/>
        </w:rPr>
        <w:t xml:space="preserve">The Yoneda lemma asserts that natural transformations from a representable functor Hom(c, –) to any functor F are in bijection with the elements of F(c). As a corollary, the Yoneda embedding of a category into its category of functors is full and faithful: an object is determined, up to isomorphism, by the morphisms into it.</w:t>
      </w:r>
    </w:p>
    <w:p>
      <w:pPr>
        <w:spacing w:after="200" w:line="276"/>
      </w:pPr>
      <w:r>
        <w:rPr>
          <w:rFonts w:ascii="Georgia" w:cs="Georgia" w:eastAsia="Georgia" w:hAnsi="Georgia"/>
          <w:sz w:val="22"/>
          <w:szCs w:val="22"/>
        </w:rPr>
        <w:t xml:space="preserve">The lemma is the formal justification for the philosophy that objects are determined by their relationships. It is also a practical tool for computing Hom-sets and for recognizing when a functor is representable.</w:t>
      </w:r>
    </w:p>
    <w:p>
      <w:pPr>
        <w:spacing w:after="200" w:line="276"/>
      </w:pPr>
      <w:r>
        <w:rPr>
          <w:rFonts w:ascii="Georgia" w:cs="Georgia" w:eastAsia="Georgia" w:hAnsi="Georgia"/>
          <w:sz w:val="22"/>
          <w:szCs w:val="22"/>
        </w:rPr>
        <w:t xml:space="preserve">Yoneda’s lemma is often described as the most important result in category theory; it is the reason the subject has teeth.</w:t>
      </w:r>
    </w:p>
    <w:p>
      <w:r>
        <w:br w:type="page"/>
      </w:r>
    </w:p>
    <w:p>
      <w:pPr>
        <w:pStyle w:val="Heading1"/>
        <w:spacing w:after="240" w:before="360"/>
      </w:pPr>
      <w:bookmarkStart w:name="3808" w:id="3808"/>
      <w:r>
        <w:rPr>
          <w:rFonts w:ascii="Georgia" w:cs="Georgia" w:eastAsia="Georgia" w:hAnsi="Georgia"/>
          <w:b/>
          <w:bCs/>
          <w:sz w:val="32"/>
          <w:szCs w:val="32"/>
        </w:rPr>
        <w:t xml:space="preserve">Chapter 7  ·  Monads and Algebras</w:t>
      </w:r>
      <w:bookmarkEnd w:id="3808"/>
    </w:p>
    <w:p>
      <w:pPr>
        <w:spacing w:after="200" w:line="276"/>
      </w:pPr>
      <w:r>
        <w:rPr>
          <w:rFonts w:ascii="Georgia" w:cs="Georgia" w:eastAsia="Georgia" w:hAnsi="Georgia"/>
          <w:sz w:val="22"/>
          <w:szCs w:val="22"/>
        </w:rPr>
        <w:t xml:space="preserve">A monad on a category is a monoid in the category of endofunctors: an endofunctor equipped with unit and multiplication natural transformations satisfying associativity and unit laws. Monads arise from adjunctions; conversely, every monad gives rise to a category of algebras (the Eilenberg–Moore category) and a free-forgetful adjunction.</w:t>
      </w:r>
    </w:p>
    <w:p>
      <w:pPr>
        <w:spacing w:after="200" w:line="276"/>
      </w:pPr>
      <w:r>
        <w:rPr>
          <w:rFonts w:ascii="Georgia" w:cs="Georgia" w:eastAsia="Georgia" w:hAnsi="Georgia"/>
          <w:sz w:val="22"/>
          <w:szCs w:val="22"/>
        </w:rPr>
        <w:t xml:space="preserve">Monads encode algebraic theories (groups, rings, etc.) and computational effects in programming-language semantics (state, nondeterminism, exceptions). The Kleisli category of a monad is the category of free algebras and is the setting for many constructions in computer science.</w:t>
      </w:r>
    </w:p>
    <w:p>
      <w:pPr>
        <w:spacing w:after="200" w:line="276"/>
      </w:pPr>
      <w:r>
        <w:rPr>
          <w:rFonts w:ascii="Georgia" w:cs="Georgia" w:eastAsia="Georgia" w:hAnsi="Georgia"/>
          <w:sz w:val="22"/>
          <w:szCs w:val="22"/>
        </w:rPr>
        <w:t xml:space="preserve">Monads are the categorical expression of the idea of an algebraic structure defined by operations and equations.</w:t>
      </w:r>
    </w:p>
    <w:p>
      <w:r>
        <w:br w:type="page"/>
      </w:r>
    </w:p>
    <w:p>
      <w:pPr>
        <w:pStyle w:val="Heading1"/>
        <w:spacing w:after="240" w:before="360"/>
      </w:pPr>
      <w:bookmarkStart w:name="3809" w:id="3809"/>
      <w:r>
        <w:rPr>
          <w:rFonts w:ascii="Georgia" w:cs="Georgia" w:eastAsia="Georgia" w:hAnsi="Georgia"/>
          <w:b/>
          <w:bCs/>
          <w:sz w:val="32"/>
          <w:szCs w:val="32"/>
        </w:rPr>
        <w:t xml:space="preserve">Chapter 8  ·  Abelian Categories and Homological Algebra</w:t>
      </w:r>
      <w:bookmarkEnd w:id="3809"/>
    </w:p>
    <w:p>
      <w:pPr>
        <w:spacing w:after="200" w:line="276"/>
      </w:pPr>
      <w:r>
        <w:rPr>
          <w:rFonts w:ascii="Georgia" w:cs="Georgia" w:eastAsia="Georgia" w:hAnsi="Georgia"/>
          <w:sz w:val="22"/>
          <w:szCs w:val="22"/>
        </w:rPr>
        <w:t xml:space="preserve">An abelian category is a category that behaves like the category of modules over a ring: it has a zero object, kernels and cokernels, and every monomorphism is a kernel and every epimorphism is a cokernel. Exact sequences, diagram lemmas, and the basic constructions of homological algebra can be carried out in any abelian category.</w:t>
      </w:r>
    </w:p>
    <w:p>
      <w:pPr>
        <w:spacing w:after="200" w:line="276"/>
      </w:pPr>
      <w:r>
        <w:rPr>
          <w:rFonts w:ascii="Georgia" w:cs="Georgia" w:eastAsia="Georgia" w:hAnsi="Georgia"/>
          <w:sz w:val="22"/>
          <w:szCs w:val="22"/>
        </w:rPr>
        <w:t xml:space="preserve">Derived functors, Ext, and Tor are defined by resolving objects and applying functors to the resolutions. The resulting theory is the foundation of modern algebraic topology, algebraic geometry, and representation theory.</w:t>
      </w:r>
    </w:p>
    <w:p>
      <w:pPr>
        <w:spacing w:after="200" w:line="276"/>
      </w:pPr>
      <w:r>
        <w:rPr>
          <w:rFonts w:ascii="Georgia" w:cs="Georgia" w:eastAsia="Georgia" w:hAnsi="Georgia"/>
          <w:sz w:val="22"/>
          <w:szCs w:val="22"/>
        </w:rPr>
        <w:t xml:space="preserve">Abelian categories isolate the exactness properties that make homological algebra possible, independent of any particular category of modules.</w:t>
      </w:r>
    </w:p>
    <w:p>
      <w:r>
        <w:br w:type="page"/>
      </w:r>
    </w:p>
    <w:p>
      <w:pPr>
        <w:pStyle w:val="Heading1"/>
        <w:spacing w:after="240" w:before="360"/>
      </w:pPr>
      <w:bookmarkStart w:name="3810" w:id="3810"/>
      <w:r>
        <w:rPr>
          <w:rFonts w:ascii="Georgia" w:cs="Georgia" w:eastAsia="Georgia" w:hAnsi="Georgia"/>
          <w:b/>
          <w:bCs/>
          <w:sz w:val="32"/>
          <w:szCs w:val="32"/>
        </w:rPr>
        <w:t xml:space="preserve">Chapter 9  ·  Looking Ahead: From Categories to Higher Categories, Topoi, and Applied Category Theory</w:t>
      </w:r>
      <w:bookmarkEnd w:id="3810"/>
    </w:p>
    <w:p>
      <w:pPr>
        <w:spacing w:after="200" w:line="276"/>
      </w:pPr>
      <w:r>
        <w:rPr>
          <w:rFonts w:ascii="Georgia" w:cs="Georgia" w:eastAsia="Georgia" w:hAnsi="Georgia"/>
          <w:sz w:val="22"/>
          <w:szCs w:val="22"/>
        </w:rPr>
        <w:t xml:space="preserve">We have now acquired the core of category theory: categories, functors, natural transformations, universal properties, limits, adjoints, the Yoneda lemma, monads, and abelian categories.</w:t>
      </w:r>
    </w:p>
    <w:p>
      <w:pPr>
        <w:spacing w:after="200" w:line="276"/>
      </w:pPr>
      <w:r>
        <w:rPr>
          <w:rFonts w:ascii="Georgia" w:cs="Georgia" w:eastAsia="Georgia" w:hAnsi="Georgia"/>
          <w:sz w:val="22"/>
          <w:szCs w:val="22"/>
        </w:rPr>
        <w:t xml:space="preserve">These tools open onto higher category theory (2-categories, ∞-categories, and the homotopy-theoretic refinement of categorical notions), topos theory (categories that behave like categories of sheaves and that supply a categorical foundation for mathematics), and applied category theory (compositional models in computer science, physics, biology, and linguistics). The language of categories is also the language in which modern algebraic geometry (schemes, stacks) and modern homotopy theory are written.</w:t>
      </w:r>
    </w:p>
    <w:p>
      <w:pPr>
        <w:spacing w:after="200" w:line="276"/>
      </w:pPr>
      <w:r>
        <w:rPr>
          <w:rFonts w:ascii="Georgia" w:cs="Georgia" w:eastAsia="Georgia" w:hAnsi="Georgia"/>
          <w:sz w:val="22"/>
          <w:szCs w:val="22"/>
        </w:rPr>
        <w:t xml:space="preserve">The deeper lesson is that the maps between objects are often more important than the objects themselves, and that the systematic study of those maps produces a language of extraordinary unifying power.</w:t>
      </w:r>
    </w:p>
    <w:p>
      <w:pPr>
        <w:spacing w:after="200" w:line="276"/>
      </w:pPr>
      <w:r>
        <w:rPr>
          <w:rFonts w:ascii="Georgia" w:cs="Georgia" w:eastAsia="Georgia" w:hAnsi="Georgia"/>
          <w:sz w:val="22"/>
          <w:szCs w:val="22"/>
        </w:rPr>
        <w:t xml:space="preserve">Category theory is the mathematics of structure-preserving maps.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follow the arrows.</w:t>
      </w:r>
    </w:p>
    <w:p>
      <w:pPr>
        <w:spacing w:after="200" w:line="276"/>
      </w:pPr>
      <w:r>
        <w:rPr>
          <w:rFonts w:ascii="Georgia" w:cs="Georgia" w:eastAsia="Georgia" w:hAnsi="Georgia"/>
          <w:sz w:val="22"/>
          <w:szCs w:val="22"/>
        </w:rPr>
        <w:t xml:space="preserve">End of Book 38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Category Theory  ·  Book 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kqtfyqmt_hjj5_tmyhh" Type="http://schemas.openxmlformats.org/officeDocument/2006/relationships/hyperlink" Target="https://en.wikipedia.org/wiki/Category_theory" TargetMode="External"/><Relationship Id="rIdwcuipuaj51w8iuadmtsjb" Type="http://schemas.openxmlformats.org/officeDocument/2006/relationships/hyperlink" Target="https://en.wikipedia.org/wiki/Adjoint_functor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2026-08-22T05:56:06.026Z</dcterms:created>
  <dcterms:modified xsi:type="dcterms:W3CDTF">2026-08-22T05:56:06.026Z</dcterms:modified>
</cp:coreProperties>
</file>

<file path=docProps/custom.xml><?xml version="1.0" encoding="utf-8"?>
<Properties xmlns="http://schemas.openxmlformats.org/officeDocument/2006/custom-properties" xmlns:vt="http://schemas.openxmlformats.org/officeDocument/2006/docPropsVTypes"/>
</file>