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300"/>
      </w:pPr>
      <w:r>
        <w:t xml:space="preserve">Equations at a Glance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twelve equations below are the ones this book actually asks a reader to carry forward. Everything else in these pages is written in plain sentences on purpose — matching the book's own working rule that a formula earns a place on this list only when it clarifies something a paragraph alone could not. Chapter references point to where each one is first developed.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(1)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superconducting flux quantum (Chapter 3):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Φ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0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= h/2e</w:t>
      </w:r>
      <w:r>
        <w:rPr>
          <w:rFonts w:ascii="Cambria" w:cs="Cambria" w:eastAsia="Cambria" w:hAnsi="Cambria"/>
          <w:sz w:val="24"/>
          <w:szCs w:val="24"/>
        </w:rPr>
        <w:t xml:space="preserve">    (1)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flux trapped by a superconducting loop comes only in whole multiples of this amount — the payoff of demanding that a quantum phase return to itself consistently around a closed path.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(2)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Maxwell's equations (Chapter 17):</w:t>
      </w:r>
    </w:p>
    <w:p>
      <w:pPr>
        <w:spacing w:after="6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∇·E = ρ/ε₀</w:t>
      </w:r>
    </w:p>
    <w:p>
      <w:pPr>
        <w:spacing w:after="6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∇·B = 0</w:t>
      </w:r>
    </w:p>
    <w:p>
      <w:pPr>
        <w:spacing w:after="6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∇×E = −∂B/∂t</w:t>
      </w:r>
    </w:p>
    <w:p>
      <w:pPr>
        <w:spacing w:after="30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∇×B = μ₀J + μ₀ε₀∂E/∂t</w:t>
      </w:r>
      <w:r>
        <w:rPr>
          <w:rFonts w:ascii="Cambria" w:cs="Cambria" w:eastAsia="Cambria" w:hAnsi="Cambria"/>
          <w:sz w:val="24"/>
          <w:szCs w:val="24"/>
        </w:rPr>
        <w:t xml:space="preserve">    (2)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Two of these four are geometric identities, guaranteed the moment the fields are built from potentials. Only the other two carry independent physical content.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(3)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Electromagnetic energy density and flux (Chapters 23–24):</w:t>
      </w:r>
    </w:p>
    <w:p>
      <w:pPr>
        <w:spacing w:after="6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u = ½(ε₀E² + B²/μ₀)</w:t>
      </w:r>
    </w:p>
    <w:p>
      <w:pPr>
        <w:spacing w:after="30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S = (1/μ₀)E×B</w:t>
      </w:r>
      <w:r>
        <w:rPr>
          <w:rFonts w:ascii="Cambria" w:cs="Cambria" w:eastAsia="Cambria" w:hAnsi="Cambria"/>
          <w:sz w:val="24"/>
          <w:szCs w:val="24"/>
        </w:rPr>
        <w:t xml:space="preserve">    (3)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classical field's own energy bookkeeping — the non-negotiable accounting any alternative formulation has to reproduce, one way or another.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(4)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Photon energy and momentum (Chapter 25):</w:t>
      </w:r>
    </w:p>
    <w:p>
      <w:pPr>
        <w:spacing w:after="6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E = ħω</w:t>
      </w:r>
    </w:p>
    <w:p>
      <w:pPr>
        <w:spacing w:after="30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p = ħω/c</w:t>
      </w:r>
      <w:r>
        <w:rPr>
          <w:rFonts w:ascii="Cambria" w:cs="Cambria" w:eastAsia="Cambria" w:hAnsi="Cambria"/>
          <w:sz w:val="24"/>
          <w:szCs w:val="24"/>
        </w:rPr>
        <w:t xml:space="preserve">    (4)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What a photon actually carries on arrival at a detector — the fact that keeps the photon from ever being reduced to a mere bookkeeping device.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(5)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Lorentz force (Chapter 32):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F = q(E + v×B)</w:t>
      </w:r>
      <w:r>
        <w:rPr>
          <w:rFonts w:ascii="Cambria" w:cs="Cambria" w:eastAsia="Cambria" w:hAnsi="Cambria"/>
          <w:sz w:val="24"/>
          <w:szCs w:val="24"/>
        </w:rPr>
        <w:t xml:space="preserve">    (5)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everyday force law, rescued rather than retired: the classical limit of the deeper action-and-phase picture, not a rival to it.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(6)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covariant derivative (Chapter 36):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D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u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= ∂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u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+ (iq/ħ)A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u</w:t>
      </w:r>
      <w:r>
        <w:rPr>
          <w:rFonts w:ascii="Cambria" w:cs="Cambria" w:eastAsia="Cambria" w:hAnsi="Cambria"/>
          <w:sz w:val="24"/>
          <w:szCs w:val="24"/>
        </w:rPr>
        <w:t xml:space="preserve">    (6)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Where the electromagnetic interaction actually lives inside the machinery of QED — a single modification to an ordinary derivative, carrying the whole coupling between matter and field.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(7)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Coulomb potential and force (Chapter 38):</w:t>
      </w:r>
    </w:p>
    <w:p>
      <w:pPr>
        <w:spacing w:after="6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V(r) = q₁q₂/4πε₀r</w:t>
      </w:r>
    </w:p>
    <w:p>
      <w:pPr>
        <w:spacing w:after="30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F = (q₁q₂/4πε₀r²)r̂</w:t>
      </w:r>
      <w:r>
        <w:rPr>
          <w:rFonts w:ascii="Cambria" w:cs="Cambria" w:eastAsia="Cambria" w:hAnsi="Cambria"/>
          <w:sz w:val="24"/>
          <w:szCs w:val="24"/>
        </w:rPr>
        <w:t xml:space="preserve">    (7)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oldest result in electromagnetism, rederived as the low-energy limit of a full quantum scattering calculation rather than assumed from the outset.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(8)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book's central equation (Chapter 41):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J ∝ ħ∇θ − qA</w:t>
      </w:r>
      <w:r>
        <w:rPr>
          <w:rFonts w:ascii="Cambria" w:cs="Cambria" w:eastAsia="Cambria" w:hAnsi="Cambria"/>
          <w:sz w:val="24"/>
          <w:szCs w:val="24"/>
        </w:rPr>
        <w:t xml:space="preserve">    (8)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same combination of phase gradient and potential that sits inside the covariant derivative at the microscopic scale and inside a superconductor's supercurrent at the macroscopic scale — the clearest single piece of evidence this book has to offer for its own argument.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(9)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Wilson loop (Chapter 43):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W(C) = exp((iq/ħ)∮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C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A·dx)</w:t>
      </w:r>
      <w:r>
        <w:rPr>
          <w:rFonts w:ascii="Cambria" w:cs="Cambria" w:eastAsia="Cambria" w:hAnsi="Cambria"/>
          <w:sz w:val="24"/>
          <w:szCs w:val="24"/>
        </w:rPr>
        <w:t xml:space="preserve">    (9)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formal, gauge-invariant descendant of every closed loop this book has followed since Chapter 3 — proof that the loop was never a teaching device, but a hint about the geometry of gauge theory itself.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(10)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electron's anomalous magnetic moment (Chapter 46):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a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e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= (g − 2)/2</w:t>
      </w:r>
      <w:r>
        <w:rPr>
          <w:rFonts w:ascii="Cambria" w:cs="Cambria" w:eastAsia="Cambria" w:hAnsi="Cambria"/>
          <w:sz w:val="24"/>
          <w:szCs w:val="24"/>
        </w:rPr>
        <w:t xml:space="preserve">    (10)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QED's most precisely tested prediction, agreeing with experiment to better than one part in a trillion — the fingerprint of virtual quantum processes stamped directly onto a measurable number.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(11)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fine-structure constant (Chapter 47):</w:t>
      </w:r>
    </w:p>
    <w:p>
      <w:pPr>
        <w:spacing w:after="30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α = e²/4πε₀ħc ≈ 1/137</w:t>
      </w:r>
      <w:r>
        <w:rPr>
          <w:rFonts w:ascii="Cambria" w:cs="Cambria" w:eastAsia="Cambria" w:hAnsi="Cambria"/>
          <w:sz w:val="24"/>
          <w:szCs w:val="24"/>
        </w:rPr>
        <w:t xml:space="preserve">    (11)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familiar number that turns out not to be quite fixed after all — the low-energy face of a coupling that runs with scale.</w:t>
      </w:r>
    </w:p>
    <w:p>
      <w:pPr>
        <w:spacing w:after="120" w:before="360" w:line="360" w:lineRule="auto"/>
        <w:jc w:val="center"/>
      </w:pPr>
      <w:r>
        <w:rPr>
          <w:rFonts w:ascii="Cambria" w:cs="Cambria" w:eastAsia="Cambria" w:hAnsi="Cambria"/>
          <w:b/>
          <w:bCs/>
          <w:i/>
          <w:iCs/>
          <w:sz w:val="20"/>
          <w:szCs w:val="20"/>
        </w:rPr>
        <w:t xml:space="preserve">Equation (12)</w:t>
      </w:r>
      <w:r>
        <w:rPr>
          <w:rFonts w:ascii="Cambria" w:cs="Cambria" w:eastAsia="Cambria" w:hAnsi="Cambria"/>
          <w:i/>
          <w:iCs/>
          <w:sz w:val="20"/>
          <w:szCs w:val="20"/>
        </w:rPr>
        <w:t xml:space="preserve">  —  The Josephson relations (Chapter 49):</w:t>
      </w:r>
    </w:p>
    <w:p>
      <w:pPr>
        <w:spacing w:after="60" w:before="12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I = I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c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sin(δ)</w:t>
      </w:r>
    </w:p>
    <w:p>
      <w:pPr>
        <w:spacing w:after="300" w:before="60" w:line="360" w:lineRule="auto"/>
        <w:jc w:val="center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U(δ) = −E</w:t>
      </w:r>
      <w:r>
        <w:rPr>
          <w:rFonts w:ascii="Cambria Math" w:cs="Cambria Math" w:eastAsia="Cambria Math" w:hAnsi="Cambria Math"/>
          <w:i/>
          <w:iCs/>
          <w:sz w:val="24"/>
          <w:szCs w:val="24"/>
          <w:vertAlign w:val="subscript"/>
        </w:rPr>
        <w:t xml:space="preserve">J</w:t>
      </w: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 cos(δ)</w:t>
      </w:r>
      <w:r>
        <w:rPr>
          <w:rFonts w:ascii="Cambria" w:cs="Cambria" w:eastAsia="Cambria" w:hAnsi="Cambria"/>
          <w:sz w:val="24"/>
          <w:szCs w:val="24"/>
        </w:rPr>
        <w:t xml:space="preserve">    (12)</w:t>
      </w:r>
    </w:p>
    <w:p>
      <w:pPr>
        <w:spacing w:after="260" w:line="360" w:lineRule="auto"/>
        <w:jc w:val="left"/>
      </w:pPr>
      <w:r>
        <w:rPr>
          <w:rFonts w:ascii="Cambria" w:cs="Cambria" w:eastAsia="Cambria" w:hAnsi="Cambria"/>
          <w:sz w:val="24"/>
          <w:szCs w:val="24"/>
        </w:rPr>
        <w:t xml:space="preserve">The equations that turn a quantum phase difference into a measurable current and a controllable, nonlinear energy — the working heart of every superconducting circuit this book describes.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mbria" w:cs="Cambria" w:eastAsia="Cambria" w:hAnsi="Cambria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2026-08-23T20:09:07.724Z</dcterms:created>
  <dcterms:modified xsi:type="dcterms:W3CDTF">2026-08-23T20:09:07.730Z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