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 writing as George Herbert Fontaine</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rsidR="001502C0" w:rsidRPr="00E62F06" w:rsidRDefault="00000000" w:rsidP="00422868">
      <w:pPr>
        <w:ind w:left="288"/>
        <w:rPr>
          <w:rFonts w:ascii="Georgia" w:hAnsi="Georgia"/>
          <w:color w:val="2B2B2B"/>
          <w:sz w:val="26"/>
        </w:rPr>
      </w:pPr>
      <w:hyperlink w:anchor="_TocAll0031" w:history="1">
        <w:r>
          <w:rPr>
            <w:rFonts w:ascii="Georgia" w:hAnsi="Georgia"/>
            <w:color w:val="2B2B2B"/>
            <w:sz w:val="26"/>
          </w:rPr>
          <w:t xml:space="preserve">Book One: TWO PEOPLE LOOKING AT THE SAME SKY</w:t>
        </w:r>
      </w:hyperlink>
    </w:p>
    <w:p w14:paraId="217E5168" w14:textId="77777777" w:rsidR="001502C0" w:rsidRPr="00E62F06" w:rsidRDefault="00000000" w:rsidP="00422868">
      <w:pPr>
        <w:ind w:left="288"/>
        <w:rPr>
          <w:rFonts w:ascii="Georgia" w:hAnsi="Georgia"/>
          <w:color w:val="2B2B2B"/>
          <w:sz w:val="26"/>
        </w:rPr>
      </w:pPr>
      <w:hyperlink w:anchor="_TocAll0001" w:history="1">
        <w:r>
          <w:rPr>
            <w:rFonts w:ascii="Georgia" w:hAnsi="Georgia"/>
            <w:color w:val="2B2B2B"/>
            <w:sz w:val="26"/>
          </w:rPr>
          <w:t>I. The Best Man Speech</w:t>
        </w:r>
      </w:hyperlink>
    </w:p>
    <w:p w14:paraId="0605D50E" w14:textId="77777777" w:rsidR="001502C0" w:rsidRPr="00E62F06" w:rsidRDefault="00000000" w:rsidP="00422868">
      <w:pPr>
        <w:ind w:left="288"/>
        <w:rPr>
          <w:rFonts w:ascii="Georgia" w:hAnsi="Georgia"/>
          <w:color w:val="2B2B2B"/>
          <w:sz w:val="26"/>
        </w:rPr>
      </w:pPr>
      <w:hyperlink w:anchor="_TocAll0002" w:history="1">
        <w:r>
          <w:rPr>
            <w:rFonts w:ascii="Georgia" w:hAnsi="Georgia"/>
            <w:color w:val="2B2B2B"/>
            <w:sz w:val="26"/>
          </w:rPr>
          <w:t>II. The Inside Desk</w:t>
        </w:r>
      </w:hyperlink>
    </w:p>
    <w:p w14:paraId="28CB3E7F" w14:textId="77777777" w:rsidR="001502C0" w:rsidRPr="00E62F06" w:rsidRDefault="00000000" w:rsidP="00422868">
      <w:pPr>
        <w:ind w:left="288"/>
        <w:rPr>
          <w:rFonts w:ascii="Georgia" w:hAnsi="Georgia"/>
          <w:color w:val="2B2B2B"/>
          <w:sz w:val="26"/>
        </w:rPr>
      </w:pPr>
      <w:hyperlink w:anchor="_TocAll0003" w:history="1">
        <w:r>
          <w:rPr>
            <w:rFonts w:ascii="Georgia" w:hAnsi="Georgia"/>
            <w:color w:val="2B2B2B"/>
            <w:sz w:val="26"/>
          </w:rPr>
          <w:t>III. Content Moderation</w:t>
        </w:r>
      </w:hyperlink>
    </w:p>
    <w:p w14:paraId="182961C2" w14:textId="77777777" w:rsidR="001502C0" w:rsidRPr="00E62F06" w:rsidRDefault="00000000" w:rsidP="00422868">
      <w:pPr>
        <w:ind w:left="288"/>
        <w:rPr>
          <w:rFonts w:ascii="Georgia" w:hAnsi="Georgia"/>
          <w:color w:val="2B2B2B"/>
          <w:sz w:val="26"/>
        </w:rPr>
      </w:pPr>
      <w:hyperlink w:anchor="_TocAll0004" w:history="1">
        <w:r>
          <w:rPr>
            <w:rFonts w:ascii="Georgia" w:hAnsi="Georgia"/>
            <w:color w:val="2B2B2B"/>
            <w:sz w:val="26"/>
          </w:rPr>
          <w:t>IV. Sparklers</w:t>
        </w:r>
      </w:hyperlink>
    </w:p>
    <w:p w14:paraId="06981E3B" w14:textId="77777777" w:rsidR="001502C0" w:rsidRPr="00E62F06" w:rsidRDefault="00000000" w:rsidP="00422868">
      <w:pPr>
        <w:ind w:left="288"/>
        <w:rPr>
          <w:rFonts w:ascii="Georgia" w:hAnsi="Georgia"/>
          <w:color w:val="2B2B2B"/>
          <w:sz w:val="26"/>
        </w:rPr>
      </w:pPr>
      <w:hyperlink w:anchor="_TocAll0005" w:history="1">
        <w:r>
          <w:rPr>
            <w:rFonts w:ascii="Georgia" w:hAnsi="Georgia"/>
            <w:color w:val="2B2B2B"/>
            <w:sz w:val="26"/>
          </w:rPr>
          <w:t>V. Steve</w:t>
        </w:r>
      </w:hyperlink>
    </w:p>
    <w:p w14:paraId="14CC6D3E" w14:textId="77777777" w:rsidR="001502C0" w:rsidRPr="00E62F06" w:rsidRDefault="00000000" w:rsidP="00422868">
      <w:pPr>
        <w:ind w:left="288"/>
        <w:rPr>
          <w:rFonts w:ascii="Georgia" w:hAnsi="Georgia"/>
          <w:color w:val="2B2B2B"/>
          <w:sz w:val="26"/>
        </w:rPr>
      </w:pPr>
      <w:hyperlink w:anchor="_TocAll0006" w:history="1">
        <w:r>
          <w:rPr>
            <w:rFonts w:ascii="Georgia" w:hAnsi="Georgia"/>
            <w:color w:val="2B2B2B"/>
            <w:sz w:val="26"/>
          </w:rPr>
          <w:t>VI. The Drawer</w:t>
        </w:r>
      </w:hyperlink>
    </w:p>
    <w:p w14:paraId="018792A8" w14:textId="77777777" w:rsidR="001502C0" w:rsidRPr="00E62F06" w:rsidRDefault="00000000" w:rsidP="00422868">
      <w:pPr>
        <w:ind w:left="288"/>
        <w:rPr>
          <w:rFonts w:ascii="Georgia" w:hAnsi="Georgia"/>
          <w:color w:val="2B2B2B"/>
          <w:sz w:val="26"/>
        </w:rPr>
      </w:pPr>
      <w:hyperlink w:anchor="_TocAll0007" w:history="1">
        <w:r>
          <w:rPr>
            <w:rFonts w:ascii="Georgia" w:hAnsi="Georgia"/>
            <w:color w:val="2B2B2B"/>
            <w:sz w:val="26"/>
          </w:rPr>
          <w:t>VII. Two Missing Uploads</w:t>
        </w:r>
      </w:hyperlink>
    </w:p>
    <w:p w:rsidR="001502C0" w:rsidRPr="00E62F06" w:rsidRDefault="00000000" w:rsidP="00422868">
      <w:pPr>
        <w:ind w:left="288"/>
        <w:rPr>
          <w:rFonts w:ascii="Georgia" w:hAnsi="Georgia"/>
          <w:color w:val="2B2B2B"/>
          <w:sz w:val="26"/>
        </w:rPr>
      </w:pPr>
      <w:hyperlink w:anchor="_TocAll0032" w:history="1">
        <w:r>
          <w:rPr>
            <w:rFonts w:ascii="Georgia" w:hAnsi="Georgia"/>
            <w:color w:val="2B2B2B"/>
            <w:sz w:val="26"/>
          </w:rPr>
          <w:t xml:space="preserve">Book Two: THE JOINT SKY DIRECTORATE</w:t>
        </w:r>
      </w:hyperlink>
    </w:p>
    <w:p w14:paraId="4911F42C" w14:textId="77777777" w:rsidR="001502C0" w:rsidRPr="00E62F06" w:rsidRDefault="00000000" w:rsidP="00422868">
      <w:pPr>
        <w:ind w:left="288"/>
        <w:rPr>
          <w:rFonts w:ascii="Georgia" w:hAnsi="Georgia"/>
          <w:color w:val="2B2B2B"/>
          <w:sz w:val="26"/>
        </w:rPr>
      </w:pPr>
      <w:hyperlink w:anchor="_TocAll0008" w:history="1">
        <w:r>
          <w:rPr>
            <w:rFonts w:ascii="Georgia" w:hAnsi="Georgia"/>
            <w:color w:val="2B2B2B"/>
            <w:sz w:val="26"/>
          </w:rPr>
          <w:t>VIII. Brussels, Badly Lit</w:t>
        </w:r>
      </w:hyperlink>
    </w:p>
    <w:p w14:paraId="50D11E37" w14:textId="77777777" w:rsidR="001502C0" w:rsidRPr="00E62F06" w:rsidRDefault="00000000" w:rsidP="00422868">
      <w:pPr>
        <w:ind w:left="288"/>
        <w:rPr>
          <w:rFonts w:ascii="Georgia" w:hAnsi="Georgia"/>
          <w:color w:val="2B2B2B"/>
          <w:sz w:val="26"/>
        </w:rPr>
      </w:pPr>
      <w:hyperlink w:anchor="_TocAll0009" w:history="1">
        <w:r>
          <w:rPr>
            <w:rFonts w:ascii="Georgia" w:hAnsi="Georgia"/>
            <w:color w:val="2B2B2B"/>
            <w:sz w:val="26"/>
          </w:rPr>
          <w:t>IX. Nondisclosure</w:t>
        </w:r>
      </w:hyperlink>
    </w:p>
    <w:p w14:paraId="01810E4F" w14:textId="77777777" w:rsidR="001502C0" w:rsidRPr="00E62F06" w:rsidRDefault="00000000" w:rsidP="00422868">
      <w:pPr>
        <w:ind w:left="288"/>
        <w:rPr>
          <w:rFonts w:ascii="Georgia" w:hAnsi="Georgia"/>
          <w:color w:val="2B2B2B"/>
          <w:sz w:val="26"/>
        </w:rPr>
      </w:pPr>
      <w:hyperlink w:anchor="_TocAll0010" w:history="1">
        <w:r>
          <w:rPr>
            <w:rFonts w:ascii="Georgia" w:hAnsi="Georgia"/>
            <w:color w:val="2B2B2B"/>
            <w:sz w:val="26"/>
          </w:rPr>
          <w:t>X. The Company That Owns the Sky</w:t>
        </w:r>
      </w:hyperlink>
    </w:p>
    <w:p w14:paraId="4F0E9682" w14:textId="77777777" w:rsidR="001502C0" w:rsidRPr="00E62F06" w:rsidRDefault="00000000" w:rsidP="00422868">
      <w:pPr>
        <w:ind w:left="288"/>
        <w:rPr>
          <w:rFonts w:ascii="Georgia" w:hAnsi="Georgia"/>
          <w:color w:val="2B2B2B"/>
          <w:sz w:val="26"/>
        </w:rPr>
      </w:pPr>
      <w:hyperlink w:anchor="_TocAll0011" w:history="1">
        <w:r>
          <w:rPr>
            <w:rFonts w:ascii="Georgia" w:hAnsi="Georgia"/>
            <w:color w:val="2B2B2B"/>
            <w:sz w:val="26"/>
          </w:rPr>
          <w:t>XI. Ball Memorial</w:t>
        </w:r>
      </w:hyperlink>
    </w:p>
    <w:p w14:paraId="7DB0E0B3" w14:textId="77777777" w:rsidR="001502C0" w:rsidRPr="00E62F06" w:rsidRDefault="00000000" w:rsidP="00422868">
      <w:pPr>
        <w:ind w:left="288"/>
        <w:rPr>
          <w:rFonts w:ascii="Georgia" w:hAnsi="Georgia"/>
          <w:color w:val="2B2B2B"/>
          <w:sz w:val="26"/>
        </w:rPr>
      </w:pPr>
      <w:hyperlink w:anchor="_TocAll0012" w:history="1">
        <w:r>
          <w:rPr>
            <w:rFonts w:ascii="Georgia" w:hAnsi="Georgia"/>
            <w:color w:val="2B2B2B"/>
            <w:sz w:val="26"/>
          </w:rPr>
          <w:t>XII. What Jesse Found in the Desert</w:t>
        </w:r>
      </w:hyperlink>
    </w:p>
    <w:p w14:paraId="05A938C7" w14:textId="77777777" w:rsidR="001502C0" w:rsidRPr="00E62F06" w:rsidRDefault="00000000" w:rsidP="00422868">
      <w:pPr>
        <w:ind w:left="288"/>
        <w:rPr>
          <w:rFonts w:ascii="Georgia" w:hAnsi="Georgia"/>
          <w:color w:val="2B2B2B"/>
          <w:sz w:val="26"/>
        </w:rPr>
      </w:pPr>
      <w:hyperlink w:anchor="_TocAll0013" w:history="1">
        <w:r>
          <w:rPr>
            <w:rFonts w:ascii="Georgia" w:hAnsi="Georgia"/>
            <w:color w:val="2B2B2B"/>
            <w:sz w:val="26"/>
          </w:rPr>
          <w:t>XIII. Aboard</w:t>
        </w:r>
      </w:hyperlink>
    </w:p>
    <w:p w14:paraId="47F3E69C" w14:textId="77777777" w:rsidR="001502C0" w:rsidRPr="00E62F06" w:rsidRDefault="00000000" w:rsidP="00422868">
      <w:pPr>
        <w:ind w:left="288"/>
        <w:rPr>
          <w:rFonts w:ascii="Georgia" w:hAnsi="Georgia"/>
          <w:color w:val="2B2B2B"/>
          <w:sz w:val="26"/>
        </w:rPr>
      </w:pPr>
      <w:hyperlink w:anchor="_TocAll0014" w:history="1">
        <w:r>
          <w:rPr>
            <w:rFonts w:ascii="Georgia" w:hAnsi="Georgia"/>
            <w:color w:val="2B2B2B"/>
            <w:sz w:val="26"/>
          </w:rPr>
          <w:t>XIV. The Priority</w:t>
        </w:r>
      </w:hyperlink>
    </w:p>
    <w:p w14:paraId="72E2D0FA" w14:textId="77777777" w:rsidR="001502C0" w:rsidRPr="00E62F06" w:rsidRDefault="00000000" w:rsidP="00422868">
      <w:pPr>
        <w:ind w:left="288"/>
        <w:rPr>
          <w:rFonts w:ascii="Georgia" w:hAnsi="Georgia"/>
          <w:color w:val="2B2B2B"/>
          <w:sz w:val="26"/>
        </w:rPr>
      </w:pPr>
      <w:hyperlink w:anchor="_TocAll0015" w:history="1">
        <w:r>
          <w:rPr>
            <w:rFonts w:ascii="Georgia" w:hAnsi="Georgia"/>
            <w:color w:val="2B2B2B"/>
            <w:sz w:val="26"/>
          </w:rPr>
          <w:t>XV. Triggered, Not Activated</w:t>
        </w:r>
      </w:hyperlink>
    </w:p>
    <w:p w14:paraId="0277ECA7" w14:textId="77777777" w:rsidR="001502C0" w:rsidRPr="00E62F06" w:rsidRDefault="00000000" w:rsidP="00422868">
      <w:pPr>
        <w:ind w:left="288"/>
        <w:rPr>
          <w:rFonts w:ascii="Georgia" w:hAnsi="Georgia"/>
          <w:color w:val="2B2B2B"/>
          <w:sz w:val="26"/>
        </w:rPr>
      </w:pPr>
      <w:hyperlink w:anchor="_TocAll0016" w:history="1">
        <w:r>
          <w:rPr>
            <w:rFonts w:ascii="Georgia" w:hAnsi="Georgia"/>
            <w:color w:val="2B2B2B"/>
            <w:sz w:val="26"/>
          </w:rPr>
          <w:t>XVI. The Pretzel Corridor</w:t>
        </w:r>
      </w:hyperlink>
    </w:p>
    <w:p w:rsidR="001502C0" w:rsidRPr="00E62F06" w:rsidRDefault="00000000" w:rsidP="00422868">
      <w:pPr>
        <w:ind w:left="288"/>
        <w:rPr>
          <w:rFonts w:ascii="Georgia" w:hAnsi="Georgia"/>
          <w:color w:val="2B2B2B"/>
          <w:sz w:val="26"/>
        </w:rPr>
      </w:pPr>
      <w:hyperlink w:anchor="_TocAll0033" w:history="1">
        <w:r>
          <w:rPr>
            <w:rFonts w:ascii="Georgia" w:hAnsi="Georgia"/>
            <w:color w:val="2B2B2B"/>
            <w:sz w:val="26"/>
          </w:rPr>
          <w:t xml:space="preserve">Book Three: STARFALL</w:t>
        </w:r>
      </w:hyperlink>
    </w:p>
    <w:p w14:paraId="4DBE7073" w14:textId="77777777" w:rsidR="001502C0" w:rsidRPr="00E62F06" w:rsidRDefault="00000000" w:rsidP="00422868">
      <w:pPr>
        <w:ind w:left="288"/>
        <w:rPr>
          <w:rFonts w:ascii="Georgia" w:hAnsi="Georgia"/>
          <w:color w:val="2B2B2B"/>
          <w:sz w:val="26"/>
        </w:rPr>
      </w:pPr>
      <w:hyperlink w:anchor="_TocAll0017" w:history="1">
        <w:r>
          <w:rPr>
            <w:rFonts w:ascii="Georgia" w:hAnsi="Georgia"/>
            <w:color w:val="2B2B2B"/>
            <w:sz w:val="26"/>
          </w:rPr>
          <w:t>XVII. Zaragoza</w:t>
        </w:r>
      </w:hyperlink>
    </w:p>
    <w:p w14:paraId="1DECC4F2" w14:textId="77777777" w:rsidR="001502C0" w:rsidRPr="00E62F06" w:rsidRDefault="00000000" w:rsidP="00422868">
      <w:pPr>
        <w:ind w:left="288"/>
        <w:rPr>
          <w:rFonts w:ascii="Georgia" w:hAnsi="Georgia"/>
          <w:color w:val="2B2B2B"/>
          <w:sz w:val="26"/>
        </w:rPr>
      </w:pPr>
      <w:hyperlink w:anchor="_TocAll0018" w:history="1">
        <w:r>
          <w:rPr>
            <w:rFonts w:ascii="Georgia" w:hAnsi="Georgia"/>
            <w:color w:val="2B2B2B"/>
            <w:sz w:val="26"/>
          </w:rPr>
          <w:t>XVIII. Two Signatures</w:t>
        </w:r>
      </w:hyperlink>
    </w:p>
    <w:p w14:paraId="1F4C483D" w14:textId="77777777" w:rsidR="001502C0" w:rsidRPr="00E62F06" w:rsidRDefault="00000000" w:rsidP="00422868">
      <w:pPr>
        <w:ind w:left="288"/>
        <w:rPr>
          <w:rFonts w:ascii="Georgia" w:hAnsi="Georgia"/>
          <w:color w:val="2B2B2B"/>
          <w:sz w:val="26"/>
        </w:rPr>
      </w:pPr>
      <w:hyperlink w:anchor="_TocAll0019" w:history="1">
        <w:r>
          <w:rPr>
            <w:rFonts w:ascii="Georgia" w:hAnsi="Georgia"/>
            <w:color w:val="2B2B2B"/>
            <w:sz w:val="26"/>
          </w:rPr>
          <w:t>XIX. The Bowl</w:t>
        </w:r>
      </w:hyperlink>
    </w:p>
    <w:p w14:paraId="4C7C1B36" w14:textId="77777777" w:rsidR="001502C0" w:rsidRPr="00E62F06" w:rsidRDefault="00000000" w:rsidP="00422868">
      <w:pPr>
        <w:ind w:left="288"/>
        <w:rPr>
          <w:rFonts w:ascii="Georgia" w:hAnsi="Georgia"/>
          <w:color w:val="2B2B2B"/>
          <w:sz w:val="26"/>
        </w:rPr>
      </w:pPr>
      <w:hyperlink w:anchor="_TocAll0020" w:history="1">
        <w:r>
          <w:rPr>
            <w:rFonts w:ascii="Georgia" w:hAnsi="Georgia"/>
            <w:color w:val="2B2B2B"/>
            <w:sz w:val="26"/>
          </w:rPr>
          <w:t>XX. Eighty-Four Seconds</w:t>
        </w:r>
      </w:hyperlink>
    </w:p>
    <w:p w14:paraId="502CB24B" w14:textId="77777777" w:rsidR="001502C0" w:rsidRPr="00E62F06" w:rsidRDefault="00000000" w:rsidP="00422868">
      <w:pPr>
        <w:ind w:left="288"/>
        <w:rPr>
          <w:rFonts w:ascii="Georgia" w:hAnsi="Georgia"/>
          <w:color w:val="2B2B2B"/>
          <w:sz w:val="26"/>
        </w:rPr>
      </w:pPr>
      <w:hyperlink w:anchor="_TocAll0021" w:history="1">
        <w:r>
          <w:rPr>
            <w:rFonts w:ascii="Georgia" w:hAnsi="Georgia"/>
            <w:color w:val="2B2B2B"/>
            <w:sz w:val="26"/>
          </w:rPr>
          <w:t>XXI. Twenty Meters</w:t>
        </w:r>
      </w:hyperlink>
    </w:p>
    <w:p w14:paraId="5DC0D29E" w14:textId="77777777" w:rsidR="001502C0" w:rsidRPr="00E62F06" w:rsidRDefault="00000000" w:rsidP="00422868">
      <w:pPr>
        <w:ind w:left="288"/>
        <w:rPr>
          <w:rFonts w:ascii="Georgia" w:hAnsi="Georgia"/>
          <w:color w:val="2B2B2B"/>
          <w:sz w:val="26"/>
        </w:rPr>
      </w:pPr>
      <w:hyperlink w:anchor="_TocAll0022" w:history="1">
        <w:r>
          <w:rPr>
            <w:rFonts w:ascii="Georgia" w:hAnsi="Georgia"/>
            <w:color w:val="2B2B2B"/>
            <w:sz w:val="26"/>
          </w:rPr>
          <w:t>XXII. Third Contact</w:t>
        </w:r>
      </w:hyperlink>
    </w:p>
    <w:p w14:paraId="495CDC67" w14:textId="77777777" w:rsidR="001502C0" w:rsidRPr="00E62F06" w:rsidRDefault="00000000" w:rsidP="00422868">
      <w:pPr>
        <w:ind w:left="288"/>
        <w:rPr>
          <w:rFonts w:ascii="Georgia" w:hAnsi="Georgia"/>
          <w:color w:val="2B2B2B"/>
          <w:sz w:val="26"/>
        </w:rPr>
      </w:pPr>
      <w:hyperlink w:anchor="_TocAll0023" w:history="1">
        <w:r>
          <w:rPr>
            <w:rFonts w:ascii="Georgia" w:hAnsi="Georgia"/>
            <w:color w:val="2B2B2B"/>
            <w:sz w:val="26"/>
          </w:rPr>
          <w:t>XXIII. Logistics</w:t>
        </w:r>
      </w:hyperlink>
    </w:p>
    <w:p w14:paraId="0A802F91" w14:textId="77777777" w:rsidR="00774C56" w:rsidRPr="00E62F06" w:rsidRDefault="00774C56" w:rsidP="00422868">
      <w:pPr>
        <w:ind w:left="288"/>
        <w:rPr>
          <w:rFonts w:ascii="Georgia" w:hAnsi="Georgia"/>
          <w:color w:val="2B2B2B"/>
          <w:sz w:val="26"/>
        </w:rPr>
      </w:pPr>
      <w:hyperlink w:anchor="_TocAll0024" w:history="1">
        <w:r>
          <w:rPr>
            <w:rFonts w:ascii="Georgia" w:hAnsi="Georgia"/>
            <w:color w:val="2B2B2B"/>
            <w:sz w:val="26"/>
          </w:rPr>
          <w:t>A Note to the Reader</w:t>
        </w:r>
      </w:hyperlink>
    </w:p>
    <w:p w14:paraId="0526A802" w14:textId="77777777" w:rsidR="00774C56" w:rsidRPr="00E62F06" w:rsidRDefault="00774C56" w:rsidP="00422868">
      <w:pPr>
        <w:ind w:left="288"/>
        <w:rPr>
          <w:rFonts w:ascii="Georgia" w:hAnsi="Georgia"/>
          <w:color w:val="2B2B2B"/>
          <w:sz w:val="26"/>
        </w:rPr>
      </w:pPr>
      <w:hyperlink w:anchor="_TocAll0026" w:history="1">
        <w:r>
          <w:rPr>
            <w:rFonts w:ascii="Georgia" w:hAnsi="Georgia"/>
            <w:color w:val="2B2B2B"/>
            <w:sz w:val="26"/>
          </w:rPr>
          <w:t>Glossary</w:t>
        </w:r>
      </w:hyperlink>
    </w:p>
    <w:p w14:paraId="3708068E" w14:textId="77777777" w:rsidR="00774C56" w:rsidRPr="00E62F06" w:rsidRDefault="00774C56" w:rsidP="00422868">
      <w:pPr>
        <w:ind w:left="288"/>
        <w:rPr>
          <w:rFonts w:ascii="Georgia" w:hAnsi="Georgia"/>
          <w:color w:val="2B2B2B"/>
          <w:sz w:val="26"/>
        </w:rPr>
      </w:pPr>
      <w:hyperlink w:anchor="_TocAll0027" w:history="1">
        <w:r>
          <w:rPr>
            <w:rFonts w:ascii="Georgia" w:hAnsi="Georgia"/>
            <w:color w:val="2B2B2B"/>
            <w:sz w:val="26"/>
          </w:rPr>
          <w:t>Appendix: The Science This Book Didn’t Make Up</w:t>
        </w:r>
      </w:hyperlink>
    </w:p>
    <w:p w14:paraId="49F04768" w14:textId="77777777" w:rsidR="00774C56" w:rsidRPr="00E62F06" w:rsidRDefault="00774C56" w:rsidP="00422868">
      <w:pPr>
        <w:ind w:left="288"/>
        <w:rPr>
          <w:rFonts w:ascii="Georgia" w:hAnsi="Georgia"/>
          <w:color w:val="2B2B2B"/>
          <w:sz w:val="26"/>
        </w:rPr>
      </w:pPr>
      <w:hyperlink w:anchor="_TocAll0028" w:history="1">
        <w:r>
          <w:rPr>
            <w:rFonts w:ascii="Georgia" w:hAnsi="Georgia"/>
            <w:color w:val="2B2B2B"/>
            <w:sz w:val="26"/>
          </w:rPr>
          <w:t>Bibliography</w:t>
        </w:r>
      </w:hyperlink>
    </w:p>
    <w:p w14:paraId="21F0481C" w14:textId="77777777" w:rsidR="00774C56" w:rsidRPr="00E62F06" w:rsidRDefault="00774C56" w:rsidP="00422868">
      <w:pPr>
        <w:ind w:left="288"/>
        <w:rPr>
          <w:rFonts w:ascii="Georgia" w:hAnsi="Georgia"/>
          <w:color w:val="2B2B2B"/>
          <w:sz w:val="26"/>
        </w:rPr>
      </w:pPr>
      <w:hyperlink w:anchor="_TocAll0029" w:history="1">
        <w:r>
          <w:rPr>
            <w:rFonts w:ascii="Georgia" w:hAnsi="Georgia"/>
            <w:color w:val="2B2B2B"/>
            <w:sz w:val="26"/>
          </w:rPr>
          <w:t>Also by Lothar J. Musiol</w:t>
        </w:r>
      </w:hyperlink>
    </w:p>
    <w:p w14:paraId="5241A39B" w14:textId="6D1B8880" w:rsidR="005C0D80" w:rsidRPr="00422868" w:rsidRDefault="00774C56" w:rsidP="00422868">
      <w:pPr>
        <w:ind w:left="288"/>
        <w:rPr>
          <w:rFonts w:ascii="Georgia" w:hAnsi="Georgia"/>
          <w:color w:val="2B2B2B"/>
          <w:sz w:val="26"/>
        </w:rPr>
      </w:pPr>
      <w:hyperlink w:anchor="_TocAll0030" w:history="1">
        <w:r>
          <w:rPr>
            <w:rFonts w:ascii="Georgia" w:hAnsi="Georgia"/>
            <w:color w:val="2B2B2B"/>
            <w:sz w:val="26"/>
          </w:rPr>
          <w:t>About the Author</w:t>
        </w:r>
        <w:r>
          <w:rPr>
            <w:rFonts w:ascii="Georgia" w:eastAsia="Amazon Ember" w:hAnsi="Georgia" w:cs="Amazon Ember"/>
            <w:b/>
            <w:bCs/>
            <w:color w:val="3B6EA5"/>
            <w:szCs w:val="30"/>
          </w:rPr>
          <w:br w:type="page"/>
        </w:r>
      </w:hyperlink>
    </w:p>
    <w:p w14:paraId="3B2E5E08" w14:textId="77777777" w:rsidR="001502C0" w:rsidRPr="008E717F" w:rsidRDefault="00000000" w:rsidP="008E717F">
      <w:pPr>
        <w:pStyle w:val="Heading1"/>
        <w:spacing w:before="800" w:after="320" w:line="400" w:lineRule="auto"/>
        <w:rPr>
          <w:rFonts w:ascii="Georgia" w:hAnsi="Georgia"/>
          <w:color w:val="3B6EA5"/>
        </w:rPr>
      </w:pPr>
      <w:bookmarkStart w:id="131" w:name="_TocAll0031"/>
      <w:bookmarkEnd w:id="131"/>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bookmarkStart w:id="101" w:name="_TocAll0001"/>
      <w:bookmarkEnd w:id="101"/>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forty-one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B-camera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bookmarkStart w:id="102" w:name="_TocAll0002"/>
      <w:bookmarkEnd w:id="102"/>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bookmarkStart w:id="103" w:name="_TocAll0003"/>
      <w:bookmarkEnd w:id="103"/>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bookmarkStart w:id="104" w:name="_TocAll0004"/>
      <w:bookmarkEnd w:id="104"/>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bookmarkStart w:id="105" w:name="_TocAll0005"/>
      <w:bookmarkEnd w:id="105"/>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bookmarkStart w:id="106" w:name="_TocAll0006"/>
      <w:bookmarkEnd w:id="106"/>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bookmarkStart w:id="107" w:name="_TocAll0007"/>
      <w:bookmarkEnd w:id="107"/>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bookmarkStart w:id="132" w:name="_TocAll0032"/>
      <w:bookmarkEnd w:id="132"/>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bookmarkStart w:id="108" w:name="_TocAll0008"/>
      <w:bookmarkEnd w:id="108"/>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bookmarkStart w:id="109" w:name="_TocAll0009"/>
      <w:bookmarkEnd w:id="109"/>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bookmarkStart w:id="110" w:name="_TocAll0010"/>
      <w:bookmarkEnd w:id="110"/>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bookmarkStart w:id="111" w:name="_TocAll0011"/>
      <w:bookmarkEnd w:id="111"/>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since 1979,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bookmarkStart w:id="112" w:name="_TocAll0012"/>
      <w:bookmarkEnd w:id="112"/>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bookmarkStart w:id="113" w:name="_TocAll0013"/>
      <w:bookmarkEnd w:id="113"/>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Once in the Solar System, distance remained distance. Earth to the Jupiter Trojans is not a phone call. In August the Boat sat about sixty degrees ahead of Jupiter, and the long way around the geometry put it about six astronomical units from Zaragoza: some fifty minutes one way, and as long again for any answer. A question asked in the bowl could not be argued on the Boat before the sun came back. The tender existed to hide that fact from anyone who needed a human reaction time. It hung in 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forty-nine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bookmarkStart w:id="114" w:name="_TocAll0014"/>
      <w:bookmarkEnd w:id="114"/>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bookmarkStart w:id="115" w:name="_TocAll0015"/>
      <w:bookmarkEnd w:id="115"/>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bookmarkStart w:id="116" w:name="_TocAll0016"/>
      <w:bookmarkEnd w:id="116"/>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bookmarkStart w:id="133" w:name="_TocAll0033"/>
      <w:bookmarkEnd w:id="133"/>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bookmarkStart w:id="117" w:name="_TocAll0017"/>
      <w:bookmarkEnd w:id="117"/>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fifty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bookmarkStart w:id="118" w:name="_TocAll0018"/>
      <w:bookmarkEnd w:id="118"/>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bookmarkStart w:id="119" w:name="_TocAll0019"/>
      <w:bookmarkEnd w:id="119"/>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bookmarkStart w:id="120" w:name="_TocAll0020"/>
      <w:bookmarkEnd w:id="120"/>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fifty minutes away.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bookmarkStart w:id="121" w:name="_TocAll0021"/>
      <w:bookmarkEnd w:id="121"/>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bookmarkStart w:id="122" w:name="_TocAll0022"/>
      <w:bookmarkEnd w:id="122"/>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bookmarkStart w:id="123" w:name="_TocAll0023"/>
      <w:bookmarkEnd w:id="123"/>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bookmarkStart w:id="124" w:name="_TocAll0024"/>
      <w:bookmarkEnd w:id="124"/>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For the record, the nine are The Invaders, Dark Skies, OVNI(s) and UFO on the quiet side of the family, and on the loud side the War of the Worlds films of 1953 and 2005, Independence Day, Enemy Mine and They Live. They are films and series, not books this shelf is selling, and the debt to them is paid by naming them here instead of replaying them inside the plot.</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In 2022 the United States really did open an office to study objects seen in the sky and gave it a name only a committee could love: the All-domain Anomaly Resolution Office. NATO’s headquarters in Brussels is real too, and has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bookmarkStart w:id="126" w:name="_TocAll0026"/>
      <w:bookmarkEnd w:id="126"/>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about six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bookmarkStart w:id="127" w:name="_TocAll0027"/>
      <w:bookmarkEnd w:id="127"/>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w:anchor="bib_genship" w:history="1">
        <w:r>
          <w:rPr>
            <w:rStyle w:val="Hyperlink"/>
            <w:rFonts w:ascii="Georgia" w:hAnsi="Georgia"/>
            <w:color w:val="2B2B2B"/>
            <w:sz w:val="26"/>
          </w:rPr>
          <w:t xml:space="preserve">a generation ship</w:t>
        </w:r>
      </w:hyperlink>
      <w:r>
        <w:rPr>
          <w:rFonts w:ascii="Georgia" w:hAnsi="Georgia"/>
          <w:color w:val="2B2B2B"/>
          <w:sz w:val="26"/>
        </w:rPr>
        <w:t xml:space="preserve">, and a real engineering literature, including Hein, Pak, Pütz, Bühler, and Reiss, “</w:t>
      </w:r>
      <w:hyperlink w:anchor="bib_hein" w:history="1">
        <w:r>
          <w:rPr>
            <w:rStyle w:val="Hyperlink"/>
            <w:rFonts w:ascii="Georgia" w:hAnsi="Georgia"/>
            <w:color w:val="2B2B2B"/>
            <w:sz w:val="26"/>
          </w:rPr>
          <w:t xml:space="preserve">World Ships — Architectures &amp; Feasibility Revisited</w:t>
        </w:r>
      </w:hyperlink>
      <w:r>
        <w:rPr>
          <w:rFonts w:ascii="Georgia" w:hAnsi="Georgia"/>
          <w:color w:val="2B2B2B"/>
          <w:sz w:val="26"/>
        </w:rPr>
        <w:t xml:space="preserve">,” Journal of the British Interplanetary Society (2012). It is worth remembering, reading this book’s forty-thousand-year vessel held together by duct tape and committee, that humanity’s actual attempt at a small sealed biosphere, </w:t>
      </w:r>
      <w:hyperlink w:anchor="bib_biosphere2" w:history="1">
        <w:r>
          <w:rPr>
            <w:rStyle w:val="Hyperlink"/>
            <w:rFonts w:ascii="Georgia" w:hAnsi="Georgia"/>
            <w:color w:val="2B2B2B"/>
            <w:sz w:val="26"/>
          </w:rPr>
          <w:t xml:space="preserve">Biosphere 2</w:t>
        </w:r>
      </w:hyperlink>
      <w:r>
        <w:rPr>
          <w:rFonts w:ascii="Georgia" w:hAnsi="Georgia"/>
          <w:color w:val="2B2B2B"/>
          <w:sz w:val="26"/>
        </w:rPr>
        <w:t xml:space="preserve">, sealed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w:anchor="bib_mvp" w:history="1">
        <w:r>
          <w:rPr>
            <w:rStyle w:val="Hyperlink"/>
            <w:rFonts w:ascii="Georgia" w:hAnsi="Georgia"/>
            <w:color w:val="2B2B2B"/>
            <w:sz w:val="26"/>
          </w:rPr>
          <w:t xml:space="preserve">minimum viable population</w:t>
        </w:r>
      </w:hyperlink>
      <w:r>
        <w:rPr>
          <w:rFonts w:ascii="Georgia" w:hAnsi="Georgia"/>
          <w:color w:val="2B2B2B"/>
          <w:sz w:val="26"/>
        </w:rPr>
        <w:t xml:space="preserve">, and the numbers argued for a wild species over evolutionary time are often in the thousands. </w:t>
      </w:r>
      <w:hyperlink w:anchor="bib_marin" w:history="1">
        <w:r>
          <w:rPr>
            <w:rStyle w:val="Hyperlink"/>
            <w:rFonts w:ascii="Georgia" w:hAnsi="Georgia"/>
            <w:color w:val="2B2B2B"/>
            <w:sz w:val="26"/>
          </w:rPr>
          <w:t xml:space="preserve">Marin and Beluffi’s 2018 simulation</w:t>
        </w:r>
      </w:hyperlink>
      <w:r>
        <w:rPr>
          <w:rFonts w:ascii="Georgia" w:hAnsi="Georgia"/>
          <w:color w:val="2B2B2B"/>
          <w:sz w:val="26"/>
        </w:rPr>
        <w:t xml:space="preserve">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w:anchor="bib_bracewell" w:history="1">
        <w:r>
          <w:rPr>
            <w:rStyle w:val="Hyperlink"/>
            <w:rFonts w:ascii="Georgia" w:hAnsi="Georgia"/>
            <w:color w:val="2B2B2B"/>
            <w:sz w:val="26"/>
            <w:szCs w:val="23"/>
          </w:rPr>
          <w:t xml:space="preserve">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w:anchor="bib_benford" w:history="1">
        <w:r>
          <w:rPr>
            <w:rStyle w:val="Hyperlink"/>
            <w:rFonts w:ascii="Georgia" w:hAnsi="Georgia"/>
            <w:color w:val="2B2B2B"/>
            <w:sz w:val="26"/>
            <w:szCs w:val="23"/>
          </w:rPr>
          <w:t xml:space="preserve">Looking for Lurkers</w:t>
        </w:r>
      </w:hyperlink>
      <w:r>
        <w:rPr>
          <w:rFonts w:ascii="Georgia" w:hAnsi="Georgia"/>
          <w:color w:val="2B2B2B"/>
          <w:sz w:val="26"/>
          <w:szCs w:val="23"/>
        </w:rPr>
        <w:t xml:space="preserve">”.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w:anchor="bib_sullivan" w:history="1">
        <w:r>
          <w:rPr>
            <w:rStyle w:val="Hyperlink"/>
            <w:rFonts w:ascii="Georgia" w:hAnsi="Georgia"/>
            <w:color w:val="2B2B2B"/>
            <w:sz w:val="26"/>
            <w:szCs w:val="23"/>
          </w:rPr>
          <w:t xml:space="preserve">Eavesdropping: The Radio Signature of the Earth</w:t>
        </w:r>
      </w:hyperlink>
      <w:r>
        <w:rPr>
          <w:rFonts w:ascii="Georgia" w:hAnsi="Georgia"/>
          <w:color w:val="2B2B2B"/>
          <w:sz w:val="26"/>
          <w:szCs w:val="23"/>
        </w:rPr>
        <w:t xml:space="preserve">”, Science, 1978 — first worked out how far our own television and radar signals could plausibly be detected. Astronomers now file such leakage under a (much better) name, </w:t>
      </w:r>
      <w:hyperlink w:anchor="bib_saide" w:history="1">
        <w:r>
          <w:rPr>
            <w:rStyle w:val="Hyperlink"/>
            <w:rFonts w:ascii="Georgia" w:hAnsi="Georgia"/>
            <w:color w:val="2B2B2B"/>
            <w:sz w:val="26"/>
            <w:szCs w:val="23"/>
          </w:rPr>
          <w:t xml:space="preserve">technosignatures</w:t>
        </w:r>
      </w:hyperlink>
      <w:r>
        <w:rPr>
          <w:rFonts w:ascii="Georgia" w:hAnsi="Georgia"/>
          <w:color w:val="2B2B2B"/>
          <w:sz w:val="26"/>
          <w:szCs w:val="23"/>
        </w:rPr>
        <w:t xml:space="preserve">, and a 2025 study of airport and military radar put that leakage within reach of a telescope like Green Bank out to about two hundred light-years.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w:anchor="bib_rubin" w:history="1">
        <w:r>
          <w:rPr>
            <w:rStyle w:val="Hyperlink"/>
            <w:rFonts w:ascii="Georgia" w:hAnsi="Georgia"/>
            <w:color w:val="2B2B2B"/>
            <w:sz w:val="26"/>
          </w:rPr>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w:anchor="bib_seo" w:history="1">
        <w:r>
          <w:rPr>
            <w:rStyle w:val="Hyperlink"/>
            <w:rFonts w:ascii="Georgia" w:hAnsi="Georgia"/>
            <w:color w:val="2B2B2B"/>
            <w:sz w:val="26"/>
          </w:rPr>
          <w:t xml:space="preserve">Neuron in 2016</w:t>
        </w:r>
      </w:hyperlink>
      <w:r>
        <w:rPr>
          <w:rFonts w:ascii="Georgia" w:hAnsi="Georgia"/>
          <w:color w:val="2B2B2B"/>
          <w:sz w:val="26"/>
        </w:rPr>
        <w:t xml:space="preserve">,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w:anchor="bib_starlink" w:history="1">
        <w:r>
          <w:rPr>
            <w:rStyle w:val="Hyperlink"/>
            <w:rFonts w:ascii="Georgia" w:hAnsi="Georgia"/>
            <w:color w:val="2B2B2B"/>
            <w:sz w:val="26"/>
          </w:rPr>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w:t>
      </w:r>
      <w:hyperlink w:anchor="bib_espenak" w:history="1">
        <w:r>
          <w:rPr>
            <w:rStyle w:val="Hyperlink"/>
            <w:rFonts w:ascii="Georgia" w:hAnsi="Georgia"/>
            <w:color w:val="2B2B2B"/>
            <w:sz w:val="26"/>
          </w:rPr>
          <w:t xml:space="preserve">Fred Espenak’s path tables for NASA</w:t>
        </w:r>
      </w:hyperlink>
      <w:r>
        <w:rPr>
          <w:rFonts w:ascii="Georgia" w:hAnsi="Georgia"/>
          <w:color w:val="2B2B2B"/>
          <w:sz w:val="26"/>
        </w:rPr>
        <w:t xml:space="preserve">,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w:t>
      </w:r>
      <w:hyperlink w:anchor="bib_lo" w:history="1">
        <w:r>
          <w:rPr>
            <w:rStyle w:val="Hyperlink"/>
            <w:rFonts w:ascii="Georgia" w:hAnsi="Georgia"/>
            <w:color w:val="2B2B2B"/>
            <w:sz w:val="26"/>
          </w:rPr>
          <w:t xml:space="preserve">free fetal DNA in maternal blood</w:t>
        </w:r>
      </w:hyperlink>
      <w:r>
        <w:rPr>
          <w:rFonts w:ascii="Georgia" w:hAnsi="Georgia"/>
          <w:color w:val="2B2B2B"/>
          <w:sz w:val="26"/>
        </w:rPr>
        <w:t xml:space="preserve"> is the basis of routine prenatal screening, and </w:t>
      </w:r>
      <w:hyperlink w:anchor="bib_bianchi" w:history="1">
        <w:r>
          <w:rPr>
            <w:rStyle w:val="Hyperlink"/>
            <w:rFonts w:ascii="Georgia" w:hAnsi="Georgia"/>
            <w:color w:val="2B2B2B"/>
            <w:sz w:val="26"/>
          </w:rPr>
          <w:t xml:space="preserve">fetal cells have been found in mothers decades after giving birth</w:t>
        </w:r>
      </w:hyperlink>
      <w:r>
        <w:rPr>
          <w:rFonts w:ascii="Georgia" w:hAnsi="Georgia"/>
          <w:color w:val="2B2B2B"/>
          <w:sz w:val="26"/>
        </w:rPr>
        <w:t xml:space="preserve">.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Eclipses really do change shortwave radio: as the Moon’s shadow passes, the ionosphere above it behaves briefly as if night had fallen, and amateur radio operators have taken part in </w:t>
      </w:r>
      <w:hyperlink w:anchor="bib_hamsci" w:history="1">
        <w:r>
          <w:rPr>
            <w:rStyle w:val="Hyperlink"/>
            <w:rFonts w:ascii="Georgia" w:hAnsi="Georgia"/>
            <w:color w:val="2B2B2B"/>
            <w:sz w:val="26"/>
          </w:rPr>
          <w:t xml:space="preserve">organized eclipse experiments</w:t>
        </w:r>
      </w:hyperlink>
      <w:r>
        <w:rPr>
          <w:rFonts w:ascii="Georgia" w:hAnsi="Georgia"/>
          <w:color w:val="2B2B2B"/>
          <w:sz w:val="26"/>
        </w:rPr>
        <w:t xml:space="preserve">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w:anchor="bib_kz_fermi" w:history="1">
        <w:r>
          <w:rPr>
            <w:rStyle w:val="Hyperlink"/>
            <w:rFonts w:ascii="Georgia" w:hAnsi="Georgia"/>
            <w:color w:val="2B2B2B"/>
            <w:sz w:val="26"/>
            <w:szCs w:val="23"/>
          </w:rPr>
          <w:t xml:space="preserve">Part One and Part Two</w:t>
        </w:r>
      </w:hyperlink>
      <w:r>
        <w:rPr>
          <w:rFonts w:ascii="Georgia" w:hAnsi="Georgia"/>
          <w:color w:val="2B2B2B"/>
          <w:sz w:val="26"/>
          <w:szCs w:val="23"/>
        </w:rPr>
        <w:t xml:space="preserve">.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bookmarkStart w:id="128" w:name="_TocAll0028"/>
      <w:bookmarkEnd w:id="128"/>
      <w:r>
        <w:rPr>
          <w:sz w:val="28"/>
          <w:szCs w:val="28"/>
        </w:rPr>
        <w:lastRenderedPageBreak/>
        <w:t>BIBLIOGRAPHY</w:t>
      </w:r>
    </w:p>
    <w:p w14:paraId="7067D22D" w14:textId="77777777" w:rsidR="00B851C7" w:rsidRDefault="00000000">
      <w:bookmarkStart w:id="9001" w:name="bib_hein"/>
      <w:r>
        <w:rPr>
          <w:rFonts w:ascii="Georgia" w:hAnsi="Georgia"/>
          <w:sz w:val="26"/>
          <w:szCs w:val="26"/>
        </w:rPr>
        <w:t xml:space="preserve">Hein, A. M., Pak, M., Pütz, D., Bühler, C., and Reiss, P. “</w:t>
      </w:r>
      <w:hyperlink r:id="rId8" w:history="1">
        <w:r>
          <w:rPr>
            <w:rStyle w:val="Hyperlink"/>
            <w:rFonts w:ascii="Georgia" w:hAnsi="Georgia"/>
            <w:sz w:val="26"/>
            <w:szCs w:val="26"/>
          </w:rPr>
          <w:t xml:space="preserve">World Ships — Architectures &amp; Feasibility Revisited</w:t>
        </w:r>
      </w:hyperlink>
      <w:r>
        <w:rPr>
          <w:rFonts w:ascii="Georgia" w:hAnsi="Georgia"/>
          <w:sz w:val="26"/>
          <w:szCs w:val="26"/>
        </w:rPr>
        <w:t xml:space="preserve">.” Journal of the British Interplanetary Society 65 (2012): 119–133.</w:t>
      </w:r>
      <w:bookmarkEnd w:id="9001"/>
    </w:p>
    <w:p w14:paraId="59F6F73E" w14:textId="77777777" w:rsidR="00B851C7" w:rsidRDefault="00000000">
      <w:bookmarkStart w:id="9002" w:name="bib_marin"/>
      <w:r>
        <w:rPr>
          <w:rFonts w:ascii="Georgia" w:hAnsi="Georgia"/>
          <w:sz w:val="26"/>
          <w:szCs w:val="26"/>
        </w:rPr>
        <w:t xml:space="preserve">Marin, F., and Beluffi, C. “</w:t>
      </w:r>
      <w:hyperlink r:id="rId21" w:history="1">
        <w:r>
          <w:rPr>
            <w:rStyle w:val="Hyperlink"/>
            <w:rFonts w:ascii="Georgia" w:hAnsi="Georgia"/>
            <w:sz w:val="26"/>
            <w:szCs w:val="26"/>
          </w:rPr>
          <w:t xml:space="preserve">Computing the Minimal Crew for a Multi-Generational Space Travel towards Proxima Centauri b</w:t>
        </w:r>
      </w:hyperlink>
      <w:r>
        <w:rPr>
          <w:rFonts w:ascii="Georgia" w:hAnsi="Georgia"/>
          <w:sz w:val="26"/>
          <w:szCs w:val="26"/>
        </w:rPr>
        <w:t xml:space="preserve">.” arXiv:1806.03856 (2018).</w:t>
      </w:r>
      <w:bookmarkEnd w:id="9002"/>
    </w:p>
    <w:p w14:paraId="7277D8C4" w14:textId="77777777" w:rsidR="00B851C7" w:rsidRDefault="00000000">
      <w:bookmarkStart w:id="9003" w:name="bib_seo"/>
      <w:r>
        <w:rPr>
          <w:rFonts w:ascii="Georgia" w:hAnsi="Georgia"/>
          <w:sz w:val="26"/>
          <w:szCs w:val="26"/>
        </w:rPr>
        <w:t xml:space="preserve">Seo, D., Neely, R. M., Shen, K., et al. “</w:t>
      </w:r>
      <w:hyperlink r:id="rId17" w:history="1">
        <w:r>
          <w:rPr>
            <w:rStyle w:val="Hyperlink"/>
            <w:rFonts w:ascii="Georgia" w:hAnsi="Georgia"/>
            <w:sz w:val="26"/>
            <w:szCs w:val="26"/>
          </w:rPr>
          <w:t xml:space="preserve">Wireless Recording in the Peripheral Nervous System with Ultrasonic Neural Dust</w:t>
        </w:r>
      </w:hyperlink>
      <w:r>
        <w:rPr>
          <w:rFonts w:ascii="Georgia" w:hAnsi="Georgia"/>
          <w:sz w:val="26"/>
          <w:szCs w:val="26"/>
        </w:rPr>
        <w:t xml:space="preserve">.” Neuron 91 (2016).</w:t>
      </w:r>
      <w:bookmarkEnd w:id="9003"/>
    </w:p>
    <w:p w14:paraId="7AC3CFD6" w14:textId="77777777" w:rsidR="00B851C7" w:rsidRDefault="00000000">
      <w:bookmarkStart w:id="9004" w:name="bib_sullivan"/>
      <w:r>
        <w:rPr>
          <w:rFonts w:ascii="Georgia" w:hAnsi="Georgia"/>
          <w:sz w:val="26"/>
          <w:szCs w:val="26"/>
        </w:rPr>
        <w:t xml:space="preserve">Sullivan, W. T., Brown, S., and Wetherill, C. “</w:t>
      </w:r>
      <w:hyperlink r:id="rId33" w:history="1">
        <w:r>
          <w:rPr>
            <w:rStyle w:val="Hyperlink"/>
            <w:rFonts w:ascii="Georgia" w:hAnsi="Georgia"/>
            <w:sz w:val="26"/>
            <w:szCs w:val="26"/>
          </w:rPr>
          <w:t xml:space="preserve">Eavesdropping: The Radio Signature of the Earth</w:t>
        </w:r>
      </w:hyperlink>
      <w:r>
        <w:rPr>
          <w:rFonts w:ascii="Georgia" w:hAnsi="Georgia"/>
          <w:sz w:val="26"/>
          <w:szCs w:val="26"/>
        </w:rPr>
        <w:t xml:space="preserve">.” Science 199 (1978): 377–388.</w:t>
      </w:r>
      <w:bookmarkEnd w:id="9004"/>
    </w:p>
    <w:p w14:paraId="7AC3CFD6" w14:textId="77777777" w:rsidR="00B851C7" w:rsidRDefault="00000000">
      <w:bookmarkStart w:id="9005" w:name="bib_saide"/>
      <w:r>
        <w:rPr>
          <w:rFonts w:ascii="Georgia" w:hAnsi="Georgia"/>
          <w:sz w:val="26"/>
          <w:szCs w:val="26"/>
        </w:rPr>
        <w:t xml:space="preserve">Caisse Saide, R., Garrett, M., et al. “Examining Airport Civilian and Military Radar Leakage as a Detectable Marker for Extraterrestrial Civilizations.” Royal Astronomical Society National Astronomy Meeting 2025; reported by Sci.News as “</w:t>
      </w:r>
      <w:hyperlink r:id="rId15" w:history="1">
        <w:r>
          <w:rPr>
            <w:rStyle w:val="Hyperlink"/>
            <w:rFonts w:ascii="Georgia" w:hAnsi="Georgia"/>
            <w:sz w:val="26"/>
            <w:szCs w:val="26"/>
          </w:rPr>
          <w:t xml:space="preserve">Civilian and Military Radar Leakage Is Revealing Our Existence to Alien Civilizations</w:t>
        </w:r>
      </w:hyperlink>
      <w:r>
        <w:rPr>
          <w:rFonts w:ascii="Georgia" w:hAnsi="Georgia"/>
          <w:sz w:val="26"/>
          <w:szCs w:val="26"/>
        </w:rPr>
        <w:t xml:space="preserve">.”</w:t>
      </w:r>
      <w:bookmarkEnd w:id="9005"/>
    </w:p>
    <w:p w14:paraId="45092FAA" w14:textId="77777777" w:rsidR="00B851C7" w:rsidRDefault="00000000">
      <w:bookmarkStart w:id="9006" w:name="bib_bracewell"/>
      <w:r>
        <w:rPr>
          <w:rFonts w:ascii="Georgia" w:hAnsi="Georgia"/>
          <w:sz w:val="26"/>
          <w:szCs w:val="26"/>
        </w:rPr>
        <w:t xml:space="preserve">Bracewell, R. N. “</w:t>
      </w:r>
      <w:hyperlink r:id="rId12" w:history="1">
        <w:r>
          <w:rPr>
            <w:rStyle w:val="Hyperlink"/>
            <w:rFonts w:ascii="Georgia" w:hAnsi="Georgia"/>
            <w:sz w:val="26"/>
            <w:szCs w:val="26"/>
          </w:rPr>
          <w:t xml:space="preserve">Communications from Superior Galactic Communities</w:t>
        </w:r>
      </w:hyperlink>
      <w:r>
        <w:rPr>
          <w:rFonts w:ascii="Georgia" w:hAnsi="Georgia"/>
          <w:sz w:val="26"/>
          <w:szCs w:val="26"/>
        </w:rPr>
        <w:t xml:space="preserve">.” Nature 186 (1960): 670.</w:t>
      </w:r>
      <w:bookmarkEnd w:id="9006"/>
    </w:p>
    <w:p w14:paraId="0C766E65" w14:textId="77777777" w:rsidR="00B851C7" w:rsidRDefault="00000000">
      <w:bookmarkStart w:id="9007" w:name="bib_benford"/>
      <w:r>
        <w:rPr>
          <w:rFonts w:ascii="Georgia" w:hAnsi="Georgia"/>
          <w:sz w:val="26"/>
          <w:szCs w:val="26"/>
        </w:rPr>
        <w:t xml:space="preserve">Benford, J. “</w:t>
      </w:r>
      <w:hyperlink r:id="rId34" w:history="1">
        <w:r>
          <w:rPr>
            <w:rStyle w:val="Hyperlink"/>
            <w:rFonts w:ascii="Georgia" w:hAnsi="Georgia"/>
            <w:sz w:val="26"/>
            <w:szCs w:val="26"/>
          </w:rPr>
          <w:t xml:space="preserve">Looking for Lurkers</w:t>
        </w:r>
      </w:hyperlink>
      <w:r>
        <w:rPr>
          <w:rFonts w:ascii="Georgia" w:hAnsi="Georgia"/>
          <w:sz w:val="26"/>
          <w:szCs w:val="26"/>
        </w:rPr>
        <w:t xml:space="preserve">.” arXiv:1903.09582 (2019).</w:t>
      </w:r>
      <w:bookmarkEnd w:id="9007"/>
    </w:p>
    <w:p w14:paraId="5E4C14A1" w14:textId="77777777" w:rsidR="00B851C7" w:rsidRDefault="00000000">
      <w:bookmarkStart w:id="9008" w:name="bib_kz_fermi"/>
      <w:r>
        <w:rPr>
          <w:rFonts w:ascii="Georgia" w:hAnsi="Georgia"/>
          <w:sz w:val="26"/>
          <w:szCs w:val="26"/>
        </w:rPr>
        <w:t xml:space="preserve">Kurzgesagt – In a Nutshell. “</w:t>
      </w:r>
      <w:hyperlink r:id="rId19" w:history="1">
        <w:r>
          <w:rPr>
            <w:rStyle w:val="Hyperlink"/>
            <w:rFonts w:ascii="Georgia" w:hAnsi="Georgia"/>
            <w:sz w:val="26"/>
            <w:szCs w:val="26"/>
          </w:rPr>
          <w:t xml:space="preserve">The Fermi Paradox — Where Are All the Aliens? (1/2)</w:t>
        </w:r>
      </w:hyperlink>
      <w:r>
        <w:rPr>
          <w:rFonts w:ascii="Georgia" w:hAnsi="Georgia"/>
          <w:sz w:val="26"/>
          <w:szCs w:val="26"/>
        </w:rPr>
        <w:t xml:space="preserve">” and “</w:t>
      </w:r>
      <w:hyperlink r:id="rId20" w:history="1">
        <w:r>
          <w:rPr>
            <w:rStyle w:val="Hyperlink"/>
            <w:rFonts w:ascii="Georgia" w:hAnsi="Georgia"/>
            <w:sz w:val="26"/>
            <w:szCs w:val="26"/>
          </w:rPr>
          <w:t xml:space="preserve">The Fermi Paradox II — Solutions and Ideas</w:t>
        </w:r>
      </w:hyperlink>
      <w:r>
        <w:rPr>
          <w:rFonts w:ascii="Georgia" w:hAnsi="Georgia"/>
          <w:sz w:val="26"/>
          <w:szCs w:val="26"/>
        </w:rPr>
        <w:t xml:space="preserve">.” YouTube.</w:t>
      </w:r>
      <w:bookmarkEnd w:id="9008"/>
    </w:p>
    <w:p w14:paraId="27C059AE" w14:textId="77777777" w:rsidR="00B851C7" w:rsidRDefault="00000000">
      <w:bookmarkStart w:id="9009" w:name="bib_espenak"/>
      <w:r>
        <w:rPr>
          <w:rFonts w:ascii="Georgia" w:hAnsi="Georgia"/>
          <w:sz w:val="26"/>
          <w:szCs w:val="26"/>
        </w:rPr>
        <w:t xml:space="preserve">Espenak, F. “</w:t>
      </w:r>
      <w:hyperlink r:id="rId35" w:history="1">
        <w:r>
          <w:rPr>
            <w:rStyle w:val="Hyperlink"/>
            <w:rFonts w:ascii="Georgia" w:hAnsi="Georgia"/>
            <w:sz w:val="26"/>
            <w:szCs w:val="26"/>
          </w:rPr>
          <w:t xml:space="preserve">Path of Total Solar Eclipse of 2026 Aug 12</w:t>
        </w:r>
      </w:hyperlink>
      <w:r>
        <w:rPr>
          <w:rFonts w:ascii="Georgia" w:hAnsi="Georgia"/>
          <w:sz w:val="26"/>
          <w:szCs w:val="26"/>
        </w:rPr>
        <w:t xml:space="preserve">.” NASA Goddard Space Flight Center.</w:t>
      </w:r>
      <w:bookmarkEnd w:id="9009"/>
    </w:p>
    <w:p w14:paraId="193D1EFC" w14:textId="77777777" w:rsidR="00B851C7" w:rsidRDefault="00000000">
      <w:bookmarkStart w:id="9010" w:name="bib_bianchi"/>
      <w:r>
        <w:rPr>
          <w:rFonts w:ascii="Georgia" w:hAnsi="Georgia"/>
          <w:sz w:val="26"/>
          <w:szCs w:val="26"/>
        </w:rPr>
        <w:t xml:space="preserve">Bianchi, D. W., Zickwolf, G. K., Weil, G. J., Sylvester, S., and DeMaria, M. A. “</w:t>
      </w:r>
      <w:hyperlink r:id="rId36" w:history="1">
        <w:r>
          <w:rPr>
            <w:rStyle w:val="Hyperlink"/>
            <w:rFonts w:ascii="Georgia" w:hAnsi="Georgia"/>
            <w:sz w:val="26"/>
            <w:szCs w:val="26"/>
          </w:rPr>
          <w:t xml:space="preserve">Male Fetal Progenitor Cells Persist in Maternal Blood for as Long as 27 Years Postpartum</w:t>
        </w:r>
      </w:hyperlink>
      <w:r>
        <w:rPr>
          <w:rFonts w:ascii="Georgia" w:hAnsi="Georgia"/>
          <w:sz w:val="26"/>
          <w:szCs w:val="26"/>
        </w:rPr>
        <w:t xml:space="preserve">.” Proceedings of the National Academy of Sciences 93 (1996): 705–708.</w:t>
      </w:r>
      <w:bookmarkEnd w:id="9010"/>
    </w:p>
    <w:p w14:paraId="58DA7AEB" w14:textId="77777777" w:rsidR="00B851C7" w:rsidRDefault="00000000">
      <w:bookmarkStart w:id="9011" w:name="bib_lo"/>
      <w:r>
        <w:rPr>
          <w:rFonts w:ascii="Georgia" w:hAnsi="Georgia"/>
          <w:sz w:val="26"/>
          <w:szCs w:val="26"/>
        </w:rPr>
        <w:t xml:space="preserve">Lo, Y. M. D., Corbetta, N., Chamberlain, P. F., et al. “</w:t>
      </w:r>
      <w:hyperlink r:id="rId37" w:history="1">
        <w:r>
          <w:rPr>
            <w:rStyle w:val="Hyperlink"/>
            <w:rFonts w:ascii="Georgia" w:hAnsi="Georgia"/>
            <w:sz w:val="26"/>
            <w:szCs w:val="26"/>
          </w:rPr>
          <w:t xml:space="preserve">Presence of Fetal DNA in Maternal Plasma and Serum</w:t>
        </w:r>
      </w:hyperlink>
      <w:r>
        <w:rPr>
          <w:rFonts w:ascii="Georgia" w:hAnsi="Georgia"/>
          <w:sz w:val="26"/>
          <w:szCs w:val="26"/>
        </w:rPr>
        <w:t xml:space="preserve">.” The Lancet 350 (1997): 485–487.</w:t>
      </w:r>
      <w:bookmarkEnd w:id="9011"/>
    </w:p>
    <w:p w14:paraId="50AA6D40" w14:textId="77777777" w:rsidR="00B851C7" w:rsidRDefault="00000000">
      <w:bookmarkStart w:id="9012" w:name="bib_hamsci"/>
      <w:hyperlink r:id="rId38" w:history="1">
        <w:r>
          <w:rPr>
            <w:rStyle w:val="Hyperlink"/>
            <w:rFonts w:ascii="Georgia" w:hAnsi="Georgia"/>
            <w:sz w:val="26"/>
            <w:szCs w:val="26"/>
          </w:rPr>
          <w:t xml:space="preserve">HamSCI</w:t>
        </w:r>
      </w:hyperlink>
      <w:r>
        <w:rPr>
          <w:rFonts w:ascii="Georgia" w:hAnsi="Georgia"/>
          <w:sz w:val="26"/>
          <w:szCs w:val="26"/>
        </w:rPr>
        <w:t xml:space="preserve">, the Ham Radio Science Citizen Investigation: eclipse ionosphere experiments.</w:t>
      </w:r>
      <w:bookmarkEnd w:id="9012"/>
    </w:p>
    <w:p w14:paraId="352E0EF6" w14:textId="77777777" w:rsidR="00B851C7" w:rsidRDefault="00000000">
      <w:bookmarkStart w:id="9013" w:name="bib_biosphere2"/>
      <w:r>
        <w:rPr>
          <w:rFonts w:ascii="Georgia" w:hAnsi="Georgia"/>
          <w:sz w:val="26"/>
          <w:szCs w:val="26"/>
        </w:rPr>
        <w:t xml:space="preserve">“</w:t>
      </w:r>
      <w:hyperlink r:id="rId23" w:history="1">
        <w:r>
          <w:rPr>
            <w:rStyle w:val="Hyperlink"/>
            <w:rFonts w:ascii="Georgia" w:hAnsi="Georgia"/>
            <w:sz w:val="26"/>
            <w:szCs w:val="26"/>
          </w:rPr>
          <w:t xml:space="preserve">Biosphere 2</w:t>
        </w:r>
      </w:hyperlink>
      <w:r>
        <w:rPr>
          <w:rFonts w:ascii="Georgia" w:hAnsi="Georgia"/>
          <w:sz w:val="26"/>
          <w:szCs w:val="26"/>
        </w:rPr>
        <w:t xml:space="preserve">.” Wikipedia.</w:t>
      </w:r>
      <w:bookmarkEnd w:id="9013"/>
    </w:p>
    <w:p w14:paraId="4300BD9F" w14:textId="77777777" w:rsidR="00B851C7" w:rsidRDefault="00000000">
      <w:bookmarkStart w:id="9014" w:name="bib_mvp"/>
      <w:r>
        <w:rPr>
          <w:rFonts w:ascii="Georgia" w:hAnsi="Georgia"/>
          <w:sz w:val="26"/>
          <w:szCs w:val="26"/>
        </w:rPr>
        <w:t xml:space="preserve">“</w:t>
      </w:r>
      <w:hyperlink r:id="rId39" w:history="1">
        <w:r>
          <w:rPr>
            <w:rStyle w:val="Hyperlink"/>
            <w:rFonts w:ascii="Georgia" w:hAnsi="Georgia"/>
            <w:sz w:val="26"/>
            <w:szCs w:val="26"/>
          </w:rPr>
          <w:t xml:space="preserve">Minimum viable population</w:t>
        </w:r>
      </w:hyperlink>
      <w:r>
        <w:rPr>
          <w:rFonts w:ascii="Georgia" w:hAnsi="Georgia"/>
          <w:sz w:val="26"/>
          <w:szCs w:val="26"/>
        </w:rPr>
        <w:t xml:space="preserve">.” Wikipedia.</w:t>
      </w:r>
      <w:bookmarkEnd w:id="9014"/>
    </w:p>
    <w:p w14:paraId="0E7756D4" w14:textId="77777777" w:rsidR="00B851C7" w:rsidRDefault="00000000">
      <w:bookmarkStart w:id="9015" w:name="bib_genship"/>
      <w:r>
        <w:rPr>
          <w:rFonts w:ascii="Georgia" w:hAnsi="Georgia"/>
          <w:sz w:val="26"/>
          <w:szCs w:val="26"/>
        </w:rPr>
        <w:t xml:space="preserve">“</w:t>
      </w:r>
      <w:hyperlink r:id="rId40" w:history="1">
        <w:r>
          <w:rPr>
            <w:rStyle w:val="Hyperlink"/>
            <w:rFonts w:ascii="Georgia" w:hAnsi="Georgia"/>
            <w:sz w:val="26"/>
            <w:szCs w:val="26"/>
          </w:rPr>
          <w:t xml:space="preserve">Generation ship</w:t>
        </w:r>
      </w:hyperlink>
      <w:r>
        <w:rPr>
          <w:rFonts w:ascii="Georgia" w:hAnsi="Georgia"/>
          <w:sz w:val="26"/>
          <w:szCs w:val="26"/>
        </w:rPr>
        <w:t xml:space="preserve">.” Wikipedia.</w:t>
      </w:r>
      <w:bookmarkEnd w:id="9015"/>
    </w:p>
    <w:p w14:paraId="134AC33B" w14:textId="77777777" w:rsidR="00B851C7" w:rsidRDefault="00000000">
      <w:bookmarkStart w:id="9016" w:name="bib_rubin"/>
      <w:r>
        <w:rPr>
          <w:rFonts w:ascii="Georgia" w:hAnsi="Georgia"/>
          <w:sz w:val="26"/>
          <w:szCs w:val="26"/>
        </w:rPr>
        <w:t xml:space="preserve">Kurlander, J. A., Bernardinelli, P. H., Schwamb, M. E., et al. “</w:t>
      </w:r>
      <w:hyperlink r:id="rId16" w:history="1">
        <w:r>
          <w:rPr>
            <w:rStyle w:val="Hyperlink"/>
            <w:rFonts w:ascii="Georgia" w:hAnsi="Georgia"/>
            <w:sz w:val="26"/>
            <w:szCs w:val="26"/>
          </w:rPr>
          <w:t xml:space="preserve">Predictions of the LSST Solar System Yield: Near-Earth Objects, Main Belt Asteroids, Jupiter Trojans, and Trans-Neptunian Objects</w:t>
        </w:r>
      </w:hyperlink>
      <w:r>
        <w:rPr>
          <w:rFonts w:ascii="Georgia" w:hAnsi="Georgia"/>
          <w:sz w:val="26"/>
          <w:szCs w:val="26"/>
        </w:rPr>
        <w:t xml:space="preserve">.” arXiv:2506.02487 (2025). The Vera C. Rubin Observatory forecast.</w:t>
      </w:r>
      <w:bookmarkEnd w:id="9016"/>
    </w:p>
    <w:p w14:paraId="36307B76" w14:textId="77777777" w:rsidR="00B851C7" w:rsidRDefault="00000000">
      <w:bookmarkStart w:id="9017" w:name="bib_starlink"/>
      <w:r>
        <w:rPr>
          <w:rFonts w:ascii="Georgia" w:hAnsi="Georgia"/>
          <w:sz w:val="26"/>
          <w:szCs w:val="26"/>
        </w:rPr>
        <w:t xml:space="preserve">Space.com. “</w:t>
      </w:r>
      <w:hyperlink r:id="rId18" w:history="1">
        <w:r>
          <w:rPr>
            <w:rStyle w:val="Hyperlink"/>
            <w:rFonts w:ascii="Georgia" w:hAnsi="Georgia"/>
            <w:sz w:val="26"/>
            <w:szCs w:val="26"/>
          </w:rPr>
          <w:t xml:space="preserve">Starlink satellites: Facts, tracking and impact on astronomy</w:t>
        </w:r>
      </w:hyperlink>
      <w:r>
        <w:rPr>
          <w:rFonts w:ascii="Georgia" w:hAnsi="Georgia"/>
          <w:sz w:val="26"/>
          <w:szCs w:val="26"/>
        </w:rPr>
        <w:t xml:space="preserve">.” Consulted September 2026.</w:t>
      </w:r>
      <w:bookmarkEnd w:id="9017"/>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bookmarkStart w:id="129" w:name="_TocAll0029"/>
      <w:bookmarkEnd w:id="129"/>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When a prose retelling of one of them is finished, its title will be printed on this page.</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Gravitation, Actually: A Short Book on Gravity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Comic Mystery,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pPr>
        <w:jc w:val="both"/>
      </w:pPr>
      <w:r>
        <w:rPr>
          <w:rFonts w:ascii="Georgia" w:hAnsi="Georgia"/>
          <w:color w:val="2B2B2B"/>
          <w:sz w:val="26"/>
          <w:i/>
          <w:iCs/>
        </w:rPr>
        <w:t xml:space="preserve">If you enjoyed the story, a few words on Amazon would mean a great deal. It’s how other readers find their way here, and I read every one.</w:t>
      </w:r>
    </w:p>
    <w:p>
      <w:r>
        <w:br w:type="page"/>
      </w:r>
    </w:p>
    <w:p w14:paraId="6AF50A5D" w14:textId="50AB23E7" w:rsidR="00B851C7" w:rsidRDefault="00000000">
      <w:pPr>
        <w:pStyle w:val="Heading1"/>
        <w:rPr>
          <w:sz w:val="28"/>
          <w:szCs w:val="28"/>
        </w:rPr>
      </w:pPr>
      <w:bookmarkStart w:id="130" w:name="_TocAll0030"/>
      <w:bookmarkEnd w:id="130"/>
      <w:r>
        <w:rPr>
          <w:sz w:val="28"/>
          <w:szCs w:val="28"/>
        </w:rPr>
        <w:lastRenderedPageBreak/>
        <w:t>ABOUT THE AUTHOR</w:t>
      </w:r>
    </w:p>
    <w:p w14:paraId="2DB4E5DD" w14:textId="77777777" w:rsidR="007904FB" w:rsidRDefault="007904FB">
      <w:pPr/>
    </w:p>
    <w:p>
      <w:pPr>
        <w:jc w:val="both"/>
        <w:rPr>
          <w:rFonts w:ascii="Georgia" w:hAnsi="Georgia"/>
          <w:color w:val="2B2B2B"/>
          <w:sz w:val="26"/>
        </w:rPr>
      </w:pPr>
      <w:r>
        <w:rPr>
          <w:rFonts w:ascii="Georgia" w:hAnsi="Georgia"/>
          <w:color w:val="2B2B2B"/>
          <w:sz w:val="26"/>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color w:val="2B2B2B"/>
          <w:sz w:val="26"/>
        </w:rPr>
        <w:t xml:space="preserve">Four Weddings and a Funeral</w:t>
      </w:r>
      <w:r>
        <w:rPr>
          <w:rFonts w:ascii="Georgia" w:hAnsi="Georgia"/>
          <w:color w:val="2B2B2B"/>
          <w:sz w:val="26"/>
        </w:rPr>
        <w:t xml:space="preserve">. The preposterous accent, however, was inspired by </w:t>
      </w:r>
      <w:r>
        <w:rPr>
          <w:i/>
          <w:iCs/>
          <w:rFonts w:ascii="Georgia" w:hAnsi="Georgia"/>
          <w:color w:val="2B2B2B"/>
          <w:sz w:val="26"/>
        </w:rPr>
        <w:t xml:space="preserve">Love Actually</w:t>
      </w:r>
      <w:r>
        <w:rPr>
          <w:rFonts w:ascii="Georgia" w:hAnsi="Georgia"/>
          <w:color w:val="2B2B2B"/>
          <w:sz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jc w:val="both"/>
        <w:rPr>
          <w:rFonts w:ascii="Georgia" w:hAnsi="Georgia"/>
          <w:color w:val="2B2B2B"/>
          <w:sz w:val="26"/>
        </w:rPr>
      </w:pPr>
      <w:r>
        <w:rPr>
          <w:rFonts w:ascii="Georgia" w:hAnsi="Georgia"/>
          <w:color w:val="2B2B2B"/>
          <w:sz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27" Type="http://schemas.openxmlformats.org/officeDocument/2006/relationships/footer" Target="footer1.xml"/><Relationship Id="rId30" Type="http://schemas.openxmlformats.org/officeDocument/2006/relationships/footer" Target="footer3.xml"/><Relationship Id="rId33" Type="http://schemas.openxmlformats.org/officeDocument/2006/relationships/hyperlink" Target="https://doi.org/10.1126/science.199.4327.377" TargetMode="External"/><Relationship Id="rId34" Type="http://schemas.openxmlformats.org/officeDocument/2006/relationships/hyperlink" Target="https://arxiv.org/abs/1903.09582" TargetMode="External"/><Relationship Id="rId35" Type="http://schemas.openxmlformats.org/officeDocument/2006/relationships/hyperlink" Target="https://eclipse.gsfc.nasa.gov/SEpath/SEpath2001/SE2026Aug12Tpath.html" TargetMode="External"/><Relationship Id="rId36" Type="http://schemas.openxmlformats.org/officeDocument/2006/relationships/hyperlink" Target="https://doi.org/10.1073/pnas.93.2.705" TargetMode="External"/><Relationship Id="rId37" Type="http://schemas.openxmlformats.org/officeDocument/2006/relationships/hyperlink" Target="https://doi.org/10.1016/S0140-6736%2897%2902174-0" TargetMode="External"/><Relationship Id="rId38" Type="http://schemas.openxmlformats.org/officeDocument/2006/relationships/hyperlink" Target="https://hamsci.org" TargetMode="External"/><Relationship Id="rId39" Type="http://schemas.openxmlformats.org/officeDocument/2006/relationships/hyperlink" Target="https://en.wikipedia.org/wiki/Minimum_viable_population" TargetMode="External"/><Relationship Id="rId40" Type="http://schemas.openxmlformats.org/officeDocument/2006/relationships/hyperlink" Target="https://en.wikipedia.org/wiki/Generation_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