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pStyle w:val="Heading3"/>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ist die Bundesfinanzierung regulärer Medicaid- und CHIP-Leistungen für Nicht-US-Bürger auf wenige Statusgruppen begrenzt: rechtmäßige Daueraufenthaltsberechtigte (Lawful Permanent Residents, LPR/Green Card), Cuban or Haitian entrants und Compact of Free Association (COFA) Migrants. Für viele LPR gilt grundsätzlich eine fünfjährige Wartefrist; Ausnahmen hängen unter anderem vom früheren Status ab. Staaten, die die CHIPRA-214-Option nutzen, können auch rechtmäßig anwesende Kinder und Schwangere einbeziehen. Für bestimmte Notfallbehandlungen kann Emergency Medicaid unter den jeweiligen Voraussetzungen infrage kommen. Dein Anspruch hängt von Aufenthaltsstatus, Einkommen, Programm und Bundesstaat ab. Lass deine konkrete Lage von der zuständigen Landesstelle prüfen. Wenn du später eine Green Card beantragen willst, lass mögliche Folgen konkreter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Wer die Wege in diesem Kapitel zum ersten Mal vergleicht, tappt erfahrungsgemäß in ähnliche Fallen: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Wer die Wege in diesem Kapitel zum ersten Mal vergleicht, tappt erfahrungsgemäß in ähnliche Fallen:</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September 2026 (Schreibdatum 23. September 2026). Miet- und Kaufpreise ändern sich monatlich merklich, ebenso die Kriterien und Ausnahmen des Overseas Investment Act und die Umlagehöhe der Natural Hazards Commission. Prüfe vor jeder Entscheidung die offiziellen Seiten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Was kann in Deutschland günstig wirken und im Zielland zum großen Kostenposten werden – etwa Gesundheit, Studium, Mobilität oder Haushaltshilfe?</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Was kann in Deutschland günstig wirken und im Zielland zum großen Kostenposten werden – etwa Gesundheit, Studium, Mobilität oder Haushaltshilfe?</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Was kann in Deutschland günstig wirken und im Zielland zum großen Kostenposten werden – etwa Gesundheit, Studium, Mobilität oder Haushaltshilfe?</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Was kann in Deutschland günstig wirken und im Zielland zum großen Kostenposten werden – etwa Gesundheit, Studium, Mobilität oder Haushaltshilfe?</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