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Medieval Córdoba to 1981: Spain, Convivencia and the General</w:t>
      </w:r>
    </w:p>
    <w:p>
      <w:pPr>
        <w:spacing w:after="200"/>
      </w:pPr>
      <w:r>
        <w:t xml:space="preserve">Dolphin historians open this chapter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centuries of coexistence and scholarship among Muslim, Christian, and Jewish communities — convivencia — with Córdoba and Toledo among the era's great centers of translation and learning, preserving and extending Greek philosophy, mathematics, and medicine at a time large parts of Christian Europe had less access to them.</w:t>
      </w:r>
    </w:p>
    <w:p>
      <w:pPr>
        <w:spacing w:after="200"/>
      </w:pPr>
      <w:r>
        <w:t xml:space="preserve">Convivencia's most famous graduate was born in Córdoba around 1135-38: Maimonides, a Jewish philosopher and physician who wrote his greatest works in Arabic and went on to shape Jewish, Islamic, and Christian scholastic thought alike, a single career that could not have happened in a Córdoba of only one faith.</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covered elsewhere in this book.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 deliberate rehearsal of the aerial terror tactics that would soon be turned on far larger cities.</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book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2026-10-02T20:39:00.059Z</dcterms:created>
  <dcterms:modified xsi:type="dcterms:W3CDTF">2026-10-02T20:39:00.059Z</dcterms:modified>
</cp:coreProperties>
</file>

<file path=docProps/custom.xml><?xml version="1.0" encoding="utf-8"?>
<Properties xmlns="http://schemas.openxmlformats.org/officeDocument/2006/custom-properties" xmlns:vt="http://schemas.openxmlformats.org/officeDocument/2006/docPropsVTypes"/>
</file>