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4" w:id="1"/>
      <w:r>
        <w:rPr>
          <w:rFonts w:ascii="Amazon Ember" w:cs="Amazon Ember" w:eastAsia="Amazon Ember" w:hAnsi="Amazon Ember"/>
          <w:b/>
          <w:bCs/>
          <w:color w:val="1F4E79"/>
          <w:sz w:val="32"/>
          <w:szCs w:val="32"/>
        </w:rPr>
        <w:t xml:space="preserve">The 1940s to the 1970s: Decolonization — The World Redraws Itself</w:t>
      </w:r>
      <w:bookmarkEnd w:id="1"/>
    </w:p>
    <w:p>
      <w:pPr>
        <w:spacing w:after="200"/>
      </w:pPr>
      <w:r>
        <w:t xml:space="preserve">Formal empire, built up over the centuries this book has already covered, mostly ended within a single human lifetime. The process ran fastest between the 1940s and the 1970s, and its speed was almost as remarkable as the speed of the empires it dismantled.</w:t>
      </w:r>
    </w:p>
    <w:p>
      <w:pPr>
        <w:spacing w:after="200"/>
      </w:pPr>
      <w:r>
        <w:t xml:space="preserve">India’s road to independence began, like several roads already walked in this history,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best summarized as a business with a country attached. Company rule ended after the uprising of 1857, and direct rule by the British Crown, the Raj, followed until 1947.</w:t>
      </w:r>
    </w:p>
    <w:p>
      <w:pPr>
        <w:spacing w:after="200"/>
      </w:pPr>
      <w:r>
        <w:t xml:space="preserve">The entries in the ledger are not seriously in dispute; their weighting is.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Gandhi’s campaign of nonviolent resistance had its most famous episode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never paid for salt, note that it is a curious empire that can be shaken by something the ocean gives away for free.</w:t>
      </w:r>
    </w:p>
    <w:p>
      <w:pPr>
        <w:spacing w:after="200"/>
      </w:pPr>
      <w:r>
        <w:t xml:space="preserve">India’s independence in 1947 is often credited to that campaign of organized nonviolent resistance led by Mohandas Gandhi, which offered one model: mass noncooperation aimed at making continued colonial rule too costly to sustain politically rather than militarily. How much of the credit the campaign deserves is itself argued; a rival school of historians weights the ledger toward a Britain left financially exhausted by the Second World War, a 1946 mutiny within its own Royal Indian Navy, and a colonial administration that had concluded, on its own calculations, that it could no longer govern the subcontinent at an acceptable cost — a transfer of power as much as a surrender to one. Independence arrived alongside Partition, dividing British India into India and Pakistan along religious lines, and the mass displacement and violence that followed killed somewhere between several hundred thousand and two million people, by different estimates, and displaced about fifteen million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India supplied one model: organize, outlast, make the empire’s own math stop working. The wave that followed, mostly across Africa, did not always have the time for it. It crested around 1960, when seventeen countries gained independence in a single year, most from France and Britain, some only after armed conflict instead of negotiation. Algeria won its independence from France only in 1962, after eight years of war.</w:t>
      </w:r>
    </w:p>
    <w:p>
      <w:pPr>
        <w:spacing w:after="200"/>
      </w:pPr>
      <w:r>
        <w:t xml:space="preserve">Britain’s own version of the handover was a case study in how little patience this could leave behind. The country spent the middle of this century returning an empire it had spent the previous two centuries quite energetically acquiring, and the returning was less graceful in places than its own histories later remembered. In Kenya, during the Mau Mau uprising of the 1950s, British authorities held tens of thousands of Kenyans in detention camps where torture was widespread; in 2013 the British government expressed regret and paid compensation to 5,228 surviving victims.</w:t>
      </w:r>
    </w:p>
    <w:p>
      <w:pPr>
        <w:spacing w:after="200"/>
      </w:pPr>
      <w:r>
        <w:t xml:space="preserve">Speed left two inheritances behind that outlasted the flags coming down. The first was cartographic: independence did not erase the maps colonial powers had drawn with no reference to the ethnic, linguistic, or religious boundaries that existed on the ground. Several of the era’s later conflicts, many historians argue, owe at least part of their origin to borders drawn decades or centuries earlier by administrators who had never intended those borders to become permanent national boundaries at all.</w:t>
      </w:r>
    </w:p>
    <w:p>
      <w:pPr>
        <w:spacing w:after="200"/>
      </w:pPr>
      <w:r>
        <w:t xml:space="preserve">The second inheritance was harder to see on any map, because it lived in paperwork rather than borders. Colonial administrators drew categories as well as lines. In Rwanda, which Belgium took over from Germany after the First World War, an old and flexible distinction between Tutsi and Hutu was hardened into a fixed one, and in the 1930s every Rwandan was issued an identity card naming a group. In 1994, after the plane carrying the president was shot down, extremist officials and militias used those categories, and the lists that went with them, to kill an estimated 500,000 to 800,000 Tutsi and moderate Hutu in about a hundred days, while the United Nations force on the ground was reduced instead of reinforced.</w:t>
      </w:r>
    </w:p>
    <w:p>
      <w:pPr>
        <w:spacing w:after="200"/>
      </w:pPr>
      <w:r>
        <w:t xml:space="preserve">Inherited borders and inherited categories were only half the inheritance. The other half arrived from outside: newly independent states faced a complication the Cold War’s two superpowers made unavoidable, which was that nobody’s independence stayed purely their own business for long.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record. But the economic dependencies, the drawn borders, and the political structures colonialism left behind did not end on the same schedule, and in a number of cases have not ended yet. Independence turned out to be a start, not a conclusion — a pattern now seen often enough to stop finding surprising, though not to stop repeating.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2026-10-13T01:02:49.087Z</dcterms:created>
  <dcterms:modified xsi:type="dcterms:W3CDTF">2026-10-13T01:02:49.087Z</dcterms:modified>
</cp:coreProperties>
</file>

<file path=docProps/custom.xml><?xml version="1.0" encoding="utf-8"?>
<Properties xmlns="http://schemas.openxmlformats.org/officeDocument/2006/custom-properties" xmlns:vt="http://schemas.openxmlformats.org/officeDocument/2006/docPropsVTypes"/>
</file>