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Bei Kanadas Einwanderungswegen gilt es zuerst, Voraussetzungen und Einladungschancen auseinanderzuhalten. Achte besonders auf diese typischen Fehlannahmen: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In Neuseeland reicht es nicht, ein Arbeitsvisum und einen Residenzweg gleichzusetzen: Ihre Bedingungen und Folgen unterscheiden sich deutlich. Diese Punkte werden häufig verwechselt:</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Welche US-Kosten für Krankenversicherung, Studium und Mobilität können den Budgetvergleich mit Deutschland kippen?</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Welche kanadischen Ausgaben für Wohnen, Gesundheit, Studium und Alltag musst du mit deutschen Kosten vergleichen?</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Wie wirken sich Australiens Gesundheitskosten, Studiengebühren und weite Wege auf dein Budget aus?</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Welche Kosten für Wohnen, Gesundheit, Studium und Wege solltest du für Neuseeland konkret durchrechnen?</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express-entry/get-confirm-nomination.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