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Der Median für die gesamte Kategorie „Skilled Permanent“ lag im Juli 2026 bei 8 Monaten; das ist kein subclass-spezifischer Richtwert. Für die Visa 189 und 190 hängen Reihenfolge und Dauer von der Prioritätsgruppe und vom Einzelfall ab. Seit 19. September 2026 gelten neue Prioritätsregeln. Prüfe den aktuellen Visa Processing Times Guide und plane die staatliche Nominierung für Visa 190 nach den Fristen des jeweiligen Bundesstaats oder Territoriums. Quellen: https://immi.homeaffairs.gov.au/Visa-subsite/Pages/Processing-times/Overview.aspx; https://immi.homeaffairs.gov.au/Visa-subsite/Pages/Processing-times/skilled-visa-processing-priorities.aspx Neuseeland ist bei der regulären Kategorie mit rund 2–4 Monaten am schnellsten, Neuseeland ist derzeit am schnellsten: Immigration New Zealand weist für die Skilled Migrant Category 9,5 Wochen im Durchschnitt und 3,5 Monate für 80 % der zuletzt bearbeiteten Fälle aus; für Straight to Residence sind es 8 Wochen im Durchschnitt und 3 Monate für 80 % (Stand 13. Oktober 2026; wöchentlich aktualisierte Momentaufnahme, keine Zusage;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deutlich höhere Brutto- und Nettogehälter, aber ohne das deutsche soziale Netz: kein Kündigungsschutz, kaum gesetzlicher Urlaub, Krankenversicherung hängt am Job.</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zudem so hart wie lange nicht: Von Januar bis August 2026 kündigten US-Unternehmen laut einer Beratung 155.126 Tech-Stellen an, 52 % mehr als im Vorjahr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die Deckung über die Fortführung der Arbeitgeberversicherung (COBRA) fortsetzen. Du zahlst dann aber die volle Prämie plus 2 % – rechnerisch rund 790 $ im Monat für eine Einzelperson.</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Hier zeigt sich der größte kulturelle Bruch: In fast allen Bundesstaaten gilt Kündigung ohne Grund (</w:t>
      </w:r>
      <w:r>
        <w:rPr>
          <w:i/>
          <w:iCs/>
        </w:rPr>
        <w:t>At-will Employment</w:t>
      </w:r>
      <w:r>
        <w:t>). Weder du noch dein Arbeitgeber braucht einen Grund oder eine Frist; ein Kündigungsschutzgesetz wie in Deutschland gibt es nicht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Kein Kündigungsschutz, dafür eine scharfe 60-Tage-Frist.</w:t>
      </w:r>
      <w:r>
        <w:t xml:space="preserve"> Warum das passiert: In den USA gilt fast überall </w:t>
      </w:r>
      <w:r>
        <w:rPr>
          <w:i/>
          <w:iCs/>
        </w:rPr>
        <w:t>At-will Employment</w:t>
      </w:r>
      <w:r>
        <w:t xml:space="preserve">. Beide Seiten können das Arbeitsverhältnis fristlos und ohne Grund beenden, ein Kündigungsschutzgesetz wie in Deutschland gibt es nicht.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Du führst den bisherigen Plan fort, bei Kündigung oder Stundenkürzung 18 Monate, bei Folgeereignissen wie Scheidung oder Tod des Versicherten bis zu 36 Monate. Das gilt bei Arbeitgebern ab 20 Beschäftigten. Du zahlst die volle Prämie, Arbeitgeber- und Arbeitnehmeranteil, plus den gesetzlichen Aufschlag. Der COBRA-Bescheid nennt den konkreten Beitrag; vergleiche ihn mit einem Marketplace-Plan und einem möglichen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Fast überall gilt At-will Employment (Kündigung ohne Grund, für beide Seiten). Ausnahmen betreffen vor allem Diskriminierung, Vergeltung und Vertragsbruch.</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Jeder Überbrückungsmonat per COBRA kostet rechnerisch rund 790 $.</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COBRA rund 790 $, Lebensmittel, Handy, Nahverkehr und Versicherungen nach grober Schätzung 1.000–1.500 $. Das macht rund 4.200–4.850 $ im Monat, für sechs Monate also etwa 25.000–29.000 $. Hinzu kommen Sonderposten, falls du ausreisen musst: Flug, Umzug oder Einlagerung und beim vorzeitigen Auszug 1–2 Monatsmieten (Kapitel </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Krankenversicherung hängt am Job: Wartefristen bis 90 Tage, COBRA rund 790 $ pro Monat</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