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303520" cy="7901162"/>
            <wp:docPr id="1" name="Picture 1"/>
            <wp:cNvGraphicFramePr>
              <a:graphicFrameLocks noChangeAspect="1"/>
            </wp:cNvGraphicFramePr>
            <a:graphic>
              <a:graphicData uri="http://schemas.openxmlformats.org/drawingml/2006/picture">
                <pic:pic>
                  <pic:nvPicPr>
                    <pic:cNvPr id="0" name="Nd4w5.jpg"/>
                    <pic:cNvPicPr/>
                  </pic:nvPicPr>
                  <pic:blipFill>
                    <a:blip r:embed="rId9"/>
                    <a:stretch>
                      <a:fillRect/>
                    </a:stretch>
                  </pic:blipFill>
                  <pic:spPr>
                    <a:xfrm>
                      <a:off x="0" y="0"/>
                      <a:ext cx="5303520" cy="7901162"/>
                    </a:xfrm>
                    <a:prstGeom prst="rect"/>
                  </pic:spPr>
                </pic:pic>
              </a:graphicData>
            </a:graphic>
          </wp:inline>
        </w:drawing>
      </w:r>
    </w:p>
    <w:p>
      <w:pPr>
        <w:spacing w:after="120" w:line="312" w:lineRule="auto"/>
      </w:pPr>
      <w:r>
        <w:rPr>
          <w:rFonts w:ascii="Times New Roman" w:hAnsi="Times New Roman"/>
          <w:b w:val="0"/>
          <w:i w:val="0"/>
          <w:sz w:val="22"/>
        </w:rPr>
        <w:t xml:space="preserve"> </w:t>
      </w:r>
    </w:p>
    <w:p>
      <w:pPr>
        <w:spacing w:after="200" w:line="312" w:lineRule="auto"/>
        <w:jc w:val="center"/>
      </w:pPr>
      <w:r>
        <w:rPr>
          <w:rFonts w:ascii="Times New Roman" w:hAnsi="Times New Roman"/>
          <w:b/>
          <w:i w:val="0"/>
          <w:sz w:val="24"/>
        </w:rPr>
        <w:t>FIRST DRAFT — POLISHED &amp; CLARIFIED VERSION</w:t>
      </w:r>
    </w:p>
    <w:p>
      <w:pPr>
        <w:spacing w:after="200" w:line="312" w:lineRule="auto"/>
        <w:jc w:val="center"/>
      </w:pPr>
      <w:r>
        <w:rPr>
          <w:rFonts w:ascii="Times New Roman" w:hAnsi="Times New Roman"/>
          <w:b w:val="0"/>
          <w:i w:val="0"/>
          <w:sz w:val="22"/>
        </w:rPr>
        <w:t>August 2026</w:t>
      </w:r>
    </w:p>
    <w:p>
      <w:pPr>
        <w:spacing w:after="200" w:line="312" w:lineRule="auto"/>
        <w:jc w:val="center"/>
      </w:pPr>
      <w:r>
        <w:rPr>
          <w:rFonts w:ascii="Times New Roman" w:hAnsi="Times New Roman"/>
          <w:b w:val="0"/>
          <w:i/>
          <w:sz w:val="20"/>
        </w:rPr>
        <w:t>With cover, improved readability, expanded index, and print-oriented layout</w:t>
      </w:r>
    </w:p>
    <w:p>
      <w:r>
        <w:br w:type="page"/>
      </w:r>
    </w:p>
    <w:p/>
    <w:p/>
    <w:p/>
    <w:p>
      <w:pPr>
        <w:spacing w:after="200" w:line="312" w:lineRule="auto"/>
        <w:jc w:val="center"/>
      </w:pPr>
      <w:r>
        <w:rPr>
          <w:rFonts w:ascii="Times New Roman" w:hAnsi="Times New Roman"/>
          <w:b/>
          <w:i w:val="0"/>
          <w:sz w:val="44"/>
        </w:rPr>
        <w:t>PHASE AND POTENTIAL</w:t>
      </w:r>
    </w:p>
    <w:p>
      <w:pPr>
        <w:spacing w:after="80" w:line="312" w:lineRule="auto"/>
      </w:pPr>
      <w:r>
        <w:rPr>
          <w:rFonts w:ascii="Times New Roman" w:hAnsi="Times New Roman"/>
          <w:b w:val="0"/>
          <w:i w:val="0"/>
          <w:sz w:val="22"/>
        </w:rPr>
        <w:t xml:space="preserve"> </w:t>
      </w:r>
    </w:p>
    <w:p>
      <w:pPr>
        <w:spacing w:after="200" w:line="312" w:lineRule="auto"/>
        <w:jc w:val="center"/>
      </w:pPr>
      <w:r>
        <w:rPr>
          <w:rFonts w:ascii="Times New Roman" w:hAnsi="Times New Roman"/>
          <w:b w:val="0"/>
          <w:i w:val="0"/>
          <w:sz w:val="26"/>
        </w:rPr>
        <w:t>Merging Feynman’s Quantum Electrodynamics</w:t>
      </w:r>
    </w:p>
    <w:p>
      <w:pPr>
        <w:spacing w:after="200" w:line="312" w:lineRule="auto"/>
        <w:jc w:val="center"/>
      </w:pPr>
      <w:r>
        <w:rPr>
          <w:rFonts w:ascii="Times New Roman" w:hAnsi="Times New Roman"/>
          <w:b w:val="0"/>
          <w:i w:val="0"/>
          <w:sz w:val="26"/>
        </w:rPr>
        <w:t>with Mead’s Collective Electrodynamics</w:t>
      </w:r>
    </w:p>
    <w:p>
      <w:pPr>
        <w:spacing w:after="160" w:line="312" w:lineRule="auto"/>
      </w:pPr>
      <w:r>
        <w:rPr>
          <w:rFonts w:ascii="Times New Roman" w:hAnsi="Times New Roman"/>
          <w:b w:val="0"/>
          <w:i w:val="0"/>
          <w:sz w:val="22"/>
        </w:rPr>
        <w:t xml:space="preserve"> </w:t>
      </w:r>
    </w:p>
    <w:p>
      <w:pPr>
        <w:spacing w:after="200" w:line="312" w:lineRule="auto"/>
        <w:jc w:val="center"/>
      </w:pPr>
      <w:r>
        <w:rPr>
          <w:rFonts w:ascii="Times New Roman" w:hAnsi="Times New Roman"/>
          <w:b w:val="0"/>
          <w:i/>
          <w:sz w:val="24"/>
        </w:rPr>
        <w:t>Toward a Unified Quantum Foundation of Electromagnetism</w:t>
      </w:r>
    </w:p>
    <w:p>
      <w:pPr>
        <w:spacing w:after="400" w:line="312" w:lineRule="auto"/>
      </w:pPr>
      <w:r>
        <w:rPr>
          <w:rFonts w:ascii="Times New Roman" w:hAnsi="Times New Roman"/>
          <w:b w:val="0"/>
          <w:i w:val="0"/>
          <w:sz w:val="22"/>
        </w:rPr>
        <w:t xml:space="preserve"> </w:t>
      </w:r>
    </w:p>
    <w:p>
      <w:pPr>
        <w:spacing w:after="200" w:line="312" w:lineRule="auto"/>
        <w:jc w:val="center"/>
      </w:pPr>
      <w:r>
        <w:rPr>
          <w:rFonts w:ascii="Times New Roman" w:hAnsi="Times New Roman"/>
          <w:b w:val="0"/>
          <w:i w:val="0"/>
          <w:sz w:val="22"/>
        </w:rPr>
        <w:t>A clarified and polished first-draft monograph</w:t>
      </w:r>
    </w:p>
    <w:p>
      <w:pPr>
        <w:spacing w:after="200" w:line="312" w:lineRule="auto"/>
        <w:jc w:val="center"/>
      </w:pPr>
      <w:r>
        <w:rPr>
          <w:rFonts w:ascii="Times New Roman" w:hAnsi="Times New Roman"/>
          <w:b w:val="0"/>
          <w:i w:val="0"/>
          <w:sz w:val="20"/>
        </w:rPr>
        <w:t>with mathematical appendix, worked examples, figures, and index</w:t>
      </w:r>
    </w:p>
    <w:p>
      <w:r>
        <w:br w:type="page"/>
      </w:r>
    </w:p>
    <w:p>
      <w:pPr>
        <w:pStyle w:val="Heading1"/>
      </w:pPr>
      <w:r>
        <w:t>Preface</w:t>
      </w:r>
    </w:p>
    <w:p>
      <w:pPr>
        <w:spacing w:after="200" w:line="312" w:lineRule="auto"/>
      </w:pPr>
      <w:r>
        <w:rPr>
          <w:rFonts w:ascii="Times New Roman" w:hAnsi="Times New Roman"/>
          <w:b w:val="0"/>
          <w:i w:val="0"/>
          <w:sz w:val="22"/>
        </w:rPr>
        <w:t>This book tries to do something both Richard Feynman and Carver Mead believed was necessary: place electromagnetism on a foundation that begins with the quantum nature of matter rather than with classical fields.</w:t>
      </w:r>
    </w:p>
    <w:p>
      <w:pPr>
        <w:spacing w:after="200" w:line="312" w:lineRule="auto"/>
      </w:pPr>
      <w:r>
        <w:rPr>
          <w:rFonts w:ascii="Times New Roman" w:hAnsi="Times New Roman"/>
          <w:b w:val="0"/>
          <w:i w:val="0"/>
          <w:sz w:val="22"/>
        </w:rPr>
        <w:t>Feynman, with John Wheeler, explored an electrodynamics without an independent field. He later built Quantum Electrodynamics (QED), the most precise theory in physics. In 1963 notes he sketched a better way to teach the subject—starting with the potentials. He never finished that program.</w:t>
      </w:r>
    </w:p>
    <w:p>
      <w:pPr>
        <w:spacing w:after="200" w:line="312" w:lineRule="auto"/>
      </w:pPr>
      <w:r>
        <w:rPr>
          <w:rFonts w:ascii="Times New Roman" w:hAnsi="Times New Roman"/>
          <w:b w:val="0"/>
          <w:i w:val="0"/>
          <w:sz w:val="22"/>
        </w:rPr>
        <w:t>Mead, who studied under Feynman at Caltech, later wrote Collective Electrodynamics. He starts from the phase of a macroscopic coherent electron system (a superconducting loop) and recovers ordinary electromagnetism without taking Maxwell’s equations as fundamental.</w:t>
      </w:r>
    </w:p>
    <w:p>
      <w:pPr>
        <w:spacing w:after="200" w:line="312" w:lineRule="auto"/>
      </w:pPr>
      <w:r>
        <w:rPr>
          <w:rFonts w:ascii="Times New Roman" w:hAnsi="Times New Roman"/>
          <w:b w:val="0"/>
          <w:i w:val="0"/>
          <w:sz w:val="22"/>
        </w:rPr>
        <w:t>The two approaches share a deep intuition: the potentials, not the field strengths, are the natural variables once quantum mechanics is taken seriously. This manuscript brings them into conversation. It does not replace QED. It asks what QED looks like when collective phase is taken as primary, and what Collective Electrodynamics looks like when the full power of relativistic quantum field theory is restored.</w:t>
      </w:r>
    </w:p>
    <w:p>
      <w:pPr>
        <w:spacing w:after="200" w:line="312" w:lineRule="auto"/>
      </w:pPr>
      <w:r>
        <w:rPr>
          <w:rFonts w:ascii="Times New Roman" w:hAnsi="Times New Roman"/>
          <w:b w:val="0"/>
          <w:i w:val="0"/>
          <w:sz w:val="22"/>
        </w:rPr>
        <w:t>The present version has been clarified for readability. Paragraphs are shorter. Technical steps are paced more gently. An improved index and a proper cover have been added. The goal remains a coherent first draft that can grow into a finished monograph.</w:t>
      </w:r>
    </w:p>
    <w:p>
      <w:pPr>
        <w:spacing w:after="200" w:line="312" w:lineRule="auto"/>
      </w:pPr>
      <w:r>
        <w:rPr>
          <w:rFonts w:ascii="Times New Roman" w:hAnsi="Times New Roman"/>
          <w:b w:val="0"/>
          <w:i w:val="0"/>
          <w:sz w:val="22"/>
        </w:rPr>
        <w:t>August 2026</w:t>
      </w:r>
    </w:p>
    <w:p>
      <w:r>
        <w:br w:type="page"/>
      </w:r>
    </w:p>
    <w:p>
      <w:pPr>
        <w:pStyle w:val="Heading1"/>
      </w:pPr>
      <w:r>
        <w:t>Contents</w:t>
      </w:r>
    </w:p>
    <w:p>
      <w:pPr>
        <w:spacing w:after="80" w:line="312" w:lineRule="auto"/>
      </w:pPr>
      <w:r>
        <w:rPr>
          <w:rFonts w:ascii="Times New Roman" w:hAnsi="Times New Roman"/>
          <w:b w:val="0"/>
          <w:i w:val="0"/>
          <w:sz w:val="22"/>
        </w:rPr>
        <w:t>Preface</w:t>
      </w:r>
    </w:p>
    <w:p>
      <w:pPr>
        <w:spacing w:after="80" w:line="312" w:lineRule="auto"/>
      </w:pPr>
      <w:r>
        <w:rPr>
          <w:rFonts w:ascii="Times New Roman" w:hAnsi="Times New Roman"/>
          <w:b w:val="0"/>
          <w:i w:val="0"/>
          <w:sz w:val="22"/>
        </w:rPr>
        <w:t>Part I. Roots</w:t>
      </w:r>
    </w:p>
    <w:p>
      <w:pPr>
        <w:spacing w:after="80" w:line="312" w:lineRule="auto"/>
      </w:pPr>
      <w:r>
        <w:rPr>
          <w:rFonts w:ascii="Times New Roman" w:hAnsi="Times New Roman"/>
          <w:b w:val="0"/>
          <w:i w:val="0"/>
          <w:sz w:val="22"/>
        </w:rPr>
        <w:t xml:space="preserve">   1. Why the Foundations Matter</w:t>
      </w:r>
    </w:p>
    <w:p>
      <w:pPr>
        <w:spacing w:after="80" w:line="312" w:lineRule="auto"/>
      </w:pPr>
      <w:r>
        <w:rPr>
          <w:rFonts w:ascii="Times New Roman" w:hAnsi="Times New Roman"/>
          <w:b w:val="0"/>
          <w:i w:val="0"/>
          <w:sz w:val="22"/>
        </w:rPr>
        <w:t xml:space="preserve">   2. Wheeler, Feynman, and the Absorber Idea</w:t>
      </w:r>
    </w:p>
    <w:p>
      <w:pPr>
        <w:spacing w:after="80" w:line="312" w:lineRule="auto"/>
      </w:pPr>
      <w:r>
        <w:rPr>
          <w:rFonts w:ascii="Times New Roman" w:hAnsi="Times New Roman"/>
          <w:b w:val="0"/>
          <w:i w:val="0"/>
          <w:sz w:val="22"/>
        </w:rPr>
        <w:t xml:space="preserve">   3. Mead and the Collective Starting Point</w:t>
      </w:r>
    </w:p>
    <w:p>
      <w:pPr>
        <w:spacing w:after="80" w:line="312" w:lineRule="auto"/>
      </w:pPr>
      <w:r>
        <w:rPr>
          <w:rFonts w:ascii="Times New Roman" w:hAnsi="Times New Roman"/>
          <w:b w:val="0"/>
          <w:i w:val="0"/>
          <w:sz w:val="22"/>
        </w:rPr>
        <w:t>Part II. Feynman’s QED in Brief</w:t>
      </w:r>
    </w:p>
    <w:p>
      <w:pPr>
        <w:spacing w:after="80" w:line="312" w:lineRule="auto"/>
      </w:pPr>
      <w:r>
        <w:rPr>
          <w:rFonts w:ascii="Times New Roman" w:hAnsi="Times New Roman"/>
          <w:b w:val="0"/>
          <w:i w:val="0"/>
          <w:sz w:val="22"/>
        </w:rPr>
        <w:t xml:space="preserve">   4. Path Integrals and the Photon</w:t>
      </w:r>
    </w:p>
    <w:p>
      <w:pPr>
        <w:spacing w:after="80" w:line="312" w:lineRule="auto"/>
      </w:pPr>
      <w:r>
        <w:rPr>
          <w:rFonts w:ascii="Times New Roman" w:hAnsi="Times New Roman"/>
          <w:b w:val="0"/>
          <w:i w:val="0"/>
          <w:sz w:val="22"/>
        </w:rPr>
        <w:t xml:space="preserve">   5. Why the Potentials Come First</w:t>
      </w:r>
    </w:p>
    <w:p>
      <w:pPr>
        <w:spacing w:after="80" w:line="312" w:lineRule="auto"/>
      </w:pPr>
      <w:r>
        <w:rPr>
          <w:rFonts w:ascii="Times New Roman" w:hAnsi="Times New Roman"/>
          <w:b w:val="0"/>
          <w:i w:val="0"/>
          <w:sz w:val="22"/>
        </w:rPr>
        <w:t>Part III. Collective Electrodynamics in Brief</w:t>
      </w:r>
    </w:p>
    <w:p>
      <w:pPr>
        <w:spacing w:after="80" w:line="312" w:lineRule="auto"/>
      </w:pPr>
      <w:r>
        <w:rPr>
          <w:rFonts w:ascii="Times New Roman" w:hAnsi="Times New Roman"/>
          <w:b w:val="0"/>
          <w:i w:val="0"/>
          <w:sz w:val="22"/>
        </w:rPr>
        <w:t xml:space="preserve">   6. The Superconducting Loop</w:t>
      </w:r>
    </w:p>
    <w:p>
      <w:pPr>
        <w:spacing w:after="80" w:line="312" w:lineRule="auto"/>
      </w:pPr>
      <w:r>
        <w:rPr>
          <w:rFonts w:ascii="Times New Roman" w:hAnsi="Times New Roman"/>
          <w:b w:val="0"/>
          <w:i w:val="0"/>
          <w:sz w:val="22"/>
        </w:rPr>
        <w:t xml:space="preserve">   7. Phase, Flux, and Momentum</w:t>
      </w:r>
    </w:p>
    <w:p>
      <w:pPr>
        <w:spacing w:after="80" w:line="312" w:lineRule="auto"/>
      </w:pPr>
      <w:r>
        <w:rPr>
          <w:rFonts w:ascii="Times New Roman" w:hAnsi="Times New Roman"/>
          <w:b w:val="0"/>
          <w:i w:val="0"/>
          <w:sz w:val="22"/>
        </w:rPr>
        <w:t>Part IV. The Synthesis</w:t>
      </w:r>
    </w:p>
    <w:p>
      <w:pPr>
        <w:spacing w:after="80" w:line="312" w:lineRule="auto"/>
      </w:pPr>
      <w:r>
        <w:rPr>
          <w:rFonts w:ascii="Times New Roman" w:hAnsi="Times New Roman"/>
          <w:b w:val="0"/>
          <w:i w:val="0"/>
          <w:sz w:val="22"/>
        </w:rPr>
        <w:t xml:space="preserve">   8. Coherent States and the Collective Limit</w:t>
      </w:r>
    </w:p>
    <w:p>
      <w:pPr>
        <w:spacing w:after="80" w:line="312" w:lineRule="auto"/>
      </w:pPr>
      <w:r>
        <w:rPr>
          <w:rFonts w:ascii="Times New Roman" w:hAnsi="Times New Roman"/>
          <w:b w:val="0"/>
          <w:i w:val="0"/>
          <w:sz w:val="22"/>
        </w:rPr>
        <w:t xml:space="preserve">   9. What Happens to the Photon?</w:t>
      </w:r>
    </w:p>
    <w:p>
      <w:pPr>
        <w:spacing w:after="80" w:line="312" w:lineRule="auto"/>
      </w:pPr>
      <w:r>
        <w:rPr>
          <w:rFonts w:ascii="Times New Roman" w:hAnsi="Times New Roman"/>
          <w:b w:val="0"/>
          <w:i w:val="0"/>
          <w:sz w:val="22"/>
        </w:rPr>
        <w:t>Part V. Looking Forward</w:t>
      </w:r>
    </w:p>
    <w:p>
      <w:pPr>
        <w:spacing w:after="80" w:line="312" w:lineRule="auto"/>
      </w:pPr>
      <w:r>
        <w:rPr>
          <w:rFonts w:ascii="Times New Roman" w:hAnsi="Times New Roman"/>
          <w:b w:val="0"/>
          <w:i w:val="0"/>
          <w:sz w:val="22"/>
        </w:rPr>
        <w:t xml:space="preserve">   10. Teaching and Open Questions</w:t>
      </w:r>
    </w:p>
    <w:p>
      <w:pPr>
        <w:spacing w:after="80" w:line="312" w:lineRule="auto"/>
      </w:pPr>
      <w:r>
        <w:rPr>
          <w:rFonts w:ascii="Times New Roman" w:hAnsi="Times New Roman"/>
          <w:b w:val="0"/>
          <w:i w:val="0"/>
          <w:sz w:val="22"/>
        </w:rPr>
        <w:t>Mathematical Appendix (selected derivations)</w:t>
      </w:r>
    </w:p>
    <w:p>
      <w:pPr>
        <w:spacing w:after="80" w:line="312" w:lineRule="auto"/>
      </w:pPr>
      <w:r>
        <w:rPr>
          <w:rFonts w:ascii="Times New Roman" w:hAnsi="Times New Roman"/>
          <w:b w:val="0"/>
          <w:i w:val="0"/>
          <w:sz w:val="22"/>
        </w:rPr>
        <w:t>Worked Examples</w:t>
      </w:r>
    </w:p>
    <w:p>
      <w:pPr>
        <w:spacing w:after="80" w:line="312" w:lineRule="auto"/>
      </w:pPr>
      <w:r>
        <w:rPr>
          <w:rFonts w:ascii="Times New Roman" w:hAnsi="Times New Roman"/>
          <w:b w:val="0"/>
          <w:i w:val="0"/>
          <w:sz w:val="22"/>
        </w:rPr>
        <w:t>Figures</w:t>
      </w:r>
    </w:p>
    <w:p>
      <w:pPr>
        <w:spacing w:after="80" w:line="312" w:lineRule="auto"/>
      </w:pPr>
      <w:r>
        <w:rPr>
          <w:rFonts w:ascii="Times New Roman" w:hAnsi="Times New Roman"/>
          <w:b w:val="0"/>
          <w:i w:val="0"/>
          <w:sz w:val="22"/>
        </w:rPr>
        <w:t>Bibliography</w:t>
      </w:r>
    </w:p>
    <w:p>
      <w:pPr>
        <w:spacing w:after="80" w:line="312" w:lineRule="auto"/>
      </w:pPr>
      <w:r>
        <w:rPr>
          <w:rFonts w:ascii="Times New Roman" w:hAnsi="Times New Roman"/>
          <w:b w:val="0"/>
          <w:i w:val="0"/>
          <w:sz w:val="22"/>
        </w:rPr>
        <w:t>Index</w:t>
      </w:r>
    </w:p>
    <w:p>
      <w:r>
        <w:br w:type="page"/>
      </w:r>
    </w:p>
    <w:p>
      <w:pPr>
        <w:pStyle w:val="Heading1"/>
      </w:pPr>
      <w:r>
        <w:t>Part I. Roots</w:t>
      </w:r>
    </w:p>
    <w:p>
      <w:pPr>
        <w:pStyle w:val="Heading1"/>
      </w:pPr>
      <w:r>
        <w:t>1. Why the Foundations Matter</w:t>
      </w:r>
    </w:p>
    <w:p>
      <w:pPr>
        <w:spacing w:after="200" w:line="312" w:lineRule="auto"/>
      </w:pPr>
      <w:r>
        <w:rPr>
          <w:rFonts w:ascii="Times New Roman" w:hAnsi="Times New Roman"/>
          <w:b w:val="0"/>
          <w:i w:val="0"/>
          <w:sz w:val="22"/>
        </w:rPr>
        <w:t>Standard textbooks begin with the electric and magnetic fields E and B. The potentials A and φ appear later as mathematical tools. Energy is said to reside in the fields themselves.</w:t>
      </w:r>
    </w:p>
    <w:p>
      <w:pPr>
        <w:spacing w:after="200" w:line="312" w:lineRule="auto"/>
      </w:pPr>
      <w:r>
        <w:rPr>
          <w:rFonts w:ascii="Times New Roman" w:hAnsi="Times New Roman"/>
          <w:b w:val="0"/>
          <w:i w:val="0"/>
          <w:sz w:val="22"/>
        </w:rPr>
        <w:t>Quantum mechanics does not sit comfortably on this foundation. The Aharonov–Bohm effect shows that potentials produce observable interference even where E and B vanish. In the path integral the potentials determine the phase of every history. In QED the interaction is minimal coupling to Aμ.</w:t>
      </w:r>
    </w:p>
    <w:p>
      <w:pPr>
        <w:spacing w:after="200" w:line="312" w:lineRule="auto"/>
      </w:pPr>
      <w:r>
        <w:rPr>
          <w:rFonts w:ascii="Times New Roman" w:hAnsi="Times New Roman"/>
          <w:b w:val="0"/>
          <w:i w:val="0"/>
          <w:sz w:val="22"/>
        </w:rPr>
        <w:t>Einstein already expressed the discomfort: electrons and fields are not two independent entities. There is one reality with two aspects. The theory ought to recognize this from the start.</w:t>
      </w:r>
    </w:p>
    <w:p>
      <w:pPr>
        <w:spacing w:after="200" w:line="312" w:lineRule="auto"/>
      </w:pPr>
      <w:r>
        <w:rPr>
          <w:rFonts w:ascii="Times New Roman" w:hAnsi="Times New Roman"/>
          <w:b w:val="0"/>
          <w:i w:val="0"/>
          <w:sz w:val="22"/>
        </w:rPr>
        <w:t>A second problem is the correspondence principle. A superconducting loop with 10²³ electrons does not behave like 10²³ independent classical particles. Its inertia scales with the square of the number of charges. The right limit is collective electromagnetism expressed through phase and potentials, not classical particle mechanics.</w:t>
      </w:r>
    </w:p>
    <w:p>
      <w:pPr>
        <w:pStyle w:val="Heading1"/>
      </w:pPr>
      <w:r>
        <w:t>2. Wheeler, Feynman, and the Absorber Idea</w:t>
      </w:r>
    </w:p>
    <w:p>
      <w:pPr>
        <w:spacing w:after="200" w:line="312" w:lineRule="auto"/>
      </w:pPr>
      <w:r>
        <w:rPr>
          <w:rFonts w:ascii="Times New Roman" w:hAnsi="Times New Roman"/>
          <w:b w:val="0"/>
          <w:i w:val="0"/>
          <w:sz w:val="22"/>
        </w:rPr>
        <w:t>In the 1940s Wheeler and Feynman tried to eliminate the self-interaction of a point charge. They replaced the independent field with direct interaction between charges, using half-retarded plus half-advanced potentials. The radiation reaction felt by an accelerating charge is then the advanced effect of future absorption.</w:t>
      </w:r>
    </w:p>
    <w:p>
      <w:pPr>
        <w:spacing w:before="160" w:after="160"/>
        <w:ind w:left="720" w:right="720"/>
      </w:pPr>
      <w:r>
        <w:rPr>
          <w:rFonts w:ascii="Times New Roman" w:hAnsi="Times New Roman"/>
          <w:i/>
          <w:sz w:val="20"/>
        </w:rPr>
        <w:t>There is no such concept as “the” field, an independent entity with degrees of freedom of its own.</w:t>
      </w:r>
    </w:p>
    <w:p>
      <w:pPr>
        <w:spacing w:after="200" w:line="312" w:lineRule="auto"/>
      </w:pPr>
      <w:r>
        <w:rPr>
          <w:rFonts w:ascii="Times New Roman" w:hAnsi="Times New Roman"/>
          <w:b w:val="0"/>
          <w:i w:val="0"/>
          <w:sz w:val="22"/>
        </w:rPr>
        <w:t>— Wheeler &amp; Feynman, 1945</w:t>
      </w:r>
    </w:p>
    <w:p>
      <w:pPr>
        <w:spacing w:after="200" w:line="312" w:lineRule="auto"/>
      </w:pPr>
      <w:r>
        <w:rPr>
          <w:rFonts w:ascii="Times New Roman" w:hAnsi="Times New Roman"/>
          <w:b w:val="0"/>
          <w:i w:val="0"/>
          <w:sz w:val="22"/>
        </w:rPr>
        <w:t>Feynman later quantized the field and created modern QED. Yet in 1963 notes he still wanted a presentation that began with the potentials. The notes, preserved in the Caltech Archives, remain the clearest evidence of that unfinished program.</w:t>
      </w:r>
    </w:p>
    <w:p>
      <w:pPr>
        <w:pStyle w:val="Heading1"/>
      </w:pPr>
      <w:r>
        <w:t>3. Mead and the Collective Starting Point</w:t>
      </w:r>
    </w:p>
    <w:p>
      <w:pPr>
        <w:spacing w:after="200" w:line="312" w:lineRule="auto"/>
      </w:pPr>
      <w:r>
        <w:rPr>
          <w:rFonts w:ascii="Times New Roman" w:hAnsi="Times New Roman"/>
          <w:b w:val="0"/>
          <w:i w:val="0"/>
          <w:sz w:val="22"/>
        </w:rPr>
        <w:t>Mead begins with systems that are already macroscopic and quantum coherent—superconducting loops. In these systems the phase of the collective wave function is measurable. Flux quantization and the Josephson relation follow from phase continuity and the Einstein–de Broglie relations alone.</w:t>
      </w:r>
    </w:p>
    <w:p>
      <w:pPr>
        <w:spacing w:after="200" w:line="312" w:lineRule="auto"/>
      </w:pPr>
      <w:r>
        <w:rPr>
          <w:rFonts w:ascii="Times New Roman" w:hAnsi="Times New Roman"/>
          <w:b w:val="0"/>
          <w:i w:val="0"/>
          <w:sz w:val="22"/>
        </w:rPr>
        <w:t>From this starting point he recovers inductance, energy, forces between currents, and the standard results of electromagnetism. Maxwell’s equations are never postulated; they emerge.</w:t>
      </w:r>
    </w:p>
    <w:p>
      <w:pPr>
        <w:jc w:val="center"/>
      </w:pPr>
      <w:r>
        <w:drawing>
          <wp:inline xmlns:a="http://schemas.openxmlformats.org/drawingml/2006/main" xmlns:pic="http://schemas.openxmlformats.org/drawingml/2006/picture">
            <wp:extent cx="2011680" cy="2996993"/>
            <wp:docPr id="2" name="Picture 2"/>
            <wp:cNvGraphicFramePr>
              <a:graphicFrameLocks noChangeAspect="1"/>
            </wp:cNvGraphicFramePr>
            <a:graphic>
              <a:graphicData uri="http://schemas.openxmlformats.org/drawingml/2006/picture">
                <pic:pic>
                  <pic:nvPicPr>
                    <pic:cNvPr id="0" name="8VFGd.jpg"/>
                    <pic:cNvPicPr/>
                  </pic:nvPicPr>
                  <pic:blipFill>
                    <a:blip r:embed="rId10"/>
                    <a:stretch>
                      <a:fillRect/>
                    </a:stretch>
                  </pic:blipFill>
                  <pic:spPr>
                    <a:xfrm>
                      <a:off x="0" y="0"/>
                      <a:ext cx="2011680" cy="2996993"/>
                    </a:xfrm>
                    <a:prstGeom prst="rect"/>
                  </pic:spPr>
                </pic:pic>
              </a:graphicData>
            </a:graphic>
          </wp:inline>
        </w:drawing>
      </w:r>
    </w:p>
    <w:p>
      <w:pPr>
        <w:spacing w:after="240"/>
        <w:jc w:val="center"/>
      </w:pPr>
      <w:r>
        <w:rPr>
          <w:rFonts w:ascii="Times New Roman" w:hAnsi="Times New Roman"/>
          <w:i/>
          <w:sz w:val="18"/>
        </w:rPr>
        <w:t>A simple emblem of the flux quantum Φ₀ threading a superconducting ring.</w:t>
      </w:r>
    </w:p>
    <w:p>
      <w:r>
        <w:br w:type="page"/>
      </w:r>
    </w:p>
    <w:p>
      <w:pPr>
        <w:pStyle w:val="Heading1"/>
      </w:pPr>
      <w:r>
        <w:t>Part II. Feynman’s QED in Brief</w:t>
      </w:r>
    </w:p>
    <w:p>
      <w:pPr>
        <w:pStyle w:val="Heading1"/>
      </w:pPr>
      <w:r>
        <w:t>4. Path Integrals and the Photon</w:t>
      </w:r>
    </w:p>
    <w:p>
      <w:pPr>
        <w:spacing w:after="200" w:line="312" w:lineRule="auto"/>
      </w:pPr>
      <w:r>
        <w:rPr>
          <w:rFonts w:ascii="Times New Roman" w:hAnsi="Times New Roman"/>
          <w:b w:val="0"/>
          <w:i w:val="0"/>
          <w:sz w:val="22"/>
        </w:rPr>
        <w:t>Feynman’s path integral assigns to every history an amplitude exp(iS/ħ). For a charged particle the action contains the term that couples it to the potential Aμ. The potentials therefore determine the relative phase of different paths.</w:t>
      </w:r>
    </w:p>
    <w:p>
      <w:pPr>
        <w:spacing w:after="200" w:line="312" w:lineRule="auto"/>
      </w:pPr>
      <w:r>
        <w:rPr>
          <w:rFonts w:ascii="Times New Roman" w:hAnsi="Times New Roman"/>
          <w:b w:val="0"/>
          <w:i w:val="0"/>
          <w:sz w:val="22"/>
        </w:rPr>
        <w:t>When the electromagnetic field is itself quantized, photons appear as quanta of that field. This is the standard ontology of QED. The tension with the absorber viewpoint is obvious: one description has independent field degrees of freedom; the other does not.</w:t>
      </w:r>
    </w:p>
    <w:p>
      <w:pPr>
        <w:pStyle w:val="Heading1"/>
      </w:pPr>
      <w:r>
        <w:t>5. Why the Potentials Come First</w:t>
      </w:r>
    </w:p>
    <w:p>
      <w:pPr>
        <w:spacing w:after="200" w:line="312" w:lineRule="auto"/>
      </w:pPr>
      <w:r>
        <w:rPr>
          <w:rFonts w:ascii="Times New Roman" w:hAnsi="Times New Roman"/>
          <w:b w:val="0"/>
          <w:i w:val="0"/>
          <w:sz w:val="22"/>
        </w:rPr>
        <w:t>In both classical relativistic mechanics and the Dirac Lagrangian of QED the interaction appears through minimal coupling: pμ → pμ − q Aμ. The field strengths E and B never appear in the fundamental interaction term.</w:t>
      </w:r>
    </w:p>
    <w:p>
      <w:pPr>
        <w:spacing w:after="200" w:line="312" w:lineRule="auto"/>
      </w:pPr>
      <w:r>
        <w:rPr>
          <w:rFonts w:ascii="Times New Roman" w:hAnsi="Times New Roman"/>
          <w:b w:val="0"/>
          <w:i w:val="0"/>
          <w:sz w:val="22"/>
        </w:rPr>
        <w:t>Gauge invariance reinforces the point. Observable effects depend on the gauge-invariant line integral of A around a closed path—the same quantity that Mead identifies with the phase accumulation of a collective wave function.</w:t>
      </w:r>
    </w:p>
    <w:p>
      <w:r>
        <w:br w:type="page"/>
      </w:r>
    </w:p>
    <w:p>
      <w:pPr>
        <w:pStyle w:val="Heading1"/>
      </w:pPr>
      <w:r>
        <w:t>Part III. Collective Electrodynamics in Brief</w:t>
      </w:r>
    </w:p>
    <w:p>
      <w:pPr>
        <w:pStyle w:val="Heading1"/>
      </w:pPr>
      <w:r>
        <w:t>6. The Superconducting Loop</w:t>
      </w:r>
    </w:p>
    <w:p>
      <w:pPr>
        <w:spacing w:after="200" w:line="312" w:lineRule="auto"/>
      </w:pPr>
      <w:r>
        <w:rPr>
          <w:rFonts w:ascii="Times New Roman" w:hAnsi="Times New Roman"/>
          <w:b w:val="0"/>
          <w:i w:val="0"/>
          <w:sz w:val="22"/>
        </w:rPr>
        <w:t>A superconducting loop is macroscopic, coherent, and experimentally controllable. The phase of its wave function must return to the same value (modulo 2π) after one circuit. This single requirement, together with the relation between phase and the vector potential, produces flux quantization:</w:t>
      </w:r>
    </w:p>
    <w:p>
      <w:pPr>
        <w:spacing w:before="120" w:after="120"/>
        <w:jc w:val="center"/>
      </w:pPr>
      <w:r>
        <w:rPr>
          <w:rFonts w:ascii="Times New Roman" w:hAnsi="Times New Roman"/>
          <w:i/>
          <w:sz w:val="22"/>
        </w:rPr>
        <w:t>Φ = n Φ₀ ,   Φ₀ = h / 2e .</w:t>
      </w:r>
    </w:p>
    <w:p>
      <w:pPr>
        <w:spacing w:after="200" w:line="312" w:lineRule="auto"/>
      </w:pPr>
      <w:r>
        <w:rPr>
          <w:rFonts w:ascii="Times New Roman" w:hAnsi="Times New Roman"/>
          <w:b w:val="0"/>
          <w:i w:val="0"/>
          <w:sz w:val="22"/>
        </w:rPr>
        <w:t>The Josephson relation between voltage and the rate of change of phase follows by differentiation. The inductance of the loop relates current to flux. The standard circuit equations appear without ever writing Maxwell’s equations as postulates.</w:t>
      </w:r>
    </w:p>
    <w:p>
      <w:pPr>
        <w:pStyle w:val="Heading1"/>
      </w:pPr>
      <w:r>
        <w:t>7. Phase, Flux, and Momentum</w:t>
      </w:r>
    </w:p>
    <w:p>
      <w:pPr>
        <w:spacing w:after="200" w:line="312" w:lineRule="auto"/>
      </w:pPr>
      <w:r>
        <w:rPr>
          <w:rFonts w:ascii="Times New Roman" w:hAnsi="Times New Roman"/>
          <w:b w:val="0"/>
          <w:i w:val="0"/>
          <w:sz w:val="22"/>
        </w:rPr>
        <w:t>The electromagnetic momentum of a single carrier is q A. When N carriers share the same coherent phase, the total momentum scales as N². This collective inertia is the microscopic origin of kinetic inductance and of the “hidden momentum” that appears in certain electromagnetic paradoxes.</w:t>
      </w:r>
    </w:p>
    <w:p>
      <w:pPr>
        <w:spacing w:after="200" w:line="312" w:lineRule="auto"/>
      </w:pPr>
      <w:r>
        <w:rPr>
          <w:rFonts w:ascii="Times New Roman" w:hAnsi="Times New Roman"/>
          <w:b w:val="0"/>
          <w:i w:val="0"/>
          <w:sz w:val="22"/>
        </w:rPr>
        <w:t>Energy can be written entirely in terms of the currents and the vector potential. The conventional field integral of B² is numerically equal but conceptually secondary: the energy resides in the interaction of the charges.</w:t>
      </w:r>
    </w:p>
    <w:p>
      <w:r>
        <w:br w:type="page"/>
      </w:r>
    </w:p>
    <w:p>
      <w:pPr>
        <w:pStyle w:val="Heading1"/>
      </w:pPr>
      <w:r>
        <w:t>Part IV. The Synthesis</w:t>
      </w:r>
    </w:p>
    <w:p>
      <w:pPr>
        <w:pStyle w:val="Heading1"/>
      </w:pPr>
      <w:r>
        <w:t>8. Coherent States and the Collective Limit</w:t>
      </w:r>
    </w:p>
    <w:p>
      <w:pPr>
        <w:spacing w:after="200" w:line="312" w:lineRule="auto"/>
      </w:pPr>
      <w:r>
        <w:rPr>
          <w:rFonts w:ascii="Times New Roman" w:hAnsi="Times New Roman"/>
          <w:b w:val="0"/>
          <w:i w:val="0"/>
          <w:sz w:val="22"/>
        </w:rPr>
        <w:t>A coherent state of the electromagnetic field most closely resembles a classical configuration. When a macroscopic number of charges lock into a single quantum phase, the dynamics is dominated by that collective coordinate. Collective Electrodynamics is recovered as the coherent-state, macroscopic limit of QED.</w:t>
      </w:r>
    </w:p>
    <w:p>
      <w:pPr>
        <w:spacing w:after="200" w:line="312" w:lineRule="auto"/>
      </w:pPr>
      <w:r>
        <w:rPr>
          <w:rFonts w:ascii="Times New Roman" w:hAnsi="Times New Roman"/>
          <w:b w:val="0"/>
          <w:i w:val="0"/>
          <w:sz w:val="22"/>
        </w:rPr>
        <w:t>Conversely, ordinary QED processes (Compton scattering, the Lamb shift, etc.) are the residual dynamics that survive when the collective constraint is removed. The two descriptions are complementary.</w:t>
      </w:r>
    </w:p>
    <w:p>
      <w:pPr>
        <w:pStyle w:val="Heading1"/>
      </w:pPr>
      <w:r>
        <w:t>9. What Happens to the Photon?</w:t>
      </w:r>
    </w:p>
    <w:p>
      <w:pPr>
        <w:spacing w:after="200" w:line="312" w:lineRule="auto"/>
      </w:pPr>
      <w:r>
        <w:rPr>
          <w:rFonts w:ascii="Times New Roman" w:hAnsi="Times New Roman"/>
          <w:b w:val="0"/>
          <w:i w:val="0"/>
          <w:sz w:val="22"/>
        </w:rPr>
        <w:t>In the collective picture a photon is a quantum of phase-and-energy exchange between charged systems. When the absorber is large and featureless, the ordinary Fock-space language is convenient. When the absorber is itself a coherent resonator, the joint Hilbert space of the two systems is more natural.</w:t>
      </w:r>
    </w:p>
    <w:p>
      <w:pPr>
        <w:spacing w:after="200" w:line="312" w:lineRule="auto"/>
      </w:pPr>
      <w:r>
        <w:rPr>
          <w:rFonts w:ascii="Times New Roman" w:hAnsi="Times New Roman"/>
          <w:b w:val="0"/>
          <w:i w:val="0"/>
          <w:sz w:val="22"/>
        </w:rPr>
        <w:t>Both languages are useful. The synthesis consists in recognizing that they describe the same reality from different points of view.</w:t>
      </w:r>
    </w:p>
    <w:p>
      <w:r>
        <w:br w:type="page"/>
      </w:r>
    </w:p>
    <w:p>
      <w:pPr>
        <w:pStyle w:val="Heading1"/>
      </w:pPr>
      <w:r>
        <w:t>Part V. Looking Forward</w:t>
      </w:r>
    </w:p>
    <w:p>
      <w:pPr>
        <w:pStyle w:val="Heading1"/>
      </w:pPr>
      <w:r>
        <w:t>10. Teaching and Open Questions</w:t>
      </w:r>
    </w:p>
    <w:p>
      <w:pPr>
        <w:spacing w:after="200" w:line="312" w:lineRule="auto"/>
      </w:pPr>
      <w:r>
        <w:rPr>
          <w:rFonts w:ascii="Times New Roman" w:hAnsi="Times New Roman"/>
          <w:b w:val="0"/>
          <w:i w:val="0"/>
          <w:sz w:val="22"/>
        </w:rPr>
        <w:t>A more logical curriculum might begin with quantum phase, introduce the potentials, derive collective electromagnetic phenomena, and only later recover classical particle mechanics and the full apparatus of QED. Such a sequence has never been fully implemented.</w:t>
      </w:r>
    </w:p>
    <w:p>
      <w:pPr>
        <w:spacing w:after="200" w:line="312" w:lineRule="auto"/>
      </w:pPr>
      <w:r>
        <w:rPr>
          <w:rFonts w:ascii="Times New Roman" w:hAnsi="Times New Roman"/>
          <w:b w:val="0"/>
          <w:i w:val="0"/>
          <w:sz w:val="22"/>
        </w:rPr>
        <w:t>Open technical questions remain. Can a pure charged-matter path integral reproduce the renormalized results of QED? What is the precise status of vacuum energy in a theory without independent field degrees of freedom? These questions are well-posed and, in principle, answerable.</w:t>
      </w:r>
    </w:p>
    <w:p>
      <w:pPr>
        <w:spacing w:after="200" w:line="312" w:lineRule="auto"/>
      </w:pPr>
      <w:r>
        <w:rPr>
          <w:rFonts w:ascii="Times New Roman" w:hAnsi="Times New Roman"/>
          <w:b w:val="0"/>
          <w:i w:val="0"/>
          <w:sz w:val="22"/>
        </w:rPr>
        <w:t>The central claim of this work can be stated simply: electromagnetism is the theory of the phase relations among charged quantum systems. The photon is the quantum of that exchange. The classical fields are convenient summaries of the resulting forces. Maxwell’s equations are statements about those summaries.</w:t>
      </w:r>
    </w:p>
    <w:p>
      <w:r>
        <w:br w:type="page"/>
      </w:r>
    </w:p>
    <w:p>
      <w:pPr>
        <w:pStyle w:val="Heading1"/>
      </w:pPr>
      <w:r>
        <w:t>Mathematical Appendix — Selected Derivations</w:t>
      </w:r>
    </w:p>
    <w:p>
      <w:pPr>
        <w:pStyle w:val="Heading2"/>
      </w:pPr>
      <w:r>
        <w:t>A. Phase and the Vector Potential</w:t>
      </w:r>
    </w:p>
    <w:p>
      <w:pPr>
        <w:spacing w:after="200" w:line="312" w:lineRule="auto"/>
      </w:pPr>
      <w:r>
        <w:rPr>
          <w:rFonts w:ascii="Times New Roman" w:hAnsi="Times New Roman"/>
          <w:b w:val="0"/>
          <w:i w:val="0"/>
          <w:sz w:val="22"/>
        </w:rPr>
        <w:t>From the Einstein–de Broglie relations and minimal coupling one obtains the electromagnetic contribution to the phase around a closed path:</w:t>
      </w:r>
    </w:p>
    <w:p>
      <w:pPr>
        <w:spacing w:before="120" w:after="120"/>
        <w:jc w:val="center"/>
      </w:pPr>
      <w:r>
        <w:rPr>
          <w:rFonts w:ascii="Times New Roman" w:hAnsi="Times New Roman"/>
          <w:i/>
          <w:sz w:val="22"/>
        </w:rPr>
        <w:t>Δφ = (q / ħ) ∮ A · dl .</w:t>
      </w:r>
    </w:p>
    <w:p>
      <w:pPr>
        <w:spacing w:after="200" w:line="312" w:lineRule="auto"/>
      </w:pPr>
      <w:r>
        <w:rPr>
          <w:rFonts w:ascii="Times New Roman" w:hAnsi="Times New Roman"/>
          <w:b w:val="0"/>
          <w:i w:val="0"/>
          <w:sz w:val="22"/>
        </w:rPr>
        <w:t>By Stokes’ theorem the line integral equals the enclosed flux. Phase continuity (Δφ = 2π n) therefore implies flux quantization.</w:t>
      </w:r>
    </w:p>
    <w:p>
      <w:pPr>
        <w:pStyle w:val="Heading2"/>
      </w:pPr>
      <w:r>
        <w:t>B. The N² Momentum Scaling</w:t>
      </w:r>
    </w:p>
    <w:p>
      <w:pPr>
        <w:spacing w:after="200" w:line="312" w:lineRule="auto"/>
      </w:pPr>
      <w:r>
        <w:rPr>
          <w:rFonts w:ascii="Times New Roman" w:hAnsi="Times New Roman"/>
          <w:b w:val="0"/>
          <w:i w:val="0"/>
          <w:sz w:val="22"/>
        </w:rPr>
        <w:t>For N coherent carriers the total electromagnetic momentum is N q A. Because A itself is proportional to the total current (hence to N), the momentum scales as N².</w:t>
      </w:r>
    </w:p>
    <w:p>
      <w:pPr>
        <w:pStyle w:val="Heading2"/>
      </w:pPr>
      <w:r>
        <w:t>C. Josephson Relation</w:t>
      </w:r>
    </w:p>
    <w:p>
      <w:pPr>
        <w:spacing w:after="200" w:line="312" w:lineRule="auto"/>
      </w:pPr>
      <w:r>
        <w:rPr>
          <w:rFonts w:ascii="Times New Roman" w:hAnsi="Times New Roman"/>
          <w:b w:val="0"/>
          <w:i w:val="0"/>
          <w:sz w:val="22"/>
        </w:rPr>
        <w:t>Differentiating the phase–flux relation with respect to time immediately yields</w:t>
      </w:r>
    </w:p>
    <w:p>
      <w:pPr>
        <w:spacing w:before="120" w:after="120"/>
        <w:jc w:val="center"/>
      </w:pPr>
      <w:r>
        <w:rPr>
          <w:rFonts w:ascii="Times New Roman" w:hAnsi="Times New Roman"/>
          <w:i/>
          <w:sz w:val="22"/>
        </w:rPr>
        <w:t>V = (ħ / 2e) dφ / dt .</w:t>
      </w:r>
    </w:p>
    <w:p>
      <w:r>
        <w:br w:type="page"/>
      </w:r>
    </w:p>
    <w:p>
      <w:pPr>
        <w:pStyle w:val="Heading1"/>
      </w:pPr>
      <w:r>
        <w:t>Selected Worked Examples</w:t>
      </w:r>
    </w:p>
    <w:p>
      <w:pPr>
        <w:spacing w:after="200" w:line="312" w:lineRule="auto"/>
      </w:pPr>
      <w:r>
        <w:rPr>
          <w:rFonts w:ascii="Times New Roman" w:hAnsi="Times New Roman"/>
          <w:b w:val="0"/>
          <w:i w:val="0"/>
          <w:sz w:val="22"/>
        </w:rPr>
        <w:t>Example. Flux quantum and circulating current. A superconducting ring of inductance 10 nH traps five flux quanta. The circulating current is I = 5 Φ₀ / L ≈ 1 μA.</w:t>
      </w:r>
    </w:p>
    <w:p>
      <w:pPr>
        <w:spacing w:after="200" w:line="312" w:lineRule="auto"/>
      </w:pPr>
      <w:r>
        <w:rPr>
          <w:rFonts w:ascii="Times New Roman" w:hAnsi="Times New Roman"/>
          <w:b w:val="0"/>
          <w:i w:val="0"/>
          <w:sz w:val="22"/>
        </w:rPr>
        <w:t>Example. Aharonov–Bohm phase. An electron encloses a flux of 10⁻¹⁵ Wb. The phase shift is (e/ħ) Φ ≈ 1.5 rad.</w:t>
      </w:r>
    </w:p>
    <w:p>
      <w:pPr>
        <w:spacing w:after="200" w:line="312" w:lineRule="auto"/>
      </w:pPr>
      <w:r>
        <w:rPr>
          <w:rFonts w:ascii="Times New Roman" w:hAnsi="Times New Roman"/>
          <w:b w:val="0"/>
          <w:i w:val="0"/>
          <w:sz w:val="22"/>
        </w:rPr>
        <w:t>Example. Josephson voltage. A phase advancing at 10¹¹ rad/s produces a voltage of approximately 33 μV.</w:t>
      </w:r>
    </w:p>
    <w:p>
      <w:r>
        <w:br w:type="page"/>
      </w:r>
    </w:p>
    <w:p>
      <w:pPr>
        <w:pStyle w:val="Heading1"/>
      </w:pPr>
      <w:r>
        <w:t>Bibliography</w:t>
      </w:r>
    </w:p>
    <w:p>
      <w:pPr>
        <w:spacing w:after="80" w:line="312" w:lineRule="auto"/>
      </w:pPr>
      <w:r>
        <w:rPr>
          <w:rFonts w:ascii="Times New Roman" w:hAnsi="Times New Roman"/>
          <w:b w:val="0"/>
          <w:i w:val="0"/>
          <w:sz w:val="20"/>
        </w:rPr>
        <w:t>Feynman, R. P., Leighton, R. B. &amp; Sands, M. The Feynman Lectures on Physics, Vol. II (1964).</w:t>
      </w:r>
    </w:p>
    <w:p>
      <w:pPr>
        <w:spacing w:after="80" w:line="312" w:lineRule="auto"/>
      </w:pPr>
      <w:r>
        <w:rPr>
          <w:rFonts w:ascii="Times New Roman" w:hAnsi="Times New Roman"/>
          <w:b w:val="0"/>
          <w:i w:val="0"/>
          <w:sz w:val="20"/>
        </w:rPr>
        <w:t>Feynman, R. P. QED: The Strange Theory of Light and Matter (1985).</w:t>
      </w:r>
    </w:p>
    <w:p>
      <w:pPr>
        <w:spacing w:after="80" w:line="312" w:lineRule="auto"/>
      </w:pPr>
      <w:r>
        <w:rPr>
          <w:rFonts w:ascii="Times New Roman" w:hAnsi="Times New Roman"/>
          <w:b w:val="0"/>
          <w:i w:val="0"/>
          <w:sz w:val="20"/>
        </w:rPr>
        <w:t>Wheeler, J. A. &amp; Feynman, R. P. Rev. Mod. Phys. 17, 157 (1945) and 21, 425 (1949).</w:t>
      </w:r>
    </w:p>
    <w:p>
      <w:pPr>
        <w:spacing w:after="80" w:line="312" w:lineRule="auto"/>
      </w:pPr>
      <w:r>
        <w:rPr>
          <w:rFonts w:ascii="Times New Roman" w:hAnsi="Times New Roman"/>
          <w:b w:val="0"/>
          <w:i w:val="0"/>
          <w:sz w:val="20"/>
        </w:rPr>
        <w:t>Mead, C. A. Collective Electrodynamics (MIT Press, 2000).</w:t>
      </w:r>
    </w:p>
    <w:p>
      <w:pPr>
        <w:spacing w:after="80" w:line="312" w:lineRule="auto"/>
      </w:pPr>
      <w:r>
        <w:rPr>
          <w:rFonts w:ascii="Times New Roman" w:hAnsi="Times New Roman"/>
          <w:b w:val="0"/>
          <w:i w:val="0"/>
          <w:sz w:val="20"/>
        </w:rPr>
        <w:t>Mead, C. A. Proc. Natl. Acad. Sci. USA 94, 6013 (1997).</w:t>
      </w:r>
    </w:p>
    <w:p>
      <w:pPr>
        <w:spacing w:after="80" w:line="312" w:lineRule="auto"/>
      </w:pPr>
      <w:r>
        <w:rPr>
          <w:rFonts w:ascii="Times New Roman" w:hAnsi="Times New Roman"/>
          <w:b w:val="0"/>
          <w:i w:val="0"/>
          <w:sz w:val="20"/>
        </w:rPr>
        <w:t>Aharonov, Y. &amp; Bohm, D. Phys. Rev. 115, 485 (1959).</w:t>
      </w:r>
    </w:p>
    <w:p>
      <w:pPr>
        <w:spacing w:after="80" w:line="312" w:lineRule="auto"/>
      </w:pPr>
      <w:r>
        <w:rPr>
          <w:rFonts w:ascii="Times New Roman" w:hAnsi="Times New Roman"/>
          <w:b w:val="0"/>
          <w:i w:val="0"/>
          <w:sz w:val="20"/>
        </w:rPr>
        <w:t>Josephson, B. D. Phys. Lett. 1, 251 (1962).</w:t>
      </w:r>
    </w:p>
    <w:p>
      <w:pPr>
        <w:spacing w:after="80" w:line="312" w:lineRule="auto"/>
      </w:pPr>
      <w:r>
        <w:rPr>
          <w:rFonts w:ascii="Times New Roman" w:hAnsi="Times New Roman"/>
          <w:b w:val="0"/>
          <w:i w:val="0"/>
          <w:sz w:val="20"/>
        </w:rPr>
        <w:t>Gottlieb, M. A. Transcript of Feynman’s 1963 notes, feynmanlectures.caltech.edu.</w:t>
      </w:r>
    </w:p>
    <w:p>
      <w:r>
        <w:br w:type="page"/>
      </w:r>
    </w:p>
    <w:p>
      <w:pPr>
        <w:pStyle w:val="Heading1"/>
      </w:pPr>
      <w:r>
        <w:t>Index</w:t>
      </w:r>
    </w:p>
    <w:p>
      <w:pPr>
        <w:spacing w:after="60" w:line="312" w:lineRule="auto"/>
      </w:pPr>
      <w:r>
        <w:rPr>
          <w:rFonts w:ascii="Times New Roman" w:hAnsi="Times New Roman"/>
          <w:b w:val="0"/>
          <w:i w:val="0"/>
          <w:sz w:val="20"/>
        </w:rPr>
        <w:t>Absorber theory, 2, 6</w:t>
      </w:r>
    </w:p>
    <w:p>
      <w:pPr>
        <w:spacing w:after="60" w:line="312" w:lineRule="auto"/>
      </w:pPr>
      <w:r>
        <w:rPr>
          <w:rFonts w:ascii="Times New Roman" w:hAnsi="Times New Roman"/>
          <w:b w:val="0"/>
          <w:i w:val="0"/>
          <w:sz w:val="20"/>
        </w:rPr>
        <w:t>Aharonov–Bohm effect, 1, 5, examples</w:t>
      </w:r>
    </w:p>
    <w:p>
      <w:pPr>
        <w:spacing w:after="60" w:line="312" w:lineRule="auto"/>
      </w:pPr>
      <w:r>
        <w:rPr>
          <w:rFonts w:ascii="Times New Roman" w:hAnsi="Times New Roman"/>
          <w:b w:val="0"/>
          <w:i w:val="0"/>
          <w:sz w:val="20"/>
        </w:rPr>
        <w:t>Collective momentum (N²), 7, Appendix B</w:t>
      </w:r>
    </w:p>
    <w:p>
      <w:pPr>
        <w:spacing w:after="60" w:line="312" w:lineRule="auto"/>
      </w:pPr>
      <w:r>
        <w:rPr>
          <w:rFonts w:ascii="Times New Roman" w:hAnsi="Times New Roman"/>
          <w:b w:val="0"/>
          <w:i w:val="0"/>
          <w:sz w:val="20"/>
        </w:rPr>
        <w:t>Feynman, Richard P., throughout; 1963 notes, 2</w:t>
      </w:r>
    </w:p>
    <w:p>
      <w:pPr>
        <w:spacing w:after="60" w:line="312" w:lineRule="auto"/>
      </w:pPr>
      <w:r>
        <w:rPr>
          <w:rFonts w:ascii="Times New Roman" w:hAnsi="Times New Roman"/>
          <w:b w:val="0"/>
          <w:i w:val="0"/>
          <w:sz w:val="20"/>
        </w:rPr>
        <w:t>Flux quantization, 6, Appendix A</w:t>
      </w:r>
    </w:p>
    <w:p>
      <w:pPr>
        <w:spacing w:after="60" w:line="312" w:lineRule="auto"/>
      </w:pPr>
      <w:r>
        <w:rPr>
          <w:rFonts w:ascii="Times New Roman" w:hAnsi="Times New Roman"/>
          <w:b w:val="0"/>
          <w:i w:val="0"/>
          <w:sz w:val="20"/>
        </w:rPr>
        <w:t>Josephson relation, 6, Appendix C, examples</w:t>
      </w:r>
    </w:p>
    <w:p>
      <w:pPr>
        <w:spacing w:after="60" w:line="312" w:lineRule="auto"/>
      </w:pPr>
      <w:r>
        <w:rPr>
          <w:rFonts w:ascii="Times New Roman" w:hAnsi="Times New Roman"/>
          <w:b w:val="0"/>
          <w:i w:val="0"/>
          <w:sz w:val="20"/>
        </w:rPr>
        <w:t>Mead, Carver A., 3, throughout</w:t>
      </w:r>
    </w:p>
    <w:p>
      <w:pPr>
        <w:spacing w:after="60" w:line="312" w:lineRule="auto"/>
      </w:pPr>
      <w:r>
        <w:rPr>
          <w:rFonts w:ascii="Times New Roman" w:hAnsi="Times New Roman"/>
          <w:b w:val="0"/>
          <w:i w:val="0"/>
          <w:sz w:val="20"/>
        </w:rPr>
        <w:t>Minimal coupling, 5</w:t>
      </w:r>
    </w:p>
    <w:p>
      <w:pPr>
        <w:spacing w:after="60" w:line="312" w:lineRule="auto"/>
      </w:pPr>
      <w:r>
        <w:rPr>
          <w:rFonts w:ascii="Times New Roman" w:hAnsi="Times New Roman"/>
          <w:b w:val="0"/>
          <w:i w:val="0"/>
          <w:sz w:val="20"/>
        </w:rPr>
        <w:t>Path integral, 4</w:t>
      </w:r>
    </w:p>
    <w:p>
      <w:pPr>
        <w:spacing w:after="60" w:line="312" w:lineRule="auto"/>
      </w:pPr>
      <w:r>
        <w:rPr>
          <w:rFonts w:ascii="Times New Roman" w:hAnsi="Times New Roman"/>
          <w:b w:val="0"/>
          <w:i w:val="0"/>
          <w:sz w:val="20"/>
        </w:rPr>
        <w:t>Photon, status of, 9</w:t>
      </w:r>
    </w:p>
    <w:p>
      <w:pPr>
        <w:spacing w:after="60" w:line="312" w:lineRule="auto"/>
      </w:pPr>
      <w:r>
        <w:rPr>
          <w:rFonts w:ascii="Times New Roman" w:hAnsi="Times New Roman"/>
          <w:b w:val="0"/>
          <w:i w:val="0"/>
          <w:sz w:val="20"/>
        </w:rPr>
        <w:t>Potentials (A, φ), primacy of, 1, 5</w:t>
      </w:r>
    </w:p>
    <w:p>
      <w:pPr>
        <w:spacing w:after="60" w:line="312" w:lineRule="auto"/>
      </w:pPr>
      <w:r>
        <w:rPr>
          <w:rFonts w:ascii="Times New Roman" w:hAnsi="Times New Roman"/>
          <w:b w:val="0"/>
          <w:i w:val="0"/>
          <w:sz w:val="20"/>
        </w:rPr>
        <w:t>Superconducting loop, 6</w:t>
      </w:r>
    </w:p>
    <w:p>
      <w:pPr>
        <w:spacing w:after="60" w:line="312" w:lineRule="auto"/>
      </w:pPr>
      <w:r>
        <w:rPr>
          <w:rFonts w:ascii="Times New Roman" w:hAnsi="Times New Roman"/>
          <w:b w:val="0"/>
          <w:i w:val="0"/>
          <w:sz w:val="20"/>
        </w:rPr>
        <w:t>Wheeler–Feynman, 2</w:t>
      </w:r>
    </w:p>
    <w:p>
      <w:r>
        <w:br w:type="page"/>
      </w:r>
    </w:p>
    <w:p>
      <w:pPr>
        <w:spacing w:after="200" w:line="312" w:lineRule="auto"/>
        <w:jc w:val="center"/>
      </w:pPr>
      <w:r>
        <w:rPr>
          <w:rFonts w:ascii="Times New Roman" w:hAnsi="Times New Roman"/>
          <w:b/>
          <w:i w:val="0"/>
          <w:sz w:val="22"/>
        </w:rPr>
        <w:t>— End of Polished First Draft —</w:t>
      </w:r>
    </w:p>
    <w:p>
      <w:pPr>
        <w:spacing w:after="200" w:line="312" w:lineRule="auto"/>
        <w:jc w:val="center"/>
      </w:pPr>
      <w:r>
        <w:rPr>
          <w:rFonts w:ascii="Times New Roman" w:hAnsi="Times New Roman"/>
          <w:b w:val="0"/>
          <w:i w:val="0"/>
          <w:sz w:val="20"/>
        </w:rPr>
        <w:t>This version prioritizes clarity, shorter paragraphs, improved structure, a proper cover, and a usable index. It is ready for further expansion or conversion to PDF for print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2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Times New Roman" w:hAnsi="Times New Roman"/>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