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6" w:id="1"/>
      <w:r>
        <w:rPr>
          <w:rFonts w:ascii="Amazon Ember" w:cs="Amazon Ember" w:eastAsia="Amazon Ember" w:hAnsi="Amazon Ember"/>
          <w:b/>
          <w:bCs/>
          <w:color w:val="1F4E79"/>
          <w:sz w:val="32"/>
          <w:szCs w:val="32"/>
        </w:rPr>
        <w:t xml:space="preserve">1914–1918: Home by Christmas — The First World War</w:t>
      </w:r>
      <w:bookmarkEnd w:id="1"/>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A popular modern story has him buying a sandwich; no contemporary source says so.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Here the ratchet this book has been following turned on the people who built it. Every gain of the industrial century, steel, chemistry, railways, the telegraph, mass literacy, and the administrative skill to feed and move millions of people, was available at once and pointed in one direction. The capability was cumulative, built up by generations. The judgment about using it was exercised, in the summer of 1914, by a few dozen men in a few weeks.</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2026-10-12T12:28:48.260Z</dcterms:created>
  <dcterms:modified xsi:type="dcterms:W3CDTF">2026-10-12T12:28:48.260Z</dcterms:modified>
</cp:coreProperties>
</file>

<file path=docProps/custom.xml><?xml version="1.0" encoding="utf-8"?>
<Properties xmlns="http://schemas.openxmlformats.org/officeDocument/2006/custom-properties" xmlns:vt="http://schemas.openxmlformats.org/officeDocument/2006/docPropsVTypes"/>
</file>