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2" w:id="1"/>
      <w:r>
        <w:rPr>
          <w:rFonts w:ascii="Amazon Ember" w:cs="Amazon Ember" w:eastAsia="Amazon Ember" w:hAnsi="Amazon Ember"/>
          <w:b/>
          <w:bCs/>
          <w:color w:val="1F4E79"/>
          <w:sz w:val="32"/>
          <w:szCs w:val="32"/>
        </w:rPr>
        <w:t xml:space="preserve">1949 to Today: China, the Long Memory and the Great Leap</w:t>
      </w:r>
      <w:bookmarkEnd w:id="1"/>
    </w:p>
    <w:p>
      <w:pPr>
        <w:spacing w:after="200"/>
      </w:pPr>
      <w:r>
        <w:t xml:space="preserve">This chapter returns to a civilization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that killed somewhere between fifteen and forty-five million people; most demographers put the figure near thirty million, which would make it the deadliest famine on record. The cause was overwhelmingly policy, not drought.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and between several hundred thousand and about two million people killed. It was a direct, painful assault on the very cultural memory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army made unmistakable on the night of June 3–4, 1989, when it cleared protesters from in and around Tiananmen Square. Hundreds were killed, possibly more than a thousand; there is no official count, and the event is still censored inside China.</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had long outsold Tesla once plug-in hybrids were counted, and in 2025 passed it on battery-electric cars alone, about 2.26 million to 1.64 million,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The political side of the ledger tightened. Xi Jinping took the top posts in 2012 and in 2018 removed the two-term limit on the presidency, ending the arrangement that had made leadership change hands every decade. An anti-corruption campaign jailed rivals along with a great many officials who were, in fact, corrupt. In Xinjiang the state built a system of mass detention and surveillance aimed at Uyghurs and other largely Muslim minorities, documented by researchers, leaked police files, and satellite imagery, and described by Beijing as vocational training. In Hong Kong a 2020 national-security law curtailed the autonomy the 1997 handover had promised.</w:t>
      </w:r>
    </w:p>
    <w:p>
      <w:pPr>
        <w:spacing w:after="200"/>
      </w:pPr>
      <w:r>
        <w:t xml:space="preserve">The tightening had a lighter footnote, which the state did not treat lightly. The leader the internet nicknamed Pooh earned the name in 2013, when he walked with the American president at Sunnylands in California and Chinese social media users posted the photograph beside a drawing of Winnie-the-Pooh strolling with Tigger. In 2014 a handshake with Japan’s prime minister was matched with Pooh gripping the hoof of a gloomy Eeyore. In 2017, in the run-up to a party congress, comments using the bear’s Chinese name, Little Bear Winnie, began failing on Weibo with a warning that the content was illegal, and Pooh stickers disappeared from WeChat’s official gallery. No reason was given.</w:t>
      </w:r>
    </w:p>
    <w:p>
      <w:pPr>
        <w:spacing w:after="200"/>
      </w:pPr>
      <w:r>
        <w:t xml:space="preserve">Dolphin historians do not consider the resemblance their business. They consider the ban their business. A state with a nuclear arsenal, a censorship apparatus, and the largest online population on Earth arranged to be threatened by a Bear of Very Little Brain. A government that feels secure can live with a joke. One that does not deletes it, and the deletion becomes the better-known joke.</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a widely cited 2015 study of mismanaged plastic waste entering the ocean ranked China first. A 2021 study that modeled rivers in more detail ranked the Philippines, India, and Malaysia higher, and wealthy countries, the United States among them, had for years shipped their own plastic waste to Asia to be dealt with there.</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in this history, produced by a state that has still not fully answered for the famine or the Cultural Revolution it also produced. Capability and wisdom, once again, on separate schedules — and, as this chapter closes, not yet fully reconciled.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2026-10-12T12:28:48.358Z</dcterms:created>
  <dcterms:modified xsi:type="dcterms:W3CDTF">2026-10-12T12:28:48.358Z</dcterms:modified>
</cp:coreProperties>
</file>

<file path=docProps/custom.xml><?xml version="1.0" encoding="utf-8"?>
<Properties xmlns="http://schemas.openxmlformats.org/officeDocument/2006/custom-properties" xmlns:vt="http://schemas.openxmlformats.org/officeDocument/2006/docPropsVTypes"/>
</file>