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 xml:space="preserve">Held in mind from Book One, and live in this chapter:</w:t>
      </w:r>
    </w:p>
    <w:p>
      <w:pPr>
        <w:numPr>
          <w:ilvl w:val="0"/>
          <w:numId w:val="1003"/>
        </w:numPr>
      </w:pPr>
      <w:r>
        <w:t xml:space="preserve">Lolly is Principal Officer, Relational Integrity; the notebook is in volume four and is quoted in the schedule to the Act.</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Lolly knows all of them, and the one hundred and three unrecovered are published.</w:t>
      </w:r>
    </w:p>
    <w:p>
      <w:pPr>
        <w:numPr>
          <w:ilvl w:val="0"/>
          <w:numId w:val="1003"/>
        </w:numPr>
      </w:pPr>
      <w:r>
        <w:t xml:space="preserve">Eilstein departed hungry and honourable, with "there will be other centuries," and is now a named director of a holding company in Vienna.</w:t>
      </w:r>
    </w:p>
    <w:p>
      <w:pPr>
        <w:numPr>
          <w:ilvl w:val="0"/>
          <w:numId w:val="1003"/>
        </w:numPr>
      </w:pPr>
      <w:r>
        <w:t xml:space="preserve">Kastner's rule is the moral engine underneath the sequel: any promise of simplicity relocates complexity somewhere you cannot see. Somebody has bought a cheaper vacuum, and the bill is going somewhere.</w:t>
      </w:r>
    </w:p>
    <w:p>
      <w:pPr>
        <w:numPr>
          <w:ilvl w:val="0"/>
          <w:numId w:val="1003"/>
        </w:numPr>
      </w:pPr>
      <w:r>
        <w:t xml:space="preserve">Available and unused, for when you want them: Beatrix Sloan (now presumably somewhere with subpoena powers), Jago Flint, Mrs Chain, Miss Dorothy Kell, de Brévanne, von Wittenberg, Tegnér, and a suspended Crispin Vale who has nothing left to lose.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Kastner's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Kastner's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Kastner's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eleven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Lolly, who had prepared herself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 xml:space="preserve">"I do not," said Tegnér.</w:t>
      </w:r>
    </w:p>
    <w:p>
      <w:pPr>
        <w:pStyle w:val="BodyText"/>
      </w:pPr>
      <w:r>
        <w:t xml:space="preserve">"He endorses it."</w:t>
      </w:r>
    </w:p>
    <w:p>
      <w:pPr>
        <w:pStyle w:val="BodyText"/>
      </w:pPr>
      <w:r>
        <w:t xml:space="preserve">And Lolly understood, then, something about the mechanism, which she wrote down that night: that the President did not require Tegnér's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Kastner's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 xml:space="preserve">Chapter Seven looks like the</w:t>
      </w:r>
      <w:r>
        <w:t xml:space="preserve"> </w:t>
      </w:r>
      <w:r>
        <w:rPr>
          <w:bCs/>
          <w:b/>
        </w:rPr>
        <w:t xml:space="preserve">Page curve</w:t>
      </w:r>
      <w:r>
        <w:t xml:space="preserve"> </w:t>
      </w:r>
      <w:r>
        <w:t xml:space="preserve">and the arithmetic of a deadline: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eleven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eleven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 xml:space="preserve">Chapter Fifteen looks like the instrument question answered: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 xml:space="preserve">Chapter Sixteen looks like the bench van Casteel promised: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