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Wave Functions and Hilbert Spaces</w:t>
      </w:r>
    </w:p>
    <w:p>
      <w:pPr>
        <w:pStyle w:val="Subtitle"/>
        <w:jc w:val="center"/>
      </w:pPr>
      <w:r>
        <w:t>Lesson 10 of the Complete Quantum Electrodynamics Course</w:t>
      </w:r>
    </w:p>
    <w:p>
      <w:pPr>
        <w:jc w:val="center"/>
      </w:pPr>
      <w:r>
        <w:t>Lothar J. Musiol</w:t>
      </w:r>
    </w:p>
    <w:p>
      <w:r>
        <w:br/>
      </w:r>
    </w:p>
    <w:p>
      <w:pPr>
        <w:jc w:val="center"/>
      </w:pPr>
      <w:r>
        <w:rPr>
          <w:b/>
          <w:sz w:val="26"/>
        </w:rPr>
        <w:t>The probabilistic interpretation, square-integrable functions, and the inner product structure of quantum states</w:t>
      </w:r>
    </w:p>
    <w:p>
      <w:r>
        <w:br/>
        <w:br/>
      </w:r>
    </w:p>
    <w:p>
      <w:pPr>
        <w:jc w:val="center"/>
      </w:pPr>
      <w:r>
        <w:t>First edition, 2026</w:t>
      </w:r>
    </w:p>
    <w:p>
      <w:r>
        <w:br w:type="page"/>
      </w:r>
    </w:p>
    <w:p>
      <w:pPr>
        <w:pStyle w:val="Heading2"/>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the kind of space studied abstractly in Lesson 1, and it identifies that vector space concretely as a space of wave functions.</w:t>
      </w:r>
    </w:p>
    <w:p>
      <w:r>
        <w:t>Two things are being asked of the reader at once. The first is a physical postulate, the Born rule, which cannot be derived and must be adopted. Lesson 9 has already met it for light: the classical field amplitude, squared, became the probability of detecting one photon. The Born rule says the same of an electron's wave function.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3"/>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11.</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2"/>
      </w:pPr>
      <w:r>
        <w:t>1 The physical postulate</w:t>
      </w:r>
    </w:p>
    <w:p>
      <w:pPr>
        <w:pStyle w:val="Heading3"/>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12.</w:t>
      </w:r>
    </w:p>
    <w:p>
      <w:pPr>
        <w:pStyle w:val="Heading3"/>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m:t>
          </m:r>
          <m:d>
            <m:dPr/>
            <m:e>
              <m:r>
                <m:t xml:space="preserve">x</m:t>
              </m:r>
              <m:r>
                <m:t xml:space="preserve">,</m:t>
              </m:r>
              <m:r>
                <m:t xml:space="preserve">t</m:t>
              </m:r>
            </m:e>
          </m:d>
          <m:r>
            <m:t xml:space="preserve">=</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oMath>
      </m:oMathPara>
    </w:p>
    <w:p>
      <w:r>
        <w:t>Since the particle is somewhere with certainty, the total probability must be one.</w:t>
      </w:r>
    </w:p>
    <w:p>
      <w:pPr>
        <w:spacing w:before="100" w:after="160"/>
        <w:jc w:val="center"/>
      </w:pPr>
      <m:oMathPara>
        <m:oMath>
          <m:r>
            <m:t xml:space="preserve">∫</m:t>
          </m:r>
          <m:r>
            <m:t xml:space="preserve"> </m:t>
          </m:r>
          <m:sSup>
            <m:e>
              <m:d>
                <m:dPr>
                  <m:begChr m:val="|"/>
                  <m:endChr m:val="|"/>
                </m:dPr>
                <m:e>
                  <m:r>
                    <m:t xml:space="preserve">ψ</m:t>
                  </m:r>
                  <m:d>
                    <m:dPr/>
                    <m:e>
                      <m:r>
                        <m:t xml:space="preserve">x</m:t>
                      </m:r>
                      <m:r>
                        <m:t xml:space="preserve">,</m:t>
                      </m:r>
                      <m:r>
                        <m:t xml:space="preserve">t</m:t>
                      </m:r>
                    </m:e>
                  </m:d>
                </m:e>
              </m:d>
            </m:e>
            <m:sup>
              <m:r>
                <m:t xml:space="preserve">2</m:t>
              </m:r>
            </m:sup>
          </m:sSup>
          <m:r>
            <m:t xml:space="preserve"> </m:t>
          </m:r>
          <m:sSup>
            <m:e>
              <m:r>
                <m:t xml:space="preserve">d</m:t>
              </m:r>
            </m:e>
            <m:sup>
              <m:r>
                <m:t xml:space="preserve">3</m:t>
              </m:r>
            </m:sup>
          </m:sSup>
          <m:r>
            <m:t xml:space="preserve">x</m:t>
          </m:r>
          <m:r>
            <m:t xml:space="preserve">=</m:t>
          </m:r>
          <m:r>
            <m:t xml:space="preserve">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r>
        <w:rPr>
          <w:b/>
          <w:i/>
        </w:rP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2"/>
      </w:pPr>
      <w:r>
        <w:t>2 The Hilbert space of wave functions</w:t>
      </w:r>
    </w:p>
    <w:p>
      <w:pPr>
        <w:pStyle w:val="Heading3"/>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3"/>
      </w:pPr>
      <w:r>
        <w:t>2.2 The inner product</w:t>
      </w:r>
    </w:p>
    <w:p>
      <w:r>
        <w:t>For φ, ψ ∈ L²(ℝ³), define</w:t>
      </w:r>
    </w:p>
    <w:p>
      <w:pPr>
        <w:spacing w:before="100" w:after="160"/>
        <w:jc w:val="center"/>
      </w:pPr>
      <m:oMathPara>
        <m:oMath>
          <m:r>
            <m:t xml:space="preserve">⟨φ</m:t>
          </m:r>
          <m:r>
            <m:t xml:space="preserve">|</m:t>
          </m:r>
          <m:r>
            <m:t xml:space="preserve">ψ⟩</m:t>
          </m:r>
          <m:r>
            <m:t xml:space="preserve">=</m:t>
          </m:r>
          <m:r>
            <m:t xml:space="preserve">∫</m:t>
          </m:r>
          <m:r>
            <m:t xml:space="preserve"> </m:t>
          </m:r>
          <m:r>
            <m:t xml:space="preserve">φ*</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3"/>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r>
        <w:rPr>
          <w:b/>
          <w:i/>
        </w:rP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11.</w:t>
      </w:r>
    </w:p>
    <w:p>
      <w:pPr>
        <w:pStyle w:val="Heading2"/>
      </w:pPr>
      <w:r>
        <w:t>3 Probability current and conservation of probability</w:t>
      </w:r>
    </w:p>
    <w:p>
      <w:pPr>
        <w:pStyle w:val="Heading3"/>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m:t>
          </m:r>
          <m:d>
            <m:dPr/>
            <m:e>
              <m:r>
                <m:t xml:space="preserve">x</m:t>
              </m:r>
              <m:r>
                <m:t xml:space="preserve">,</m:t>
              </m:r>
              <m:r>
                <m:t xml:space="preserve">t</m:t>
              </m:r>
            </m:e>
          </m:d>
          <m:r>
            <m:t xml:space="preserve">=</m:t>
          </m:r>
          <m:f>
            <m:num>
              <m:r>
                <m:t xml:space="preserve">ℏ</m:t>
              </m:r>
            </m:num>
            <m:den>
              <m:r>
                <m:t xml:space="preserve">m</m:t>
              </m:r>
            </m:den>
          </m:f>
          <m:r>
            <m:t xml:space="preserve"> </m:t>
          </m:r>
          <m:func>
            <m:fName>
              <m:r>
                <m:t xml:space="preserve">Im</m:t>
              </m:r>
            </m:fName>
            <m:e>
              <m:d>
                <m:dPr>
                  <m:begChr m:val="["/>
                  <m:endChr m:val="]"/>
                </m:dPr>
                <m:e>
                  <m:r>
                    <m:t xml:space="preserve">ψ*∇ψ</m:t>
                  </m:r>
                </m:e>
              </m:d>
            </m:e>
          </m:func>
          <m:r>
            <m:t xml:space="preserve">=</m:t>
          </m:r>
          <m:f>
            <m:num>
              <m:r>
                <m:t xml:space="preserve">ℏ</m:t>
              </m:r>
            </m:num>
            <m:den>
              <m:r>
                <m:t xml:space="preserve">2mi</m:t>
              </m:r>
            </m:den>
          </m:f>
          <m:d>
            <m:dPr/>
            <m:e>
              <m:r>
                <m:t xml:space="preserve">ψ*∇ψ</m:t>
              </m:r>
              <m:r>
                <m:t xml:space="preserve">−</m:t>
              </m:r>
              <m:r>
                <m:t xml:space="preserve">ψ∇ψ*</m:t>
              </m:r>
            </m:e>
          </m:d>
        </m:oMath>
      </m:oMathPara>
    </w:p>
    <w:p>
      <w:r>
        <w:t>Using the Schrödinger equation, to be introduced in Lesson 12, one can show</w:t>
      </w:r>
    </w:p>
    <w:p>
      <w:pPr>
        <w:spacing w:before="100" w:after="160"/>
        <w:jc w:val="center"/>
      </w:pPr>
      <m:oMathPara>
        <m:oMath>
          <m:f>
            <m:num>
              <m:r>
                <m:t xml:space="preserve">∂ρ</m:t>
              </m:r>
            </m:num>
            <m:den>
              <m:r>
                <m:t xml:space="preserve">∂t</m:t>
              </m:r>
            </m:den>
          </m:f>
          <m:r>
            <m:t xml:space="preserve">+</m:t>
          </m:r>
          <m:r>
            <m:t xml:space="preserve">∇</m:t>
          </m:r>
          <m:r>
            <m:t xml:space="preserve">·</m:t>
          </m:r>
          <m:r>
            <m:t xml:space="preserve">j</m:t>
          </m:r>
          <m:r>
            <m:t xml:space="preserve">=</m:t>
          </m:r>
          <m:r>
            <m:t xml:space="preserve">0</m:t>
          </m:r>
          <m:r>
            <m:t xml:space="preserve">,</m:t>
          </m:r>
          <m:r>
            <m:t xml:space="preserve">ρ</m:t>
          </m:r>
          <m:r>
            <m:t xml:space="preserve">=</m:t>
          </m:r>
          <m:sSup>
            <m:e>
              <m:d>
                <m:dPr>
                  <m:begChr m:val="|"/>
                  <m:endChr m:val="|"/>
                </m:dPr>
                <m:e>
                  <m:r>
                    <m:t xml:space="preserve">ψ</m:t>
                  </m:r>
                </m:e>
              </m:d>
            </m:e>
            <m:sup>
              <m:r>
                <m:t xml:space="preserve">2</m:t>
              </m:r>
            </m:sup>
          </m:sSup>
        </m:oMath>
      </m:oMathPara>
    </w:p>
    <w:p>
      <w:r>
        <w:t>This is a continuity equation of the form met in Lesson 7 for charge, and in Lesson 2 for the diffusion equation. It expresses that probability, like charge, is neither created nor destroyed but merely flows from one region to another. Lesson 24 derives the relativistic analogue of this current directly from the Dirac equation, where it becomes j^μ = ψ̄γ^μψ and plays the role of the electromagnetic current itself.</w:t>
      </w:r>
    </w:p>
    <w:p>
      <w:pPr>
        <w:pStyle w:val="Heading3"/>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r>
        <w:rPr>
          <w:b/>
          <w:i/>
        </w:rPr>
        <w:t>Worked example 3</w:t>
      </w:r>
    </w:p>
    <w:p>
      <w:r>
        <w:t>Verify the continuity equation for a one-dimensional plane wave using the free Schrödinger equation iℏ∂_tψ = −(ℏ²/2m)∂ₓ²ψ (anticipating Lesson 12). For ψ = Ae^(i(kx−ωt)), ρ = |A|² is constant in time, so ∂ρ/∂t = 0. The current j = (ℏk/m)|A|² is also constant in x, so ∂ⱼ/∂x = 0. Both sides of the continuity equation vanish separately, consistent with a stationary, uniform probability flow.</w:t>
      </w:r>
    </w:p>
    <w:p>
      <w:pPr>
        <w:pStyle w:val="Heading2"/>
      </w:pPr>
      <w:r>
        <w:t>4 Expansion in a basis</w:t>
      </w:r>
    </w:p>
    <w:p>
      <w:pPr>
        <w:pStyle w:val="Heading3"/>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m:t>
          </m:r>
          <m:d>
            <m:dPr/>
            <m:e>
              <m:r>
                <m:t xml:space="preserve">x</m:t>
              </m:r>
            </m:e>
          </m:d>
          <m:r>
            <m:t xml:space="preserve">=</m:t>
          </m:r>
          <m:r>
            <m:t xml:space="preserve">Σₙ</m:t>
          </m:r>
          <m:r>
            <m:t xml:space="preserve"> </m:t>
          </m:r>
          <m:r>
            <m:t xml:space="preserve">cₙ</m:t>
          </m:r>
          <m:r>
            <m:t xml:space="preserve"> </m:t>
          </m:r>
          <m:r>
            <m:t xml:space="preserve">uₙ</m:t>
          </m:r>
          <m:d>
            <m:dPr/>
            <m:e>
              <m:r>
                <m:t xml:space="preserve">x</m:t>
              </m:r>
            </m:e>
          </m:d>
          <m:r>
            <m:t xml:space="preserve">,</m:t>
          </m:r>
          <m:r>
            <m:t xml:space="preserve">cₙ</m:t>
          </m:r>
          <m:r>
            <m:t xml:space="preserve">=</m:t>
          </m:r>
          <m:r>
            <m:t xml:space="preserve">⟨uₙ</m:t>
          </m:r>
          <m:r>
            <m:t xml:space="preserve">|</m:t>
          </m:r>
          <m:r>
            <m:t xml:space="preserve">ψ⟩</m:t>
          </m:r>
          <m:r>
            <m:t xml:space="preserve">=</m:t>
          </m:r>
          <m:r>
            <m:t xml:space="preserve">∫</m:t>
          </m:r>
          <m:r>
            <m:t xml:space="preserve"> </m:t>
          </m:r>
          <m:r>
            <m:t xml:space="preserve">uₙ*</m:t>
          </m:r>
          <m:d>
            <m:dPr/>
            <m:e>
              <m:r>
                <m:t xml:space="preserve">x</m:t>
              </m:r>
            </m:e>
          </m:d>
          <m:r>
            <m:t xml:space="preserve"> </m:t>
          </m:r>
          <m:r>
            <m:t xml:space="preserve">ψ</m:t>
          </m:r>
          <m:d>
            <m:dPr/>
            <m:e>
              <m:r>
                <m:t xml:space="preserve">x</m:t>
              </m:r>
            </m:e>
          </m:d>
          <m:r>
            <m:t xml:space="preserve"> </m:t>
          </m:r>
          <m:sSup>
            <m:e>
              <m:r>
                <m:t xml:space="preserve">d</m:t>
              </m:r>
            </m:e>
            <m:sup>
              <m:r>
                <m:t xml:space="preserve">3</m:t>
              </m:r>
            </m:sup>
          </m:sSup>
          <m:r>
            <m:t xml:space="preserve">x</m:t>
          </m:r>
        </m:oMath>
      </m:oMathPara>
    </w:p>
    <w:p>
      <w:r>
        <w:t>This is the infinite-dimensional analogue of the finite expansion of Lesson 1's Section 3.3, with the sum over a discrete or continuous label n and the resolution of the identity Σₙ|uₙ⟩⟨uₙ| = I holding in the same sense. The Fourier series of Lesson 2 is the special case in which the basis functions are e^(2πinx/L)/√L on an interval of length L.</w:t>
      </w:r>
    </w:p>
    <w:p>
      <w:pPr>
        <w:pStyle w:val="Heading3"/>
      </w:pPr>
      <w:r>
        <w:t>4.2 The Born rule for expansion coefficients</w:t>
      </w:r>
    </w:p>
    <w:p>
      <w:r>
        <w:t>Substituting the expansion into the normalization condition and using orthonormality,</w:t>
      </w:r>
    </w:p>
    <w:p>
      <w:pPr>
        <w:spacing w:before="100" w:after="160"/>
        <w:jc w:val="center"/>
      </w:pPr>
      <m:oMathPara>
        <m:oMath>
          <m:r>
            <m:t xml:space="preserve">⟨ψ</m:t>
          </m:r>
          <m:r>
            <m:t xml:space="preserve">|</m:t>
          </m:r>
          <m:r>
            <m:t xml:space="preserve">ψ⟩</m:t>
          </m:r>
          <m:r>
            <m:t xml:space="preserve">=</m:t>
          </m:r>
          <m:r>
            <m:t xml:space="preserve">Σₙ</m:t>
          </m:r>
          <m:r>
            <m:t xml:space="preserve"> </m:t>
          </m:r>
          <m:sSup>
            <m:e>
              <m:d>
                <m:dPr>
                  <m:begChr m:val="|"/>
                  <m:endChr m:val="|"/>
                </m:dPr>
                <m:e>
                  <m:r>
                    <m:t xml:space="preserve">cₙ</m:t>
                  </m:r>
                </m:e>
              </m:d>
            </m:e>
            <m:sup>
              <m:r>
                <m:t xml:space="preserve">2</m:t>
              </m:r>
            </m:sup>
          </m:sSup>
          <m:r>
            <m:t xml:space="preserve">=</m:t>
          </m:r>
          <m:r>
            <m:t xml:space="preserve">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12 through 15).</w:t>
      </w:r>
    </w:p>
    <w:p>
      <w:r>
        <w:rPr>
          <w:b/>
          <w:i/>
        </w:rP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12's exercises once the energies Eₙ are available.</w:t>
      </w:r>
    </w:p>
    <w:p>
      <w:pPr>
        <w:pStyle w:val="Heading2"/>
      </w:pPr>
      <w:r>
        <w:t>5 Position and the Dirac delta basis</w:t>
      </w:r>
    </w:p>
    <w:p>
      <w:pPr>
        <w:pStyle w:val="Heading3"/>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as anticipated when Lesson 1 distinguished a vector from its coordinate column.</w:t>
      </w:r>
    </w:p>
    <w:p>
      <w:pPr>
        <w:pStyle w:val="Heading3"/>
      </w:pPr>
      <w:r>
        <w:t>5.2 Momentum eigenfunctions</w:t>
      </w:r>
    </w:p>
    <w:p>
      <w:r>
        <w:t>The plane waves e^(ikx)/√(2π), in one dimension, play the same formal role for momentum that δ(x−x₀) plays for position; Lesson 13 makes this basis precise using the Fourier transform of Lesson 2 and shows that expanding ψ in this basis gives exactly the momentum-space wave function ψ̃(k).</w:t>
      </w:r>
    </w:p>
    <w:p>
      <w:r>
        <w:rPr>
          <w:b/>
          <w:i/>
        </w:rP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2"/>
      </w:pPr>
      <w:r>
        <w:t>6 Superposition and interference</w:t>
      </w:r>
    </w:p>
    <w:p>
      <w:pPr>
        <w:pStyle w:val="Heading3"/>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3"/>
      </w:pPr>
      <w:r>
        <w:t>6.2 Interference in the probability density</w:t>
      </w:r>
    </w:p>
    <w:p>
      <w:r>
        <w:t>For a superposition ψ = c₁ψ₁ + c₂ψ₂ with ψ₁, ψ₂ orthonormal, the probability density is</w:t>
      </w:r>
    </w:p>
    <w:p>
      <w:pPr>
        <w:spacing w:before="100" w:after="160"/>
        <w:jc w:val="center"/>
      </w:pPr>
      <m:oMathPara>
        <m:oMath>
          <m:sSup>
            <m:e>
              <m:d>
                <m:dPr>
                  <m:begChr m:val="|"/>
                  <m:endChr m:val="|"/>
                </m:dPr>
                <m:e>
                  <m:r>
                    <m:t xml:space="preserve">ψ</m:t>
                  </m:r>
                </m:e>
              </m:d>
            </m:e>
            <m:sup>
              <m:r>
                <m:t xml:space="preserve">2</m:t>
              </m:r>
            </m:sup>
          </m:sSup>
          <m:r>
            <m:t xml:space="preserve">=</m:t>
          </m:r>
          <m:sSup>
            <m:e>
              <m:d>
                <m:dPr>
                  <m:begChr m:val="|"/>
                  <m:endChr m:val="|"/>
                </m:dPr>
                <m:e>
                  <m:sSub>
                    <m:e>
                      <m:r>
                        <m:t xml:space="preserve">c</m:t>
                      </m:r>
                    </m:e>
                    <m:sub>
                      <m:r>
                        <m:t xml:space="preserve">1</m:t>
                      </m:r>
                    </m:sub>
                  </m:sSub>
                </m:e>
              </m:d>
            </m:e>
            <m:sup>
              <m:r>
                <m:t xml:space="preserve">2</m:t>
              </m:r>
            </m:sup>
          </m:sSup>
          <m:sSup>
            <m:e>
              <m:d>
                <m:dPr>
                  <m:begChr m:val="|"/>
                  <m:endChr m:val="|"/>
                </m:dPr>
                <m:e>
                  <m:sSub>
                    <m:e>
                      <m:r>
                        <m:t xml:space="preserve">ψ</m:t>
                      </m:r>
                    </m:e>
                    <m:sub>
                      <m:r>
                        <m:t xml:space="preserve">1</m:t>
                      </m:r>
                    </m:sub>
                  </m:sSub>
                </m:e>
              </m:d>
            </m:e>
            <m:sup>
              <m:r>
                <m:t xml:space="preserve">2</m:t>
              </m:r>
            </m:sup>
          </m:sSup>
          <m:r>
            <m:t xml:space="preserve">+</m:t>
          </m:r>
          <m:sSup>
            <m:e>
              <m:d>
                <m:dPr>
                  <m:begChr m:val="|"/>
                  <m:endChr m:val="|"/>
                </m:dPr>
                <m:e>
                  <m:sSub>
                    <m:e>
                      <m:r>
                        <m:t xml:space="preserve">c</m:t>
                      </m:r>
                    </m:e>
                    <m:sub>
                      <m:r>
                        <m:t xml:space="preserve">2</m:t>
                      </m:r>
                    </m:sub>
                  </m:sSub>
                </m:e>
              </m:d>
            </m:e>
            <m:sup>
              <m:r>
                <m:t xml:space="preserve">2</m:t>
              </m:r>
            </m:sup>
          </m:sSup>
          <m:sSup>
            <m:e>
              <m:d>
                <m:dPr>
                  <m:begChr m:val="|"/>
                  <m:endChr m:val="|"/>
                </m:dPr>
                <m:e>
                  <m:sSub>
                    <m:e>
                      <m:r>
                        <m:t xml:space="preserve">ψ</m:t>
                      </m:r>
                    </m:e>
                    <m:sub>
                      <m:r>
                        <m:t xml:space="preserve">2</m:t>
                      </m:r>
                    </m:sub>
                  </m:sSub>
                </m:e>
              </m:d>
            </m:e>
            <m:sup>
              <m:r>
                <m:t xml:space="preserve">2</m:t>
              </m:r>
            </m:sup>
          </m:sSup>
          <m:r>
            <m:t xml:space="preserve">+</m:t>
          </m:r>
          <m:r>
            <m:t xml:space="preserve">2</m:t>
          </m:r>
          <m:r>
            <m:t xml:space="preserve"> </m:t>
          </m:r>
          <m:func>
            <m:fName>
              <m:r>
                <m:t xml:space="preserve">Re</m:t>
              </m:r>
            </m:fName>
            <m:e>
              <m:d>
                <m:dPr/>
                <m:e>
                  <m:sSubSup>
                    <m:e>
                      <m:r>
                        <m:t xml:space="preserve">c</m:t>
                      </m:r>
                    </m:e>
                    <m:sub>
                      <m:r>
                        <m:t xml:space="preserve">1</m:t>
                      </m:r>
                    </m:sub>
                    <m:sup>
                      <m:r>
                        <m:t xml:space="preserve">*</m:t>
                      </m:r>
                    </m:sup>
                  </m:sSubSup>
                  <m:sSub>
                    <m:e>
                      <m:r>
                        <m:t xml:space="preserve">c</m:t>
                      </m:r>
                    </m:e>
                    <m:sub>
                      <m:r>
                        <m:t xml:space="preserve">2</m:t>
                      </m:r>
                    </m:sub>
                  </m:sSub>
                  <m:r>
                    <m:t xml:space="preserve"> </m:t>
                  </m:r>
                  <m:sSubSup>
                    <m:e>
                      <m:r>
                        <m:t xml:space="preserve">ψ</m:t>
                      </m:r>
                    </m:e>
                    <m:sub>
                      <m:r>
                        <m:t xml:space="preserve">1</m:t>
                      </m:r>
                    </m:sub>
                    <m:sup>
                      <m:r>
                        <m:t xml:space="preserve">*</m:t>
                      </m:r>
                    </m:sup>
                  </m:sSubSup>
                  <m:sSub>
                    <m:e>
                      <m:r>
                        <m:t xml:space="preserve">ψ</m:t>
                      </m:r>
                    </m:e>
                    <m:sub>
                      <m:r>
                        <m:t xml:space="preserve">2</m:t>
                      </m:r>
                    </m:sub>
                  </m:sSub>
                </m:e>
              </m:d>
            </m:e>
          </m:func>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r>
        <w:rPr>
          <w:b/>
          <w:i/>
        </w:rP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12.</w:t>
      </w:r>
    </w:p>
    <w:p>
      <w:pPr>
        <w:pStyle w:val="Heading2"/>
      </w:pPr>
      <w:r>
        <w:t>7 Uncertainty as a property of the wave function</w:t>
      </w:r>
    </w:p>
    <w:p>
      <w:pPr>
        <w:pStyle w:val="Heading3"/>
      </w:pPr>
      <w:r>
        <w:t>7.1 The standard deviation of position</w:t>
      </w:r>
    </w:p>
    <w:p>
      <w:r>
        <w:t>For a normalized ψ, the expectation value and variance of position are</w:t>
      </w:r>
    </w:p>
    <w:p>
      <w:pPr>
        <w:spacing w:before="100" w:after="160"/>
        <w:jc w:val="center"/>
      </w:pPr>
      <m:oMathPara>
        <m:oMath>
          <m:r>
            <m:t xml:space="preserve">⟨x⟩</m:t>
          </m:r>
          <m:r>
            <m:t xml:space="preserve">=</m:t>
          </m:r>
          <m:r>
            <m:t xml:space="preserve">∫</m:t>
          </m:r>
          <m:r>
            <m:t xml:space="preserve"> </m:t>
          </m:r>
          <m:r>
            <m:t xml:space="preserve">x</m:t>
          </m:r>
          <m:r>
            <m:t xml:space="preserve"> </m:t>
          </m:r>
          <m:sSup>
            <m:e>
              <m:d>
                <m:dPr>
                  <m:begChr m:val="|"/>
                  <m:endChr m:val="|"/>
                </m:dPr>
                <m:e>
                  <m:r>
                    <m:t xml:space="preserve">ψ</m:t>
                  </m:r>
                  <m:d>
                    <m:dPr/>
                    <m:e>
                      <m:r>
                        <m:t xml:space="preserve">x</m:t>
                      </m:r>
                    </m:e>
                  </m:d>
                </m:e>
              </m:d>
            </m:e>
            <m:sup>
              <m:r>
                <m:t xml:space="preserve">2</m:t>
              </m:r>
            </m:sup>
          </m:sSup>
          <m:r>
            <m:t xml:space="preserve"> </m:t>
          </m:r>
          <m:sSup>
            <m:e>
              <m:r>
                <m:t xml:space="preserve">d</m:t>
              </m:r>
            </m:e>
            <m:sup>
              <m:r>
                <m:t xml:space="preserve">3</m:t>
              </m:r>
            </m:sup>
          </m:sSup>
          <m:r>
            <m:t xml:space="preserve">x</m:t>
          </m:r>
          <m:r>
            <m:t xml:space="preserve">,</m:t>
          </m:r>
          <m:sSup>
            <m:e>
              <m:r>
                <m:t xml:space="preserve">σₓ</m:t>
              </m:r>
            </m:e>
            <m:sup>
              <m:r>
                <m:t xml:space="preserve">2</m:t>
              </m:r>
            </m:sup>
          </m:sSup>
          <m:r>
            <m:t xml:space="preserve">=</m:t>
          </m:r>
          <m:sSup>
            <m:e>
              <m:r>
                <m:t xml:space="preserve">⟨x</m:t>
              </m:r>
            </m:e>
            <m:sup>
              <m:r>
                <m:t xml:space="preserve">2</m:t>
              </m:r>
            </m:sup>
          </m:sSup>
          <m:r>
            <m:t xml:space="preserve">⟩</m:t>
          </m:r>
          <m:r>
            <m:t xml:space="preserve">−</m:t>
          </m:r>
          <m:sSup>
            <m:e>
              <m:r>
                <m:t xml:space="preserve">⟨x⟩</m:t>
              </m:r>
            </m:e>
            <m:sup>
              <m:r>
                <m:t xml:space="preserve">2</m:t>
              </m:r>
            </m:sup>
          </m:sSup>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13 will show that σₓ and the corresponding σₚ satisfy a lower bound, but that inequality belongs to the algebra of operators, not to this lesson's descriptive statistics.</w:t>
      </w:r>
    </w:p>
    <w:p>
      <w:r>
        <w:rPr>
          <w:b/>
          <w:i/>
        </w:rP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59, 60)</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24)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13; generalized to field configurations in the path integral (Lesson 80)</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51)</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13</w:t>
            </w:r>
          </w:p>
        </w:tc>
      </w:tr>
    </w:tbl>
    <w:p>
      <w:r>
        <w:t>Every scattering amplitude computed in Part VIII is, in the end, an inner product of the form ⟨final state|S|initial state⟩, built from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2"/>
      </w:pPr>
      <w:r>
        <w:t>9 Summary</w:t>
      </w:r>
    </w:p>
    <w:p>
      <w:pPr>
        <w:pStyle w:val="ListNumber"/>
        <w:numPr>
          <w:ilvl w:val="0"/>
          <w:numId w:val="10"/>
        </w:numPr>
      </w:pPr>
      <w:r>
        <w:t>The Born rule states that |ψ(x, t)|² is the probability density for finding a particle at x at time t; total probability equals one.</w:t>
      </w:r>
    </w:p>
    <w:p>
      <w:pPr>
        <w:pStyle w:val="ListNumber"/>
        <w:numPr>
          <w:ilvl w:val="0"/>
          <w:numId w:val="10"/>
        </w:numPr>
      </w:pPr>
      <w:r>
        <w:t>The space L²(ℝ³) of square-integrable functions, with inner product ⟨φ|ψ⟩ = ∫φ*ψ d³x, realizes concretely the abstract Hilbert space structure of Lesson 1.</w:t>
      </w:r>
    </w:p>
    <w:p>
      <w:pPr>
        <w:pStyle w:val="ListNumber"/>
        <w:numPr>
          <w:ilvl w:val="0"/>
          <w:numId w:val="10"/>
        </w:numPr>
      </w:pPr>
      <w:r>
        <w:t>A probability current j satisfies ∂ρ/∂t + ∇·j = 0, the quantum-mechanical analogue of charge conservation.</w:t>
      </w:r>
    </w:p>
    <w:p>
      <w:pPr>
        <w:pStyle w:val="ListNumber"/>
        <w:numPr>
          <w:ilvl w:val="0"/>
          <w:numId w:val="10"/>
        </w:numPr>
      </w:pPr>
      <w:r>
        <w:t>Expanding ψ in an orthonormal basis gives coefficients cₙ = ⟨uₙ|ψ⟩ with |cₙ|² interpreted as measurement probabilities.</w:t>
      </w:r>
    </w:p>
    <w:p>
      <w:pPr>
        <w:pStyle w:val="ListNumber"/>
        <w:numPr>
          <w:ilvl w:val="0"/>
          <w:numId w:val="10"/>
        </w:numPr>
      </w:pPr>
      <w:r>
        <w:t>The position and momentum "bases" are continuous and non-normalizable but organize the wave function as an array of expansion coefficients.</w:t>
      </w:r>
    </w:p>
    <w:p>
      <w:pPr>
        <w:pStyle w:val="ListNumber"/>
        <w:numPr>
          <w:ilvl w:val="0"/>
          <w:numId w:val="10"/>
        </w:numPr>
      </w:pPr>
      <w:r>
        <w:t>The superposition principle allows linear combinations of states and produces interference terms with no classical analogue.</w:t>
      </w:r>
    </w:p>
    <w:p>
      <w:pPr>
        <w:pStyle w:val="ListNumber"/>
        <w:numPr>
          <w:ilvl w:val="0"/>
          <w:numId w:val="10"/>
        </w:numPr>
      </w:pPr>
      <w:r>
        <w:t>⟨x⟩ and σₓ are the mean and standard deviation of the position probability distribution, statistics of an ensemble, not properties of a single measurement.</w:t>
      </w:r>
    </w:p>
    <w:p>
      <w:pPr>
        <w:pStyle w:val="ListNumber"/>
        <w:numPr>
          <w:ilvl w:val="0"/>
          <w:numId w:val="10"/>
        </w:numPr>
      </w:pPr>
      <w:r>
        <w:t>Every later probabilistic statement in the course, cross sections included, is built from the same Born-rule logic introduced here.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Normalize ψ(x) = A e^(−|x|/b) in one dimension and find A in terms of 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normalized wave function of Exercise 1, find the probability of finding the particle in −b &lt; x &lt;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the probability current for a general complex wave function ψ = R e^(iS) with R and S real, and show that j = (ℏ/m)R²∇S.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show that a wave function with real ψ everywhere carries zero probability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infinite well basis uₙ(x) = √(2/L)sin(nπx/L), verify ⟨u₁|u₂⟩ = 0 by direct integration.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⟨x⟩ for ψ(x) = A e^(−x²/2a²) e^(ik₀x) and explain why the extra phase factor does not shift the position expectation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σₓ² for the Gaussian of Exercise 11 and show it is unchanged by the phase factor e^(ik₀x).</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δ(x − x₀) formally satisfies ∫δ(x−x₀)ψ(x)dx = ψ(x₀), and explain in one sentence why δ(x−x₀) itself is not in L².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r>
    </w:tbl>
    <w:p>
      <w:pPr>
        <w:pStyle w:val="Heading2"/>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 = Re^(−iS), ∇ψ = (∇R + iR∇S)e^(iS), so ψ*∇ψ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2"/>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2"/>
      </w:pPr>
      <w:r>
        <w:t>Next lesson</w:t>
      </w:r>
    </w:p>
    <w:p>
      <w:r>
        <w:t>Lesson 11 develops operators and observables: how physical quantities become Hermitian operators, how measurement outcomes are eigenvalues, and how commutators encode which quantities can be known simultaneously.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 Functions and Hilbert Spaces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