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that nobody </w:t>
      </w:r>
      <w:r w:rsidR="00EE19D9">
        <w:rPr/>
        <w:t>measured</w:t>
      </w:r>
      <w:r>
        <w:t xml:space="preserve"> it too closely.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No one spoke. 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almost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rows,”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Nobody said much on the drive back.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her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Sandra said,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Nobody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 fire drill nobody had asked for,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very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exactly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said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almost like affection crossed his face and left again. “Right. Here’s your answer, and it’s the only part of this morning worth putting in the minutes.”</w:t>
      </w:r>
    </w:p>
    <w:p w14:paraId="05F42CAF" w14:textId="77777777" w:rsidR="00EE19D9" w:rsidRDefault="00000000">
      <w:r>
        <w:t xml:space="preserve">Bellboy did not hold up his fingers yet.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w:t>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 xml:space="preserve">“It is not public 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nobody. “Very well,” he said. “Minute it.”</w:t>
      </w:r>
    </w:p>
    <w:p w14:paraId="70C50BAA" w14:textId="77777777" w:rsidR="00EE19D9" w:rsidRDefault="00000000">
      <w:r>
        <w:t xml:space="preserve">He did not, however, close the folder. From the very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stood very still.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They surveyed nine thousand houses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exactly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nobody else could.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nobody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very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Nobody spoke. It is a particular kind of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considered this with the seriousness she gave to everything.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nobody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slowly.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Lolly’s eyes went to the box.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exactly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nobody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