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Some questions are better left beyond the blanket. The Bureau filed that under Pending Geometry and went to lunch. The canteen was serving meat with mint sauce, chocolate sauce, a third unlabelled bottle that was not soy sauce but had clearly attended the same finishing school as Maggi, and a small jar of Marmite left out for reasons nobody would take responsibility for - a combination several members of staff quietly agreed was a more serious violation of natural law than anything in Case 1047.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