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1893 to 1994: Civil Rights and Liberation — Humanity Argues With Itself</w:t>
      </w:r>
    </w:p>
    <w:p>
      <w:pPr>
        <w:spacing w:after="200"/>
      </w:pPr>
      <w:r>
        <w:t xml:space="preserve">Unlike most of the conflicts in this book, the campaigns in this chapter were mostly won without an army.</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The murder of Emmett Till, a fourteen-year-old boy killed in Mississippi in August 1955 after being accused of offending a white woman, and the decision by his mother, Mamie Till-Mobley, to hold an open-casket funeral so that Jet magazine could publish photographs of his mutilated body, is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ending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enormously by country and continuing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parallel argument about who counted as fully included ran through the same decades.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2026-10-04T14:44:28.051Z</dcterms:created>
  <dcterms:modified xsi:type="dcterms:W3CDTF">2026-10-04T14:44:28.051Z</dcterms:modified>
</cp:coreProperties>
</file>

<file path=docProps/custom.xml><?xml version="1.0" encoding="utf-8"?>
<Properties xmlns="http://schemas.openxmlformats.org/officeDocument/2006/custom-properties" xmlns:vt="http://schemas.openxmlformats.org/officeDocument/2006/docPropsVTypes"/>
</file>