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Kets, Bras, and the Schrödinger Equation</w:t>
      </w:r>
    </w:p>
    <w:p>
      <w:pPr>
        <w:pStyle w:val="Subtitle"/>
        <w:jc w:val="center"/>
      </w:pPr>
      <w:r>
        <w:t>Prologue 8 of Quantum, Actually, Volume 2: A QED Course</w:t>
      </w:r>
    </w:p>
    <w:p>
      <w:pPr>
        <w:jc w:val="center"/>
      </w:pPr>
      <w:r>
        <w:t>Lothar J. Musiol</w:t>
      </w:r>
    </w:p>
    <w:p>
      <w:r>
        <w:br/>
      </w:r>
    </w:p>
    <w:p>
      <w:pPr>
        <w:jc w:val="center"/>
      </w:pPr>
      <w:r>
        <w:rPr>
          <w:b/>
          <w:sz w:val="26"/>
        </w:rPr>
        <w:t>A ket names a situation; a bra asks it a question; the answer is one of Prologue 1's arrows. The Schrödinger equation is the stopwatch that turns those arrows as time passes</w:t>
      </w:r>
    </w:p>
    <w:p>
      <w:r>
        <w:br/>
        <w:br/>
      </w:r>
    </w:p>
    <w:p>
      <w:pPr>
        <w:jc w:val="center"/>
      </w:pPr>
      <w:r>
        <w:t>First edition, 2026</w:t>
      </w:r>
    </w:p>
    <w:p>
      <w:r>
        <w:br w:type="page"/>
      </w:r>
    </w:p>
    <w:p>
      <w:pPr>
        <w:pStyle w:val="Heading2"/>
      </w:pPr>
      <w:r>
        <w:t>How to use this prologue</w:t>
      </w:r>
    </w:p>
    <w:p>
      <w:r>
        <w:t>The symbols | ⟩ and ⟨ | look like a secret handshake. They are not. A ket is a name for a complete physical situation; a bra is a question you ask that situation; the answer is one of the arrows of Prologues 1–6, a complex number. The second half of this prologue writes the law that turns those arrows as time passes, the Schrödinger equation: iℏ times how fast the ket changes equals a machine Ĥ, the energy, acting on the ket. Lessons 10 and 12 do both properly. This is the version for someone who has never seen the notation. Expect five to eight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w:t>
      </w:r>
      <w:r>
        <w:rPr>
          <w:vertAlign w:val="subscript"/>
        </w:rPr>
        <w:t>n</w:t>
      </w:r>
      <w:r>
        <w:t xml:space="preserve"> |n⟩, and read c</w:t>
      </w:r>
      <w:r>
        <w:rPr>
          <w:vertAlign w:val="subscript"/>
        </w:rPr>
        <w:t>n</w:t>
      </w:r>
      <w:r>
        <w:t xml:space="preserve"> as arrows.</w:t>
      </w:r>
    </w:p>
    <w:p>
      <w:pPr>
        <w:pStyle w:val="ListBullet"/>
      </w:pPr>
      <w:r>
        <w:t>Translate a sentence of ordinary English into a bra-ket sandwich.</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19).</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A ket: the whole situation, Prologue 1's "what is going on"</w:t>
            </w:r>
          </w:p>
        </w:tc>
      </w:tr>
      <w:tr>
        <w:tc>
          <w:tcPr>
            <w:tcW w:type="dxa" w:w="2160"/>
            <w:vAlign w:val="center"/>
            <w:shd w:fill="EAF2F8"/>
            <w:tcMar>
              <w:top w:w="100" w:type="dxa"/>
              <w:start w:w="100" w:type="dxa"/>
              <w:bottom w:w="100" w:type="dxa"/>
              <w:end w:w="100" w:type="dxa"/>
            </w:tcMar>
          </w:tcPr>
          <w:p>
            <w:r>
              <w:t>⟨φ|</w:t>
            </w:r>
          </w:p>
        </w:tc>
        <w:tc>
          <w:tcPr>
            <w:tcW w:type="dxa" w:w="7632"/>
            <w:vAlign w:val="center"/>
            <w:shd w:fill="EAF2F8"/>
            <w:tcMar>
              <w:top w:w="100" w:type="dxa"/>
              <w:start w:w="100" w:type="dxa"/>
              <w:bottom w:w="100" w:type="dxa"/>
              <w:end w:w="100" w:type="dxa"/>
            </w:tcMar>
          </w:tcPr>
          <w:p>
            <w:r>
              <w:t>A bra: the question that picks out one possibility</w:t>
            </w:r>
          </w:p>
        </w:tc>
      </w:tr>
      <w:tr>
        <w:tc>
          <w:tcPr>
            <w:tcW w:type="dxa" w:w="2160"/>
            <w:vAlign w:val="center"/>
            <w:tcMar>
              <w:top w:w="100" w:type="dxa"/>
              <w:start w:w="100" w:type="dxa"/>
              <w:bottom w:w="100" w:type="dxa"/>
              <w:end w:w="100" w:type="dxa"/>
            </w:tcMar>
          </w:tcPr>
          <w:p>
            <w:r>
              <w:t>⟨φ|ψ⟩</w:t>
            </w:r>
          </w:p>
        </w:tc>
        <w:tc>
          <w:tcPr>
            <w:tcW w:type="dxa" w:w="7632"/>
            <w:vAlign w:val="center"/>
            <w:tcMar>
              <w:top w:w="100" w:type="dxa"/>
              <w:start w:w="100" w:type="dxa"/>
              <w:bottom w:w="100" w:type="dxa"/>
              <w:end w:w="100" w:type="dxa"/>
            </w:tcMar>
          </w:tcPr>
          <w:p>
            <w:r>
              <w:t>The arrow (complex number) from ψ to φ</w:t>
            </w:r>
          </w:p>
        </w:tc>
      </w:tr>
      <w:tr>
        <w:tc>
          <w:tcPr>
            <w:tcW w:type="dxa" w:w="2160"/>
            <w:vAlign w:val="center"/>
            <w:shd w:fill="EAF2F8"/>
            <w:tcMar>
              <w:top w:w="100" w:type="dxa"/>
              <w:start w:w="100" w:type="dxa"/>
              <w:bottom w:w="100" w:type="dxa"/>
              <w:end w:w="100" w:type="dxa"/>
            </w:tcMar>
          </w:tcPr>
          <w:p>
            <w:r>
              <w:t>⟨ψ|ψ⟩=1</w:t>
            </w:r>
          </w:p>
        </w:tc>
        <w:tc>
          <w:tcPr>
            <w:tcW w:type="dxa" w:w="7632"/>
            <w:vAlign w:val="center"/>
            <w:shd w:fill="EAF2F8"/>
            <w:tcMar>
              <w:top w:w="100" w:type="dxa"/>
              <w:start w:w="100" w:type="dxa"/>
              <w:bottom w:w="100" w:type="dxa"/>
              <w:end w:w="100" w:type="dxa"/>
            </w:tcMar>
          </w:tcPr>
          <w:p>
            <w:r>
              <w:t>The situation is normalized: probabilities will add to 1</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The whole of quantum mechanics is: situations combine like Prologue 1's arrows. So kets add, and they can be stretched by a complex number. That is Lesson 1's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 </m:t>
          </m:r>
          <m:r>
            <m:t xml:space="preserve">click</m:t>
          </m:r>
          <m:r>
            <m:t xml:space="preserve">|</m:t>
          </m:r>
          <m:r>
            <m:t xml:space="preserve">ψ</m:t>
          </m:r>
          <m:r>
            <m:t xml:space="preserve"> </m:t>
          </m:r>
          <m:r>
            <m:t xml:space="preserve">⟩</m:t>
          </m:r>
        </m:oMath>
      </m:oMathPara>
    </w:p>
    <w:p>
      <w:r>
        <w:t>is the arrow for "situation ψ produces a click." The probability is the square of that arrow's length, exactly Prologue 1.</w:t>
      </w:r>
    </w:p>
    <w:p>
      <w:pPr>
        <w:keepNext/>
        <w:spacing w:before="160" w:after="40"/>
        <w:jc w:val="center"/>
      </w:pPr>
      <w:r>
        <w:drawing>
          <wp:inline xmlns:a="http://schemas.openxmlformats.org/drawingml/2006/main" xmlns:pic="http://schemas.openxmlformats.org/drawingml/2006/picture">
            <wp:extent cx="5120640" cy="853440"/>
            <wp:docPr id="1" name="Picture 1"/>
            <wp:cNvGraphicFramePr>
              <a:graphicFrameLocks noChangeAspect="1"/>
            </wp:cNvGraphicFramePr>
            <a:graphic>
              <a:graphicData uri="http://schemas.openxmlformats.org/drawingml/2006/picture">
                <pic:pic>
                  <pic:nvPicPr>
                    <pic:cNvPr id="0" name="P8_braket.png"/>
                    <pic:cNvPicPr/>
                  </pic:nvPicPr>
                  <pic:blipFill>
                    <a:blip r:embed="rId11"/>
                    <a:stretch>
                      <a:fillRect/>
                    </a:stretch>
                  </pic:blipFill>
                  <pic:spPr>
                    <a:xfrm>
                      <a:off x="0" y="0"/>
                      <a:ext cx="5120640" cy="853440"/>
                    </a:xfrm>
                    <a:prstGeom prst="rect"/>
                  </pic:spPr>
                </pic:pic>
              </a:graphicData>
            </a:graphic>
          </wp:inline>
        </w:drawing>
      </w:r>
    </w:p>
    <w:p>
      <w:pPr>
        <w:spacing w:after="200"/>
        <w:jc w:val="center"/>
      </w:pPr>
      <w:r>
        <w:rPr>
          <w:i/>
          <w:sz w:val="19"/>
        </w:rPr>
        <w:t>Figure P8.1. A ket names the situation; a bra is the question; their sandwich ⟨φ|ψ⟩ is an arrow; the detector reports only its squared length.</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w:t>
      </w:r>
      <w:r>
        <w:rPr>
          <w:vertAlign w:val="subscript"/>
        </w:rPr>
        <w:t>p</w:t>
      </w:r>
      <w:r>
        <w:t>ath1|source⟩+⟨A</w:t>
      </w:r>
      <w:r>
        <w:rPr>
          <w:vertAlign w:val="subscript"/>
        </w:rPr>
        <w:t>p</w:t>
      </w:r>
      <w:r>
        <w:t>ath2|source⟩, then square. That is Prologue 2 in this notation.</w:t>
      </w:r>
    </w:p>
    <w:p>
      <w:pPr>
        <w:pStyle w:val="Heading2"/>
      </w:pPr>
      <w:r>
        <w:t>3 Normalization</w:t>
      </w:r>
    </w:p>
    <w:p>
      <w:r>
        <w:t>⟨ψ|ψ⟩=1 means: if you ask "is it this situation?", and it is this situation, the arrow has length 1, P=1. If a ket is not normalized, divide by its length. Lesson 10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A ket is not a little particle. A bra is not a machine in the lab. ⟨φ|ψ⟩ is not "φ times ψ" in the sense of multiplying two waves on a blackboard until Lesson 10 says it is an integral. For this opening, sandwich = arrow.</w:t>
      </w:r>
    </w:p>
    <w:p>
      <w:pPr>
        <w:pStyle w:val="Heading2"/>
      </w:pPr>
      <w:r>
        <w:t>6 The law in one line</w:t>
      </w:r>
    </w:p>
    <w:p>
      <w:pPr>
        <w:spacing w:before="100" w:after="160"/>
        <w:jc w:val="center"/>
      </w:pPr>
      <m:oMathPara>
        <m:oMath>
          <m:r>
            <m:t xml:space="preserve">i</m:t>
          </m:r>
          <m:r>
            <m:t xml:space="preserve"> </m:t>
          </m:r>
          <m:r>
            <m:t xml:space="preserve">ℏ</m:t>
          </m:r>
          <m:r>
            <m:t xml:space="preserve"> </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w:t>
      </w:r>
      <w:r>
        <w:rPr>
          <w:vertAlign w:val="superscript"/>
        </w:rPr>
        <w:t>−iEt/ℏ</w:t>
      </w:r>
      <w:r>
        <w:t>|ψ(0)⟩. The whole ket multiplies by a rotating arrow of length 1. Every sandwich ⟨φ|ψ(t)⟩ picks up that rotation. Probabilities, being lengths squared, do not notice a global rotation. That is a stationary state.</w:t>
      </w:r>
    </w:p>
    <w:p>
      <w:r>
        <w:rPr>
          <w:b/>
          <w:i/>
        </w:rPr>
        <w:t>Worked example 3</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7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8 What Schrödinger cannot do</w:t>
      </w:r>
    </w:p>
    <w:p>
      <w:r>
        <w:t>The equation treats time as a driver and space as a label on the wave function. Relativity will not allow that split. Lesson 18 tries Klein–Gordon, Lesson 20 succeeds with Dirac. This prologue is the nonrelativistic machine, and it is still the right machine for atoms when v≪c, including the hydrogen that Lesson 77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|ψ⟩, ⟨φ|, ⟨φ|ψ⟩</w:t>
            </w:r>
          </w:p>
        </w:tc>
        <w:tc>
          <w:tcPr>
            <w:tcW w:type="dxa" w:w="6528"/>
            <w:vAlign w:val="center"/>
            <w:tcMar>
              <w:top w:w="100" w:type="dxa"/>
              <w:start w:w="100" w:type="dxa"/>
              <w:bottom w:w="100" w:type="dxa"/>
              <w:end w:w="100" w:type="dxa"/>
            </w:tcMar>
          </w:tcPr>
          <w:p>
            <w:r>
              <w:t>Lesson 1 vectors; Lesson 10 Hilbert space</w:t>
            </w:r>
          </w:p>
        </w:tc>
      </w:tr>
      <w:tr>
        <w:tc>
          <w:tcPr>
            <w:tcW w:type="dxa" w:w="3264"/>
            <w:vAlign w:val="center"/>
            <w:shd w:fill="EAF2F8"/>
            <w:tcMar>
              <w:top w:w="100" w:type="dxa"/>
              <w:start w:w="100" w:type="dxa"/>
              <w:bottom w:w="100" w:type="dxa"/>
              <w:end w:w="100" w:type="dxa"/>
            </w:tcMar>
          </w:tcPr>
          <w:p>
            <w:r>
              <w:t>P=|⟨φ|ψ⟩|²</w:t>
            </w:r>
          </w:p>
        </w:tc>
        <w:tc>
          <w:tcPr>
            <w:tcW w:type="dxa" w:w="6528"/>
            <w:vAlign w:val="center"/>
            <w:shd w:fill="EAF2F8"/>
            <w:tcMar>
              <w:top w:w="100" w:type="dxa"/>
              <w:start w:w="100" w:type="dxa"/>
              <w:bottom w:w="100" w:type="dxa"/>
              <w:end w:w="100" w:type="dxa"/>
            </w:tcMar>
          </w:tcPr>
          <w:p>
            <w:r>
              <w:t>Born rule, Lesson 10</w:t>
            </w:r>
          </w:p>
        </w:tc>
      </w:tr>
      <w:tr>
        <w:tc>
          <w:tcPr>
            <w:tcW w:type="dxa" w:w="3264"/>
            <w:vAlign w:val="center"/>
            <w:tcMar>
              <w:top w:w="100" w:type="dxa"/>
              <w:start w:w="100" w:type="dxa"/>
              <w:bottom w:w="100" w:type="dxa"/>
              <w:end w:w="100" w:type="dxa"/>
            </w:tcMar>
          </w:tcPr>
          <w:p>
            <w:r>
              <w:t>S-matrix ⟨f|S|i⟩</w:t>
            </w:r>
          </w:p>
        </w:tc>
        <w:tc>
          <w:tcPr>
            <w:tcW w:type="dxa" w:w="6528"/>
            <w:vAlign w:val="center"/>
            <w:tcMar>
              <w:top w:w="100" w:type="dxa"/>
              <w:start w:w="100" w:type="dxa"/>
              <w:bottom w:w="100" w:type="dxa"/>
              <w:end w:w="100" w:type="dxa"/>
            </w:tcMar>
          </w:tcPr>
          <w:p>
            <w:r>
              <w:t>Prologue 9; Lesson 51</w:t>
            </w:r>
          </w:p>
        </w:tc>
      </w:tr>
      <w:tr>
        <w:tc>
          <w:tcPr>
            <w:tcW w:type="dxa" w:w="3264"/>
            <w:vAlign w:val="center"/>
            <w:shd w:fill="EAF2F8"/>
            <w:tcMar>
              <w:top w:w="100" w:type="dxa"/>
              <w:start w:w="100" w:type="dxa"/>
              <w:bottom w:w="100" w:type="dxa"/>
              <w:end w:w="100" w:type="dxa"/>
            </w:tcMar>
          </w:tcPr>
          <w:p>
            <w:r>
              <w:t>iℏ d|ψ⟩/dt=Ĥ|ψ⟩</w:t>
            </w:r>
          </w:p>
        </w:tc>
        <w:tc>
          <w:tcPr>
            <w:tcW w:type="dxa" w:w="6528"/>
            <w:vAlign w:val="center"/>
            <w:shd w:fill="EAF2F8"/>
            <w:tcMar>
              <w:top w:w="100" w:type="dxa"/>
              <w:start w:w="100" w:type="dxa"/>
              <w:bottom w:w="100" w:type="dxa"/>
              <w:end w:w="100" w:type="dxa"/>
            </w:tcMar>
          </w:tcPr>
          <w:p>
            <w:r>
              <w:t>Lesson 12, in full</w:t>
            </w:r>
          </w:p>
        </w:tc>
      </w:tr>
      <w:tr>
        <w:tc>
          <w:tcPr>
            <w:tcW w:type="dxa" w:w="3264"/>
            <w:vAlign w:val="center"/>
            <w:tcMar>
              <w:top w:w="100" w:type="dxa"/>
              <w:start w:w="100" w:type="dxa"/>
              <w:bottom w:w="100" w:type="dxa"/>
              <w:end w:w="100" w:type="dxa"/>
            </w:tcMar>
          </w:tcPr>
          <w:p>
            <w:r>
              <w:t>Rotation rate E/ℏ</w:t>
            </w:r>
          </w:p>
        </w:tc>
        <w:tc>
          <w:tcPr>
            <w:tcW w:type="dxa" w:w="6528"/>
            <w:vAlign w:val="center"/>
            <w:tcMar>
              <w:top w:w="100" w:type="dxa"/>
              <w:start w:w="100" w:type="dxa"/>
              <w:bottom w:w="100" w:type="dxa"/>
              <w:end w:w="100" w:type="dxa"/>
            </w:tcMar>
          </w:tcPr>
          <w:p>
            <w:r>
              <w:t>Prologue 1 color; photon energy</w:t>
            </w:r>
          </w:p>
        </w:tc>
      </w:tr>
      <w:tr>
        <w:tc>
          <w:tcPr>
            <w:tcW w:type="dxa" w:w="3264"/>
            <w:vAlign w:val="center"/>
            <w:shd w:fill="EAF2F8"/>
            <w:tcMar>
              <w:top w:w="100" w:type="dxa"/>
              <w:start w:w="100" w:type="dxa"/>
              <w:bottom w:w="100" w:type="dxa"/>
              <w:end w:w="100" w:type="dxa"/>
            </w:tcMar>
          </w:tcPr>
          <w:p>
            <w:r>
              <w:t>Stationary P</w:t>
            </w:r>
          </w:p>
        </w:tc>
        <w:tc>
          <w:tcPr>
            <w:tcW w:type="dxa" w:w="6528"/>
            <w:vAlign w:val="center"/>
            <w:shd w:fill="EAF2F8"/>
            <w:tcMar>
              <w:top w:w="100" w:type="dxa"/>
              <w:start w:w="100" w:type="dxa"/>
              <w:bottom w:w="100" w:type="dxa"/>
              <w:end w:w="100" w:type="dxa"/>
            </w:tcMar>
          </w:tcPr>
          <w:p>
            <w:r>
              <w:t>Energy eigenstates, Lesson 12</w:t>
            </w:r>
          </w:p>
        </w:tc>
      </w:tr>
    </w:tbl>
    <w:p>
      <w:pPr>
        <w:pStyle w:val="Heading2"/>
      </w:pPr>
      <w:r>
        <w:t>Summary</w:t>
      </w:r>
    </w:p>
    <w:p>
      <w:pPr>
        <w:pStyle w:val="ListNumber"/>
        <w:numPr>
          <w:ilvl w:val="0"/>
          <w:numId w:val="10"/>
        </w:numPr>
      </w:pPr>
      <w:r>
        <w:t>A ket names a situation.</w:t>
      </w:r>
    </w:p>
    <w:p>
      <w:pPr>
        <w:pStyle w:val="ListNumber"/>
        <w:numPr>
          <w:ilvl w:val="0"/>
          <w:numId w:val="10"/>
        </w:numPr>
      </w:pPr>
      <w:r>
        <w:t>A bra asks a yes-amount question.</w:t>
      </w:r>
    </w:p>
    <w:p>
      <w:pPr>
        <w:pStyle w:val="ListNumber"/>
        <w:numPr>
          <w:ilvl w:val="0"/>
          <w:numId w:val="10"/>
        </w:numPr>
      </w:pPr>
      <w:r>
        <w:t>The sandwich is Prologue 1's arrow.</w:t>
      </w:r>
    </w:p>
    <w:p>
      <w:pPr>
        <w:pStyle w:val="ListNumber"/>
        <w:numPr>
          <w:ilvl w:val="0"/>
          <w:numId w:val="10"/>
        </w:numPr>
      </w:pPr>
      <w:r>
        <w:t>Its length squared is the probability.</w:t>
      </w:r>
    </w:p>
    <w:p>
      <w:pPr>
        <w:pStyle w:val="ListNumber"/>
        <w:numPr>
          <w:ilvl w:val="0"/>
          <w:numId w:val="10"/>
        </w:numPr>
      </w:pPr>
      <w:r>
        <w:t>Lesson 10 is this, with integrals.</w:t>
      </w:r>
    </w:p>
    <w:p>
      <w:pPr>
        <w:pStyle w:val="ListNumber"/>
        <w:numPr>
          <w:ilvl w:val="0"/>
          <w:numId w:val="10"/>
        </w:numPr>
      </w:pPr>
      <w:r>
        <w:t>The Schrödinger equation says how a ket changes.</w:t>
      </w:r>
    </w:p>
    <w:p>
      <w:pPr>
        <w:pStyle w:val="ListNumber"/>
        <w:numPr>
          <w:ilvl w:val="0"/>
          <w:numId w:val="10"/>
        </w:numPr>
      </w:pPr>
      <w:r>
        <w:t>Ĥ is the energy machine.</w:t>
      </w:r>
    </w:p>
    <w:p>
      <w:pPr>
        <w:pStyle w:val="ListNumber"/>
        <w:numPr>
          <w:ilvl w:val="0"/>
          <w:numId w:val="10"/>
        </w:numPr>
      </w:pPr>
      <w:r>
        <w:t>One energy: rotate, probabilities sit still.</w:t>
      </w:r>
    </w:p>
    <w:p>
      <w:pPr>
        <w:pStyle w:val="ListNumber"/>
        <w:numPr>
          <w:ilvl w:val="0"/>
          <w:numId w:val="10"/>
        </w:numPr>
      </w:pPr>
      <w:r>
        <w:t>Several energies: relative arrows move, interference ticks.</w:t>
      </w:r>
    </w:p>
    <w:p>
      <w:pPr>
        <w:pStyle w:val="ListNumber"/>
        <w:numPr>
          <w:ilvl w:val="0"/>
          <w:numId w:val="10"/>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Translate "the atom is in the ground state" into a ket.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Translate "probability the atom is found excited" into bra-ket.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If ⟨φ|ψ⟩=i/2, what is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Why is ⟨ψ|ψ⟩=1 required?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Write |ψ⟩ in a two-outcome basis.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Where will ⟨f|S|i⟩ appear?</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Is |ψ⟩ a list of clicks?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Challenge.</w:t>
            </w:r>
            <w:r>
              <w:t xml:space="preserve"> Why ⟨φ|ψ⟩* = ⟨ψ|φ⟩, in Prologue 1's arrow language.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Say iℏ d|ψ⟩/dt=Ĥ|ψ⟩ in six words.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If Ĥ|ψ⟩=E|ψ⟩, write |ψ(t)⟩.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Why don't probabilities change in a stationary state?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Connect blue-versus-red rotation to 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What happens if two energies are superposed?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Why must this equation change for a fast electron?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Where is it solved in this course?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If ℏ=1, what is the period of the phase e</w:t>
            </w:r>
            <w:r>
              <w:rPr>
                <w:vertAlign w:val="superscript"/>
              </w:rPr>
              <w:t>−iEt</w:t>
            </w:r>
            <w:r>
              <w: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9 and Lesson 51: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r>
        <w:rPr>
          <w:b/>
        </w:rPr>
        <w:t>9.</w:t>
      </w:r>
      <w:r>
        <w:t xml:space="preserve"> </w:t>
      </w:r>
      <w:r>
        <w:t>Energy rotates the situation's arrows.</w:t>
      </w:r>
    </w:p>
    <w:p>
      <w:r>
        <w:rPr>
          <w:b/>
        </w:rPr>
        <w:t>10.</w:t>
      </w:r>
      <w:r>
        <w:t xml:space="preserve"> </w:t>
      </w:r>
      <w:r>
        <w:t>e</w:t>
      </w:r>
      <w:r>
        <w:rPr>
          <w:vertAlign w:val="superscript"/>
        </w:rPr>
        <w:t>−iEt/ℏ</w:t>
      </w:r>
      <w:r>
        <w:t>|ψ(0)⟩.</w:t>
      </w:r>
    </w:p>
    <w:p>
      <w:r>
        <w:rPr>
          <w:b/>
        </w:rPr>
        <w:t>11.</w:t>
      </w:r>
      <w:r>
        <w:t xml:space="preserve"> </w:t>
      </w:r>
      <w:r>
        <w:t>A common rotating arrow of length 1 cancels in |⟨φ|ψ⟩|².</w:t>
      </w:r>
    </w:p>
    <w:p>
      <w:r>
        <w:rPr>
          <w:b/>
        </w:rPr>
        <w:t>12.</w:t>
      </w:r>
      <w:r>
        <w:t xml:space="preserve"> </w:t>
      </w:r>
      <w:r>
        <w:t>E=hf, rate E/ℏ=2πf; blue has larger f.</w:t>
      </w:r>
    </w:p>
    <w:p>
      <w:r>
        <w:rPr>
          <w:b/>
        </w:rPr>
        <w:t>13.</w:t>
      </w:r>
      <w:r>
        <w:t xml:space="preserve"> </w:t>
      </w:r>
      <w:r>
        <w:t>The relative phase moves; P can tick.</w:t>
      </w:r>
    </w:p>
    <w:p>
      <w:r>
        <w:rPr>
          <w:b/>
        </w:rPr>
        <w:t>14.</w:t>
      </w:r>
      <w:r>
        <w:t xml:space="preserve"> </w:t>
      </w:r>
      <w:r>
        <w:t>Time and space must enter symmetrically; Schrödinger does not.</w:t>
      </w:r>
    </w:p>
    <w:p>
      <w:r>
        <w:rPr>
          <w:b/>
        </w:rPr>
        <w:t>15.</w:t>
      </w:r>
      <w:r>
        <w:t xml:space="preserve"> </w:t>
      </w:r>
      <w:r>
        <w:t>Lesson 12.</w:t>
      </w:r>
    </w:p>
    <w:p>
      <w:r>
        <w:rPr>
          <w:b/>
        </w:rPr>
        <w:t>16.</w:t>
      </w:r>
      <w:r>
        <w:t xml:space="preserve"> </w:t>
      </w:r>
      <w:r>
        <w:t>T=2π/E.</w:t>
      </w:r>
    </w:p>
    <w:p>
      <w:pPr>
        <w:pStyle w:val="Heading2"/>
      </w:pPr>
      <w:r>
        <w:t>Next lesson</w:t>
      </w:r>
    </w:p>
    <w:p>
      <w:r>
        <w:t>Prologue 9 connects the engineer's S-parameters to the S-matrix ⟨f|S|i⟩ and then draws Feynman diagrams slowly, as recipes for those in-to-out arrows.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Kets, Bras, and the Schrödinger Equation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