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t>The earlier books designed circuits, devices, radios, and converters. This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In a memory-bound inference workload, a 2026 AI accelerator can spend much of each token step waiting for weights and cached context to arrive. Its arithmetic units may be rated at two quadrillion operations per second, while the memory system delivers data at a much lower rate. For these workloads, the chip behaves less like a calculator than a queue waiting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t>A processor can be limited by compute or by memory bandwidth. The roofline model compares the two. Divide the peak arithmetic rate by memory bandwidth to get the ridge point in operations per byte. Above the ridge, a workload is compute-bound. Below it, memory bandwidth sets performance: achievable operation rate is bandwidth multiplied by arithmetic intensity, even if some arithmetic units sit idle.</w:t>
      </w:r>
    </w:p>
    <w:p>
      <w:pPr>
        <w:keepLines/>
      </w:pPr>
      <w:r>
        <w:t>Consider a 2026 accelerator with about 2e15 low-precision operations per second and 8 TB/s of HBM. Its ridge point is 250 operations per byte. Large-batch training can reuse weights enough to sit above the ridge.</w:t>
      </w:r>
    </w:p>
    <w:p>
      <w:pPr>
        <w:keepLines/>
      </w:pPr>
      <w:r>
        <w:t>Single-user text generation often sits below it. The model reads weights and cached context for each generated token, with about two operations per weight read. HBM bandwidth and the package that delivers it then constrain inference speed; Chapter 17 covers the memory interface.</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t>2.5 Hybrid Bonding at Fine Pitch</w:t>
      </w:r>
    </w:p>
    <w:p>
      <w:pPr/>
      <w:r>
        <w:t>The density estimate in Section 2.2 hides a manufacturing limit. Solder microbumps on a silicon interposer reached about 40 to 55 micrometers pitch; below roughly 20 micrometers, solder bridges and the small joint volume become difficult to tolerate under warpage. Hybrid bonding addresses that limit: copper pads in an oxide surface are polished flat, bonded oxide to oxide at room temperature, then annealed so the copper expands and fuses. Hybrid-bond pitches around 9 micrometers are in production in 2026, with pitches below 5 micrometers in development. This section focuses on the process and reliability tradeoff; Section 2.2 gives the general density calculation.</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t>Figure 2.1. Example connection densities: a 130-micrometer C4 bump gives 59 per square millimeter, a 40-micrometer microbump 625, and a 9-micrometer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t>13.4 A Practical Trace-Spacing Rule</w:t>
      </w:r>
    </w:p>
    <w:p>
      <w:pPr/>
      <w:r>
        <w:t>Coupling falls quickly as traces move apart because the reference plane confines each trace's fields. The practical layout rule is to keep sensitive traces apart and maintain a close, continuous return plane; the familiar 3W guideline is a starting point, not a guarantee. Section 13.6 quantifies the spacing and plane-height tradeoff.</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t>Section 13.4 gave the practical spacing guideline. A useful approximation for microstrip and stripline makes coupled noise proportional to 1/[1 + (s/h)^2], where s is center-to-center spacing and h is height above the reference plane. It predicts a fifth of the coupling when s/h rises from 1 to 3. The model also shows another option: reducing h with a thinner dielectric lowers coupling without using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t>Co-packaged optics moves optical engines beside the switch or accelerator die, shortening high-speed electrical paths but concentrating new integration risks at the package. Fiber attachment needs sub-micrometer alignment and must survive reflow and the thermal cycling of Chapter 10. The optical engines sit beside a die dissipating hundreds of watts, while testing, repair, and yield become harder when an engine is bonded to an expensive switch. External laser-source arrangements address one part of this thermal and serviceability problem; Section 15.6 covers that subsystem.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t>An external laser source keeps the lasers in a cool, replaceable pluggable module at the front panel and sends continuous light through fibers to modulators in the package. One laser can serve several lanes, improving serviceability and reducing heat near the optical engine. The added fibers and connectors introduce loss that must be made up with higher output power. With laser wall-plug efficiency often 10 to 20 percent including drive and temperature control, that extra optical power can cost several electrical watts.</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t>An inertial sensor's specifications separate bias (the output at zero input), bias instability (slow bias wander), white noise, scale-factor error, and cross-axis sensitivity. White rate noise is commonly reported as angle random walk; white acceleration noise as velocity random walk. Allan deviation, plotted against averaging time, helps distinguish these behaviors in a datasheet. Consumer gyroscopes can have bias instability of several degrees per hour; tactical-grade MEMS units reach about 1 degree per hour, and navigation-grade instruments, usually optical, can be a hundred times lower. Section 16.5 translates sensor errors into position drift over time.</w:t>
      </w:r>
    </w:p>
    <w:p>
      <w:pPr>
        <w:jc w:val="center"/>
      </w:pPr>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t>This section turns the sensor-level error terms from Section 16.2 into position error. After gravity is removed, a constant accelerometer bias b integrates twice, producing a position error of 1/2 b t^2. A constant gyroscope bias first creates an attitude error; that error misprojects gravity into horizontal acceleration, which then integrates twice. The resulting position error grows approximately with the cube of time. This explains why an unaided consumer IMU holds position only briefly and why practical systems fuse it with GNSS, wheel odometry, vision, or known walking constraints,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t>Chapters 5, 12, 13, and 14 predicted the impedance, crosstalk, and loss of traces and vias. Those predictions must be checked on fabricated boards, where laminate properties, etching, plating, connectors, and launches affect the result. Book 9 Chapters 18, 25, and 26 cover TDR/VNA operation, displays, and calibration. This chapter focuses on coupon geometry, stack-up correlation, and deciding whether a production channel meets its design budget.</w:t>
      </w:r>
    </w:p>
    <w:p>
      <w:pPr>
        <w:pStyle w:val="Heading2"/>
      </w:pPr>
      <w:r>
        <w:rPr>
          <w:i w:val="0"/>
        </w:rPr>
        <w:t>20.1 The time-domain reflectometer</w:t>
      </w:r>
    </w:p>
    <w:p>
      <w:pPr/>
      <w:r>
        <w:t>Book 9 Chapter 18 explains the TDR instrument, its trace, and time-to-distance conversion. Here, use the trace as a fabrication check on a coupon that copies the production stack-up and return plane. Positive excursions indicate higher impedance, often a narrow trace; negative excursions indicate lower impedance, often a wide trace or capacitive discontinuity. Use the actual edge rise time at the board and compare each feature with the layout; cable and launch features remain in the trace unless the reference plane excludes them.</w:t>
      </w:r>
    </w:p>
    <w:p>
      <w:pPr>
        <w:jc w:val="left"/>
      </w:pPr>
      <w:r>
        <w:t>For the impedance conversion and rise-time resolution relations, see Book 9 Chapter 18; Worked Example 20.1 applies them to a fabricated coupon.</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t>Figure 20.1 — TDR trace of a 50 Ω line with a 3 cm section etched narrow: the step reflects ρ = +0.10, Z = 61.1 Ω, for the round-trip time of the section, about 12.6 ps per mm round trip (6.3 ps per mm one way).</w:t>
      </w:r>
    </w:p>
    <w:p>
      <w:pPr>
        <w:pStyle w:val="Heading2"/>
      </w:pPr>
      <w:r>
        <w:rPr>
          <w:i w:val="0"/>
        </w:rPr>
        <w:t>Worked Example 20.1</w:t>
      </w:r>
    </w:p>
    <w:p>
      <w:pPr/>
      <w:r>
        <w:t>Problem. A production coupon contains a 30 mm narrow section on a 50 ohm stripline with epsilon_r = 3.55. Its calibrated TDR shows a reflection coefficient of +0.10 at the first edge. Find the section impedance, round-trip time between its edges, and whether a 35 ps edge can resolve both edges.</w:t>
      </w:r>
    </w:p>
    <w:p>
      <w:pPr/>
      <w:r>
        <w:t>Solution. The narrowed section impedance is 50 x (1 + 0.10)/(1 - 0.10) = 61.1 ohms. The wave speed is 2.998 x 10^8/sqrt(3.55) = 1.59 x 10^8 m/s, so the 30 mm section produces a round-trip interval of 2 x 0.030/(1.59 x 10^8) = 377 ps. A 35 ps edge gives about 2.8 mm spatial resolution; the 30 mm section is resolvable by a wide margin. The reflected edge travels to the feature and back.</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t>Book 9 Chapters 25 and 26 explain VNA operation, S-parameter displays, error models, calibration standards, and de-embedding. This chapter uses those methods to validate board interconnects. Put the calibration plane at the coupon launch or use an on-board TRL standard when fixture effects dominate; make the coupon dielectric, copper, reference plane, and via geometry match the product stack-up. Select line standards for the product band; the example below sizes a two-line set for board measurements.</w:t>
      </w:r>
    </w:p>
    <w:p>
      <w:pPr>
        <w:jc w:val="left"/>
      </w:pPr>
      <w:r>
        <w:t>The 20-to-160-degree phase span is the usable first-pass band for each on-board line; Book 9 Chapter 26 explains calibration limits.</w:t>
      </w:r>
    </w:p>
    <w:p>
      <w:pPr>
        <w:pStyle w:val="Heading2"/>
      </w:pPr>
      <w:r>
        <w:rPr>
          <w:i w:val="0"/>
        </w:rPr>
        <w:t>Worked Example 20.2</w:t>
      </w:r>
    </w:p>
    <w:p>
      <w:pPr/>
      <w:r>
        <w:t>Problem. A board coupon must support on-board TRL calibration from 2 to 16 GHz on stripline with epsilon_r = 3.55. Use two lines whose 90-degree frequencies are 4.24 and 12.65 GHz. Find their excess lengths over the through and the usable band of each line, using the 20-to-160-degree criterion.</w:t>
      </w:r>
    </w:p>
    <w:p>
      <w:pPr/>
      <w:r>
        <w:t>Solution. The wave speed is 2.998 x 10^8/sqrt(3.55) = 1.59 x 10^8 m/s. Quarter-wave excess lengths are v/(4f): 9.38 mm at 4.24 GHz and 3.14 mm at 12.65 GHz. The usable ranges are 0.94 to 7.54 GHz and 2.81 to 22.49 GHz, respectively. Together they cover 2 to 16 GHz with overlap. These are first-pass lengths; use the fabricator effective-permittivity model and verify the standards after fabrication.</w:t>
      </w:r>
    </w:p>
    <w:p>
      <w:pPr/>
      <w:r>
        <w:t>Key idea. Book 9 owns instrument operation and calibration theory. Book 7 uses calibrated measurements to test whether fabricated interconnects match the intended stack-up and channel budget; an on-board TRL coupon is a board-design choice that moves the reference plane to the structure.</w:t>
      </w:r>
    </w:p>
    <w:p>
      <w:pPr>
        <w:pStyle w:val="Heading2"/>
      </w:pPr>
      <w:r>
        <w:rPr>
          <w:i w:val="0"/>
        </w:rPr>
        <w:t>20.4 De-embedding and correlation</w:t>
      </w:r>
    </w:p>
    <w:p>
      <w:pPr/>
      <w:r>
        <w:t>A panel-edge coupon lets each lot be measured without probing the product itself. Book 9 Chapter 26.3 covers de-embedding algorithms; here, use a two-length coupon or on-board standards to remove launches, then compare measured loss per unit length with the Chapter 14 field-solver model. If measured loss is higher, check assumed dielectric loss, copper roughness, plating, and coupon geometry, then revisit the channel budget before release.</w:t>
      </w:r>
    </w:p>
    <w:p>
      <w:pPr>
        <w:pStyle w:val="Heading2"/>
      </w:pPr>
      <w:r>
        <w:rPr>
          <w:i w:val="0"/>
        </w:rPr>
        <w:t>20.5 Reading S-parameters: insertion loss, return loss, and consistency checks</w:t>
      </w:r>
    </w:p>
    <w:p>
      <w:pPr/>
      <w:r>
        <w:t>Book 9 Chapter 25.2 explains S-parameter formats and displays. For board acceptance, compare S21 insertion loss, S11 return loss, and crosstalk with the product interface budget across frequency, not at one convenient marker. A passive coupon should satisfy |S11|^2 + |S21|^2 &lt;= 1 for excitation at port 1; a violation points to calibration, normalization, or data-quality problems. A single loss value cannot separate dielectric, copper, radiation, and connector losses.</w:t>
      </w:r>
    </w:p>
    <w:p>
      <w:pPr>
        <w:jc w:val="left"/>
      </w:pPr>
      <w:r>
        <w:t>Port-1 passivity check: |S11|^2 + |S21|^2 &lt;= 1.</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t>Book 9 Chapter 25.3 covers VNA noise floor, dynamic range, IF bandwidth, and sweep time. For PCB acceptance, choose settings so the noise floor sits below the smallest coupling or insertion-loss feature that controls the pass/fail decision. Record source power, IF bandwidth, point count, averaging, and calibration with each coupon result; hold them constant across lot comparisons or document why they changed.</w:t>
      </w:r>
    </w:p>
    <w:p>
      <w:pPr>
        <w:jc w:val="left"/>
      </w:pPr>
      <w:r>
        <w:t>For noise-floor and sweep-time estimates, see Book 9 Chapter 25.3; Example 20.4 applies the trade-off to a coupling limit.</w:t>
      </w:r>
    </w:p>
    <w:p>
      <w:pPr>
        <w:pStyle w:val="Heading2"/>
      </w:pPr>
      <w:r>
        <w:rPr>
          <w:i w:val="0"/>
        </w:rPr>
        <w:t>Worked Example 20.4</w:t>
      </w:r>
    </w:p>
    <w:p>
      <w:pPr/>
      <w:r>
        <w:t>Problem. A coupling limit is -60 dB with a 0 dBm test source. At 1 kHz IF bandwidth the analyzer noise floor is -73 dBm. What is the largest IF bandwidth that preserves 10 dB of margin below the limit? Estimate the sweep time for 1601 points at 1 kHz and at the selected setting.</w:t>
      </w:r>
    </w:p>
    <w:p>
      <w:pPr/>
      <w:r>
        <w:t>Solution. A 10 dB margin requires a floor no higher than -70 dBm. The present -73 dBm floor has 13 dB margin, so bandwidth may double: 2 kHz raises the floor by 3 dB to -70 dBm. The approximate sweep time is 1601/1000 = 1.60 s at 1 kHz and 1601/2000 = 0.80 s at 2 kHz. Confirm the actual analyzer setting and noise floor on the coupon fixture.</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Treat coupons as controlled samples: record stack-up, copper weight, trace geometry, panel position, and lot; measure with the same calibration plane and settings; compare results with the simulated channel and acceptance budget. For instrument setup and calibration technique, see Book 9 Chapters 18, 25, and 26.</w:t>
      </w:r>
    </w:p>
    <w:p>
      <w:pPr>
        <w:pStyle w:val="Heading2"/>
      </w:pPr>
      <w:r>
        <w:rPr>
          <w:i w:val="0"/>
        </w:rPr>
        <w:t>Practice</w:t>
      </w:r>
    </w:p>
    <w:p>
      <w:pPr/>
      <w:r>
        <w:t>1. A 30 mm coupon section on epsilon_r = 3.55 has TDR edges separated by 377 ps. Confirm its length from the round-trip delay and decide whether a 35 ps system edge can resolve it.</w:t>
      </w:r>
    </w:p>
    <w:p>
      <w:pPr/>
      <w:r>
        <w:t>2. A 50 ohm board coupon produces a calibrated TDR reflection coefficient of +0.06. Find the local impedance and decide whether it is within a +/-5% target around 50 ohms.</w:t>
      </w:r>
    </w:p>
    <w:p>
      <w:pPr/>
      <w:r>
        <w:t>3. Two stripline lanes on the same stack-up have a one-way delay mismatch of 24 ps. Estimate their electrical-length mismatch for epsilon_r = 3.55.</w:t>
      </w:r>
    </w:p>
    <w:p>
      <w:pPr/>
      <w:r>
        <w:t>4. On 100 mm and 150 mm coupons, calibrated S21 is -1.1 dB and -1.5 dB at the same frequency. Estimate trace loss per centimeter after the common launches cancel.</w:t>
      </w:r>
    </w:p>
    <w:p>
      <w:pPr/>
      <w:r>
        <w:t>5. The product channel budget allows at most 1.0 dB interconnect loss at 26.6 GHz; a 100 mm production coupon measures -1.8 dB. By how much does it miss the budget, and which stack-up loss inputs should be rechecked against the Chapter 14 model?</w:t>
      </w:r>
    </w:p>
    <w:p>
      <w:pPr/>
      <w:r>
        <w:t>6. The two TRL lines from Worked Example 20.2 were designed using epsilon_r = 3.55, but a fabricated coupon measures epsilon_r = 3.80. Estimate the shifted 90-degree frequencies and the combined usable bands. Do they still cover 2 to 16 GHz?</w:t>
      </w:r>
    </w:p>
    <w:p>
      <w:pPr/>
      <w:r>
        <w:t>7. A passive two-port coupon reports S11 = -2 dB and S21 = -1 dB at one frequency. Does it satisfy the port-1 passivity check |S11|^2 + |S21|^2 &lt;= 1? What should you inspect if not?</w:t>
      </w:r>
    </w:p>
    <w:p>
      <w:pPr/>
      <w:r>
        <w:t>8. An approved coupon shows 1.2 dB insertion loss. A new lot reads 1.6 dB, but the measured thru standard shifted by 0.6 dB during the same session. Can you attribute the 0.4 dB difference to the board stack-up? What should be repeated before deciding?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Use coupons that reproduce the product stack-up and reference plane.</w:t>
      </w:r>
    </w:p>
    <w:p>
      <w:pPr>
        <w:pStyle w:val="ListParagraph"/>
        <w:numPr>
          <w:ilvl w:val="0"/>
          <w:numId w:val="1"/>
        </w:numPr>
        <w:spacing w:after="60"/>
      </w:pPr>
      <w:r>
        <w:t>Compare TDR excursions and measured delay with the physical layout.</w:t>
      </w:r>
    </w:p>
    <w:p>
      <w:pPr>
        <w:pStyle w:val="ListParagraph"/>
        <w:numPr>
          <w:ilvl w:val="0"/>
          <w:numId w:val="1"/>
        </w:numPr>
        <w:spacing w:after="60"/>
      </w:pPr>
      <w:r>
        <w:t>Use two lengths or on-board TRL to isolate board loss from launches.</w:t>
      </w:r>
    </w:p>
    <w:p>
      <w:pPr>
        <w:pStyle w:val="ListParagraph"/>
        <w:numPr>
          <w:ilvl w:val="0"/>
          <w:numId w:val="1"/>
        </w:numPr>
        <w:spacing w:after="60"/>
      </w:pPr>
      <w:r>
        <w:t>Keep calibration, geometry, IFBW, and lot metadata with every result.</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w:t>
      </w:r>
    </w:p>
    <w:p>
      <w:pPr/>
      <w:r>
        <w:rPr>
          <w:i w:val="0"/>
        </w:rPr>
        <w:t xml:space="preserve">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t>Above 1 GHz, floor reflections create deep nulls that shift with small changes in height. CISPR 16-1-4 therefore uses a free-space environment: floor absorber between the antenna and product turns a semi-anechoic chamber into a fully anechoic one. Validate the site using its voltage standing-wave ratio, S_VSWR, which must not exceed 6 dB across the test volume.</w:t>
      </w:r>
    </w:p>
    <w:p>
      <w:pPr/>
      <w:r>
        <w:t>Use a horn as the receive antenna and make sure its beam covers the product. At distance d, a horn with beamwidth angle beta illuminates a width w = 2d tan(beta/2). Because the beam narrows as frequency rises, a product covered at 1 GHz may extend beyond it at 6 GHz; the standard then requires a height scan to find the maximum. The horn far field, 2D^2/lambda, must also fit inside the test distance. For a 0.2 m aperture at 6 GHz, 2 x 0.2^2 / 0.05 = 1.6 m, within a 3 m test distance.</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Solution.</w:t>
      </w:r>
      <w:r>
        <w:rPr>
          <w:b w:val="0"/>
        </w:rPr>
        <w:t xml:space="preserve">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t>IEC 61000-4-5 applies signal and data line surges through a larger impedance than mains surges. For an unshielded line, the test adds 40 ohms to the generator's 2-ohm source impedance. This limits current relative to mains testing, but low-voltage signal pins remain vulnerable. Above breakdown voltage V_BR, a TVS behaves approximately like V_BR in series with its dynamic resistance R_dyn. At surge current I_PP, the protected pin sees V_C = V_BR + I_PP * R_dyn, not V_BR alone. A suitable TVS must pass four checks: its stand-off voltage must exceed the line's highest normal voltage; its clamping voltage must stay below the protected part's absolute maximum at the test current; its 8/20 us peak-pulse rating must exceed V_C * I_PP; and, on multi-gigabit lines, its capacitance must be low enough to avoid loading the signal, often a fraction of a picofarad.</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The series' smart thermostat has a USB-C service port at 5 V and a ESP32-S3 Wi-Fi radio module with an FCC grant, installed under the grant's conditions. A TVS on VBUS has V_BR = 6.0 V and R_dyn = 0.3 Ω (example figures). Find its clamping voltage at the first peak of an 8 kV contact discharge, say what the USB 2.0 data lines need, and list what the module's grant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t>Part II has followed a product from its radiating loops to the certificate. Part III closes this book with one product that draws on the nine-volume series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t>A mobile robot, and in 2026 particularly the humanoid and the mobile manipulator, is one product that draws on all nine books. Book 1 supplies the foundations; Book 2, circuits and control; Book 3, device behavior; Book 4, RF hardware; Book 5, communications; Book 6, power and energy; this book, packaging, layout, and EMC; Book 8, firmware; and Book 9, measurement. A robot uses them together: its battery feeds motor converters, feedback loops stabilize its joints, MEMS sensors report motion, radios carry data, and the package must keep heat and switching noise from disrupting the computer. This chapter focuses on those boundaries rather than repeating each volume's full treatment. It uses a few numbers to show how the subjects meet.</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b w:val="0"/>
        </w:rPr>
        <w:t>With the dielectric constant and other dimensions fixed, a wider trace increases 0.8w + t in the formula's denominator. That reduces the logarithm and the estimated characteristic impedance.</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t>1. v = 2.998 x 10^8/sqrt(3.55) = 1.59 x 10^8 m/s. Distance = v t/2 = 30.0 mm. Resolution is about v tr/2 = 2.8 mm, so both edges are resolvable.</w:t>
      </w:r>
    </w:p>
    <w:p>
      <w:pPr/>
      <w:r>
        <w:t>2. Z = 50 x (1 + 0.06)/(1 - 0.06) = 56.4 ohms. The +/-5% band is 47.5 to 52.5 ohms, so the coupon is out of tolerance; inspect trace width and the reference plane near that location.</w:t>
      </w:r>
    </w:p>
    <w:p>
      <w:pPr/>
      <w:r>
        <w:t>3. v = 2.998 x 10^8/sqrt(3.55) = 1.59 x 10^8 m/s. A 24 ps one-way mismatch corresponds to delta-L = v delta-t = 3.82 mm.</w:t>
      </w:r>
    </w:p>
    <w:p>
      <w:pPr/>
      <w:r>
        <w:t>4. The loss difference is 0.4 dB over 50 mm, so incremental trace loss is 0.008 dB/mm or 0.08 dB/cm, assuming common launches cancel and both coupons use the same stack-up.</w:t>
      </w:r>
    </w:p>
    <w:p>
      <w:pPr/>
      <w:r>
        <w:t>5. It misses by 1.8 - 1.0 = 0.8 dB. Recheck dielectric loss versus frequency, copper roughness/plating, finished trace geometry, and launch removal against the modeled coupon.</w:t>
      </w:r>
    </w:p>
    <w:p>
      <w:pPr/>
      <w:r>
        <w:t>6. With fixed line lengths, each 90-degree frequency scales as 1/sqrt(epsilon_r): 4.24 x sqrt(3.55/3.80) = 4.10 GHz and 12.65 x sqrt(3.55/3.80) = 12.23 GHz. Their usable bands shift to about 0.91-7.29 GHz and 2.72-21.73 GHz. Together they still cover 2-16 GHz, but the changed substrate shifts the overlap and should be represented in the coupon calibration model.</w:t>
      </w:r>
    </w:p>
    <w:p>
      <w:pPr/>
      <w:r>
        <w:t>7. |S11|^2 = 10^(-2/10) = 0.631 and |S21|^2 = 10^(-1/10) = 0.794; the sum is 1.425, greater than one. Check calibration, port normalization, connector/fixture movement, and data-channel mapping.</w:t>
      </w:r>
    </w:p>
    <w:p>
      <w:pPr/>
      <w:r>
        <w:t>8. No. The thru-check drift (0.6 dB) is larger than the observed lot difference (0.4 dB), so the board change is not distinguishable from measurement drift. Restore and verify the calibration/fixture, repeat both coupon measurements with the same reference plane and settings, then compare against the modeled loss and measurement uncertainty.</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The prospective short-circuit peak is I = 4000 V / 2 ohms = 2000 A. This is the generator current into a short at the stated line-to-line source impedance, not the current a protected product necessarily conducts during a surge.</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The ideal arithmetic runtime is 1500 Wh / 375 W = 4 hours. This assumes the full stated capacity is usable and the average load stays constant; reserve, cutoff, conversion loss, temperature, and aging reduce actual runtime.</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t>Howard Johnson and Martin Graham for crosstalk (Chapter 13); IEEE 802.3ck for 100 Gbit/s electrical lanes, IEEE 802.3dj for 200 Gbit/s-per-lane work, IEEE 802.3df for 400/800 GbE, and the relevant IEEE specifications for KP4 forward-error correction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 FCC OET KDB Publication 996369, including D04 Module Integration Guide, for modular-transmitter conditions and host-product responsibilities (Chapter 27): https://apps.fcc.gov/oetcf/kdb/forms/FTSSearchResultPage.cfm?id=44637&amp;switch=P.</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