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5" w:id="1"/>
      <w:r>
        <w:rPr>
          <w:rFonts w:ascii="Amazon Ember" w:cs="Amazon Ember" w:eastAsia="Amazon Ember" w:hAnsi="Amazon Ember"/>
          <w:b/>
          <w:bCs/>
          <w:color w:val="1F4E79"/>
          <w:sz w:val="32"/>
          <w:szCs w:val="32"/>
        </w:rPr>
        <w:t xml:space="preserve">1893 to 1994: Civil Rights and Liberation — Humanity Argues With Itself</w:t>
      </w:r>
      <w:bookmarkEnd w:id="1"/>
    </w:p>
    <w:p>
      <w:pPr>
        <w:spacing w:after="200"/>
      </w:pPr>
      <w:r>
        <w:t xml:space="preserve">Unlike most of the conflicts covered so far, the campaigns in this chapter were mostly won without an army.</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Emmett Till, a fourteen-year-old boy, was murdered in Mississippi in August 1955 after being accused of offending a white woman. His mother, Mamie Till-Mobley, held an open-casket funeral so that Jet magazine could publish photographs of his mutilated body. The murder and the photographs are widely credited with galvanizing the movement that followed; the Montgomery boycott began three months later. The Twenty-Fourth Amendment, ratified in 1964, abolished poll taxes in federal elections; two years later, in Harper v. Virginia State Board of Elections (1966), the Supreme Court struck down the remaining state and local poll taxes that had been used for decades to price Black voters out of elections across much of the South.</w:t>
      </w:r>
    </w:p>
    <w:p>
      <w:pPr>
        <w:spacing w:after="200"/>
      </w:pPr>
      <w:r>
        <w:t xml:space="preserve">The same slow weapon was fired on a longer clock in South Africa, against a harder target. Legal racial segregation, formalized as apartheid in 1948, persisted for close to half a century against internal resistance, including the armed campaign of the ANC’s military wing, Umkhonto we Sizwe, after peaceful protest was banned, and mounting international pressure and sanctions. It ended only with Nelson Mandela’s release in 1990 from twenty-seven years of imprisonment, eighteen of them on Robben Island (in waters the dolphins know well), and his election as South Africa’s first Black president in 1994.</w:t>
      </w:r>
    </w:p>
    <w:p>
      <w:pPr>
        <w:spacing w:after="200"/>
      </w:pPr>
      <w:r>
        <w:t xml:space="preserve">Changing what a majority believes it owes a minority turns out to be a method with more than one minority willing to try it. Women’s movements ran throughout the same century on their own overlapping timelines: suffrage achieved in New Zealand first, in 1893, then across Britain, the United States, and most of northern Europe by the 1920s — while France (1944), Italy (1945), and Switzerland waited decades longer still. A second wave of legal and social advances followed in the 1960s and 70s, addressing employment, reproductive rights, and legal equality more broadly. The pace and scope of change varied enormously by country, and the change continues unevenly to the present.</w:t>
      </w:r>
    </w:p>
    <w:p>
      <w:pPr>
        <w:spacing w:after="200"/>
      </w:pPr>
      <w:r>
        <w:t xml:space="preserve">That timeline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t xml:space="preserve">A fourth argument about who counted as fully included ran through the same decades, slower to start and later to arrive at anything like the others’ legal recognition.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the dolphins have cataloged.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earlier chapters can say.</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2026-10-14T06:55:06.372Z</dcterms:created>
  <dcterms:modified xsi:type="dcterms:W3CDTF">2026-10-14T06:55:06.372Z</dcterms:modified>
</cp:coreProperties>
</file>

<file path=docProps/custom.xml><?xml version="1.0" encoding="utf-8"?>
<Properties xmlns="http://schemas.openxmlformats.org/officeDocument/2006/custom-properties" xmlns:vt="http://schemas.openxmlformats.org/officeDocument/2006/docPropsVTypes"/>
</file>