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40"/>
      </w:pPr>
      <w:hyperlink w:anchor="how_to_read">
        <w:r>
          <w:rPr>
            <w:rFonts w:ascii="Georgia" w:hAnsi="Georgia"/>
            <w:sz w:val="22"/>
            <w:color w:val="0563C1"/>
            <w:u w:val="single"/>
          </w:rPr>
          <w:t xml:space="preserve">How to Read This Book</w:t>
        </w:r>
      </w:hyperlink>
    </w:p>
    <w:p>
      <w:pPr>
        <w:spacing w:after="40"/>
      </w:pPr>
      <w:hyperlink w:anchor="prologue">
        <w:r>
          <w:rPr>
            <w:rFonts w:ascii="Georgia" w:hAnsi="Georgia"/>
            <w:sz w:val="22"/>
            <w:color w:val="0563C1"/>
            <w:u w:val="single"/>
          </w:rPr>
          <w:t xml:space="preserve">PROLOGUE</w:t>
        </w:r>
      </w:hyperlink>
    </w:p>
    <w:p>
      <w:pPr>
        <w:spacing w:after="40"/>
      </w:pPr>
      <w:hyperlink w:anchor="chapter_1">
        <w:r>
          <w:rPr>
            <w:rFonts w:ascii="Georgia" w:hAnsi="Georgia"/>
            <w:sz w:val="22"/>
            <w:color w:val="0563C1"/>
            <w:u w:val="single"/>
          </w:rPr>
          <w:t xml:space="preserve">Chapter 1 - The Surprise in the Morning</w:t>
        </w:r>
      </w:hyperlink>
    </w:p>
    <w:p>
      <w:pPr>
        <w:spacing w:after="40"/>
      </w:pPr>
      <w:hyperlink w:anchor="chapter_2">
        <w:r>
          <w:rPr>
            <w:rFonts w:ascii="Georgia" w:hAnsi="Georgia"/>
            <w:sz w:val="22"/>
            <w:color w:val="0563C1"/>
            <w:u w:val="single"/>
          </w:rPr>
          <w:t xml:space="preserve">Chapter 2 - Case 1047</w:t>
        </w:r>
      </w:hyperlink>
    </w:p>
    <w:p>
      <w:pPr>
        <w:spacing w:after="40"/>
      </w:pPr>
      <w:hyperlink w:anchor="interlude">
        <w:r>
          <w:rPr>
            <w:rFonts w:ascii="Georgia" w:hAnsi="Georgia"/>
            <w:sz w:val="22"/>
            <w:color w:val="0563C1"/>
            <w:u w:val="single"/>
          </w:rPr>
          <w:t xml:space="preserve">Interlude - Sophie</w:t>
        </w:r>
      </w:hyperlink>
    </w:p>
    <w:p>
      <w:pPr>
        <w:spacing w:after="40"/>
      </w:pPr>
      <w:hyperlink w:anchor="chapter_3">
        <w:r>
          <w:rPr>
            <w:rFonts w:ascii="Georgia" w:hAnsi="Georgia"/>
            <w:sz w:val="22"/>
            <w:color w:val="0563C1"/>
            <w:u w:val="single"/>
          </w:rPr>
          <w:t xml:space="preserve">Chapter 3 - The Lorentz Transform</w:t>
        </w:r>
      </w:hyperlink>
    </w:p>
    <w:p>
      <w:pPr>
        <w:spacing w:after="40"/>
      </w:pPr>
      <w:hyperlink w:anchor="chapter_4">
        <w:r>
          <w:rPr>
            <w:rFonts w:ascii="Georgia" w:hAnsi="Georgia"/>
            <w:sz w:val="22"/>
            <w:color w:val="0563C1"/>
            <w:u w:val="single"/>
          </w:rPr>
          <w:t xml:space="preserve">Chapter 4 - The Weight of Time</w:t>
        </w:r>
      </w:hyperlink>
    </w:p>
    <w:p>
      <w:pPr>
        <w:spacing w:after="40"/>
      </w:pPr>
      <w:hyperlink w:anchor="chapter_5">
        <w:r>
          <w:rPr>
            <w:rFonts w:ascii="Georgia" w:hAnsi="Georgia"/>
            <w:sz w:val="22"/>
            <w:color w:val="0563C1"/>
            <w:u w:val="single"/>
          </w:rPr>
          <w:t xml:space="preserve">Chapter 5 - The Man Who Had Mislaid Time</w:t>
        </w:r>
      </w:hyperlink>
    </w:p>
    <w:p>
      <w:pPr>
        <w:spacing w:after="40"/>
      </w:pPr>
      <w:hyperlink w:anchor="chapter_6">
        <w:r>
          <w:rPr>
            <w:rFonts w:ascii="Georgia" w:hAnsi="Georgia"/>
            <w:sz w:val="22"/>
            <w:color w:val="0563C1"/>
            <w:u w:val="single"/>
          </w:rPr>
          <w:t xml:space="preserve">Chapter 6 - The Apple Problem</w:t>
        </w:r>
      </w:hyperlink>
    </w:p>
    <w:p>
      <w:pPr>
        <w:spacing w:after="40"/>
      </w:pPr>
      <w:hyperlink w:anchor="chapter_7">
        <w:r>
          <w:rPr>
            <w:rFonts w:ascii="Georgia" w:hAnsi="Georgia"/>
            <w:sz w:val="22"/>
            <w:color w:val="0563C1"/>
            <w:u w:val="single"/>
          </w:rPr>
          <w:t xml:space="preserve">Chapter 7 - The Fourth Coordinate</w:t>
        </w:r>
      </w:hyperlink>
    </w:p>
    <w:p>
      <w:pPr>
        <w:spacing w:after="40"/>
      </w:pPr>
      <w:hyperlink w:anchor="chapter_8">
        <w:r>
          <w:rPr>
            <w:rFonts w:ascii="Georgia" w:hAnsi="Georgia"/>
            <w:sz w:val="22"/>
            <w:color w:val="0563C1"/>
            <w:u w:val="single"/>
          </w:rPr>
          <w:t xml:space="preserve">Chapter 8 - The Cold Rain</w:t>
        </w:r>
      </w:hyperlink>
    </w:p>
    <w:p>
      <w:pPr>
        <w:spacing w:after="40"/>
      </w:pPr>
      <w:hyperlink w:anchor="chapter_9">
        <w:r>
          <w:rPr>
            <w:rFonts w:ascii="Georgia" w:hAnsi="Georgia"/>
            <w:sz w:val="22"/>
            <w:color w:val="0563C1"/>
            <w:u w:val="single"/>
          </w:rPr>
          <w:t xml:space="preserve">Chapter 9 - The Open-Door Principle</w:t>
        </w:r>
      </w:hyperlink>
    </w:p>
    <w:p>
      <w:pPr>
        <w:spacing w:after="40"/>
      </w:pPr>
      <w:hyperlink w:anchor="chapter_10">
        <w:r>
          <w:rPr>
            <w:rFonts w:ascii="Georgia" w:hAnsi="Georgia"/>
            <w:sz w:val="22"/>
            <w:color w:val="0563C1"/>
            <w:u w:val="single"/>
          </w:rPr>
          <w:t xml:space="preserve">Chapter 10 - The Relativistic Ride</w:t>
        </w:r>
      </w:hyperlink>
    </w:p>
    <w:p>
      <w:pPr>
        <w:spacing w:after="40"/>
      </w:pPr>
      <w:hyperlink w:anchor="chapter_11">
        <w:r>
          <w:rPr>
            <w:rFonts w:ascii="Georgia" w:hAnsi="Georgia"/>
            <w:sz w:val="22"/>
            <w:color w:val="0563C1"/>
            <w:u w:val="single"/>
          </w:rPr>
          <w:t xml:space="preserve">Chapter 11 - The Ordinary Cucumber Problem</w:t>
        </w:r>
      </w:hyperlink>
    </w:p>
    <w:p>
      <w:pPr>
        <w:spacing w:after="40"/>
      </w:pPr>
      <w:hyperlink w:anchor="chapter_12">
        <w:r>
          <w:rPr>
            <w:rFonts w:ascii="Georgia" w:hAnsi="Georgia"/>
            <w:sz w:val="22"/>
            <w:color w:val="0563C1"/>
            <w:u w:val="single"/>
          </w:rPr>
          <w:t xml:space="preserve">Chapter 12 - The Hologram Problem</w:t>
        </w:r>
      </w:hyperlink>
    </w:p>
    <w:p>
      <w:pPr>
        <w:spacing w:after="40"/>
      </w:pPr>
      <w:hyperlink w:anchor="chapter_13">
        <w:r>
          <w:rPr>
            <w:rFonts w:ascii="Georgia" w:hAnsi="Georgia"/>
            <w:sz w:val="22"/>
            <w:color w:val="0563C1"/>
            <w:u w:val="single"/>
          </w:rPr>
          <w:t xml:space="preserve">Chapter 13 - The Wrong Kind of Multiverse</w:t>
        </w:r>
      </w:hyperlink>
    </w:p>
    <w:p>
      <w:pPr>
        <w:spacing w:after="40"/>
      </w:pPr>
      <w:hyperlink w:anchor="chapter_14">
        <w:r>
          <w:rPr>
            <w:rFonts w:ascii="Georgia" w:hAnsi="Georgia"/>
            <w:sz w:val="22"/>
            <w:color w:val="0563C1"/>
            <w:u w:val="single"/>
          </w:rPr>
          <w:t xml:space="preserve">Chapter 14 - The Station Wasn’t Quite There</w:t>
        </w:r>
      </w:hyperlink>
    </w:p>
    <w:p>
      <w:pPr>
        <w:spacing w:after="40"/>
      </w:pPr>
      <w:hyperlink w:anchor="chapter_15">
        <w:r>
          <w:rPr>
            <w:rFonts w:ascii="Georgia" w:hAnsi="Georgia"/>
            <w:sz w:val="22"/>
            <w:color w:val="0563C1"/>
            <w:u w:val="single"/>
          </w:rPr>
          <w:t xml:space="preserve">Chapter 15 - The Train Arrived Before It Left</w:t>
        </w:r>
      </w:hyperlink>
    </w:p>
    <w:p>
      <w:pPr>
        <w:spacing w:after="40"/>
      </w:pPr>
      <w:hyperlink w:anchor="chapter_16">
        <w:r>
          <w:rPr>
            <w:rFonts w:ascii="Georgia" w:hAnsi="Georgia"/>
            <w:sz w:val="22"/>
            <w:color w:val="0563C1"/>
            <w:u w:val="single"/>
          </w:rPr>
          <w:t xml:space="preserve">Chapter 16 - The Final Geometry</w:t>
        </w:r>
      </w:hyperlink>
    </w:p>
    <w:p>
      <w:pPr>
        <w:spacing w:after="40"/>
      </w:pPr>
      <w:hyperlink w:anchor="epilogue">
        <w:r>
          <w:rPr>
            <w:rFonts w:ascii="Georgia" w:hAnsi="Georgia"/>
            <w:sz w:val="22"/>
            <w:color w:val="0563C1"/>
            <w:u w:val="single"/>
          </w:rPr>
          <w:t xml:space="preserve">EPILOGUE</w:t>
        </w:r>
      </w:hyperlink>
    </w:p>
    <w:p>
      <w:pPr>
        <w:spacing w:after="40"/>
      </w:pPr>
      <w:hyperlink w:anchor="coming_next">
        <w:r>
          <w:rPr>
            <w:rFonts w:ascii="Georgia" w:hAnsi="Georgia"/>
            <w:sz w:val="22"/>
            <w:color w:val="0563C1"/>
            <w:u w:val="single"/>
          </w:rPr>
          <w:t xml:space="preserve">Coming Next</w:t>
        </w:r>
      </w:hyperlink>
    </w:p>
    <w:p>
      <w:pPr>
        <w:spacing w:after="40"/>
      </w:pPr>
      <w:hyperlink w:anchor="course">
        <w:r>
          <w:rPr>
            <w:rFonts w:ascii="Georgia" w:hAnsi="Georgia"/>
            <w:sz w:val="22"/>
            <w:color w:val="0563C1"/>
            <w:u w:val="single"/>
          </w:rPr>
          <w:t xml:space="preserve">COURSE (lessons, workshop, glossary, bibliography)</w:t>
        </w:r>
      </w:hyperlink>
    </w:p>
    <w:p>
      <w:pPr>
        <w:spacing w:after="40"/>
      </w:pPr>
      <w:hyperlink w:anchor="_TocAll0001">
        <w:r>
          <w:rPr>
            <w:rFonts w:ascii="Georgia" w:hAnsi="Georgia"/>
            <w:sz w:val="22"/>
            <w:color w:val="0563C1"/>
            <w:u w:val="single"/>
          </w:rPr>
          <w:t xml:space="preserve">Syllabus Map</w:t>
        </w:r>
      </w:hyperlink>
    </w:p>
    <w:p>
      <w:pPr>
        <w:spacing w:after="40"/>
      </w:pPr>
      <w:hyperlink w:anchor="lesson_1">
        <w:r>
          <w:rPr>
            <w:rFonts w:ascii="Georgia" w:hAnsi="Georgia"/>
            <w:sz w:val="22"/>
            <w:color w:val="0563C1"/>
            <w:u w:val="single"/>
          </w:rPr>
          <w:t xml:space="preserve">Lesson 1 - Special Relativity Is Rude</w:t>
        </w:r>
      </w:hyperlink>
    </w:p>
    <w:p>
      <w:pPr>
        <w:spacing w:after="40"/>
      </w:pPr>
      <w:hyperlink w:anchor="lesson_2">
        <w:r>
          <w:rPr>
            <w:rFonts w:ascii="Georgia" w:hAnsi="Georgia"/>
            <w:sz w:val="22"/>
            <w:color w:val="0563C1"/>
            <w:u w:val="single"/>
          </w:rPr>
          <w:t xml:space="preserve">Lesson 2 - Lorentz Finally Gets Involved</w:t>
        </w:r>
      </w:hyperlink>
    </w:p>
    <w:p>
      <w:pPr>
        <w:spacing w:after="40"/>
      </w:pPr>
      <w:hyperlink w:anchor="_TocAll0002">
        <w:r>
          <w:rPr>
            <w:rFonts w:ascii="Georgia" w:hAnsi="Georgia"/>
            <w:sz w:val="22"/>
            <w:color w:val="0563C1"/>
            <w:u w:val="single"/>
          </w:rPr>
          <w:t xml:space="preserve">Workshop - The Twin Paradox</w:t>
        </w:r>
      </w:hyperlink>
    </w:p>
    <w:p>
      <w:pPr>
        <w:spacing w:after="40"/>
      </w:pPr>
      <w:hyperlink w:anchor="lesson_3">
        <w:r>
          <w:rPr>
            <w:rFonts w:ascii="Georgia" w:hAnsi="Georgia"/>
            <w:sz w:val="22"/>
            <w:color w:val="0563C1"/>
            <w:u w:val="single"/>
          </w:rPr>
          <w:t xml:space="preserve">Lesson 3 - Time May Be Less Fundamental</w:t>
        </w:r>
      </w:hyperlink>
    </w:p>
    <w:p>
      <w:pPr>
        <w:spacing w:after="40"/>
      </w:pPr>
      <w:hyperlink w:anchor="lesson_4">
        <w:r>
          <w:rPr>
            <w:rFonts w:ascii="Georgia" w:hAnsi="Georgia"/>
            <w:sz w:val="22"/>
            <w:color w:val="0563C1"/>
            <w:u w:val="single"/>
          </w:rPr>
          <w:t xml:space="preserve">Lesson 4 - Enter General Relativity</w:t>
        </w:r>
      </w:hyperlink>
    </w:p>
    <w:p>
      <w:pPr>
        <w:spacing w:after="40"/>
      </w:pPr>
      <w:hyperlink w:anchor="lesson_5">
        <w:r>
          <w:rPr>
            <w:rFonts w:ascii="Georgia" w:hAnsi="Georgia"/>
            <w:sz w:val="22"/>
            <w:color w:val="0563C1"/>
            <w:u w:val="single"/>
          </w:rPr>
          <w:t xml:space="preserve">Lesson 5 - The Apple</w:t>
        </w:r>
      </w:hyperlink>
    </w:p>
    <w:p>
      <w:pPr>
        <w:spacing w:after="40"/>
      </w:pPr>
      <w:hyperlink w:anchor="lesson_6">
        <w:r>
          <w:rPr>
            <w:rFonts w:ascii="Georgia" w:hAnsi="Georgia"/>
            <w:sz w:val="22"/>
            <w:color w:val="0563C1"/>
            <w:u w:val="single"/>
          </w:rPr>
          <w:t xml:space="preserve">Lesson 6 - Singularities</w:t>
        </w:r>
      </w:hyperlink>
    </w:p>
    <w:p>
      <w:pPr>
        <w:spacing w:after="40"/>
      </w:pPr>
      <w:hyperlink w:anchor="lesson_7">
        <w:r>
          <w:rPr>
            <w:rFonts w:ascii="Georgia" w:hAnsi="Georgia"/>
            <w:sz w:val="22"/>
            <w:color w:val="0563C1"/>
            <w:u w:val="single"/>
          </w:rPr>
          <w:t xml:space="preserve">Lesson 7 - Why SR and GR Don’t Fight</w:t>
        </w:r>
      </w:hyperlink>
    </w:p>
    <w:p>
      <w:pPr>
        <w:spacing w:after="40"/>
      </w:pPr>
      <w:hyperlink w:anchor="lesson_8">
        <w:r>
          <w:rPr>
            <w:rFonts w:ascii="Georgia" w:hAnsi="Georgia"/>
            <w:sz w:val="22"/>
            <w:color w:val="0563C1"/>
            <w:u w:val="single"/>
          </w:rPr>
          <w:t xml:space="preserve">Lesson 8 - The Door</w:t>
        </w:r>
      </w:hyperlink>
    </w:p>
    <w:p>
      <w:pPr>
        <w:spacing w:after="40"/>
      </w:pPr>
      <w:hyperlink w:anchor="lesson_9">
        <w:r>
          <w:rPr>
            <w:rFonts w:ascii="Georgia" w:hAnsi="Georgia"/>
            <w:sz w:val="22"/>
            <w:color w:val="0563C1"/>
            <w:u w:val="single"/>
          </w:rPr>
          <w:t xml:space="preserve">Lesson 9 - Relativistic Travel</w:t>
        </w:r>
      </w:hyperlink>
    </w:p>
    <w:p>
      <w:pPr>
        <w:spacing w:after="40"/>
      </w:pPr>
      <w:hyperlink w:anchor="lesson_10">
        <w:r>
          <w:rPr>
            <w:rFonts w:ascii="Georgia" w:hAnsi="Georgia"/>
            <w:sz w:val="22"/>
            <w:color w:val="0563C1"/>
            <w:u w:val="single"/>
          </w:rPr>
          <w:t xml:space="preserve">Lesson 10 - The Cucumber</w:t>
        </w:r>
      </w:hyperlink>
    </w:p>
    <w:p>
      <w:pPr>
        <w:spacing w:after="40"/>
      </w:pPr>
      <w:hyperlink w:anchor="lesson_11">
        <w:r>
          <w:rPr>
            <w:rFonts w:ascii="Georgia" w:hAnsi="Georgia"/>
            <w:sz w:val="22"/>
            <w:color w:val="0563C1"/>
            <w:u w:val="single"/>
          </w:rPr>
          <w:t xml:space="preserve">Lesson 11 - The Hologram</w:t>
        </w:r>
      </w:hyperlink>
    </w:p>
    <w:p>
      <w:pPr>
        <w:spacing w:after="40"/>
      </w:pPr>
      <w:hyperlink w:anchor="lesson_12">
        <w:r>
          <w:rPr>
            <w:rFonts w:ascii="Georgia" w:hAnsi="Georgia"/>
            <w:sz w:val="22"/>
            <w:color w:val="0563C1"/>
            <w:u w:val="single"/>
          </w:rPr>
          <w:t xml:space="preserve">Lesson 12 - Not Actually a Multiverse</w:t>
        </w:r>
      </w:hyperlink>
    </w:p>
    <w:p>
      <w:pPr>
        <w:spacing w:after="40"/>
      </w:pPr>
      <w:hyperlink w:anchor="lesson_13">
        <w:r>
          <w:rPr>
            <w:rFonts w:ascii="Georgia" w:hAnsi="Georgia"/>
            <w:sz w:val="22"/>
            <w:color w:val="0563C1"/>
            <w:u w:val="single"/>
          </w:rPr>
          <w:t xml:space="preserve">Lesson 13 - Curved Corridors and Tides</w:t>
        </w:r>
      </w:hyperlink>
    </w:p>
    <w:p>
      <w:pPr>
        <w:spacing w:after="40"/>
      </w:pPr>
      <w:hyperlink w:anchor="lesson_14">
        <w:r>
          <w:rPr>
            <w:rFonts w:ascii="Georgia" w:hAnsi="Georgia"/>
            <w:sz w:val="22"/>
            <w:color w:val="0563C1"/>
            <w:u w:val="single"/>
          </w:rPr>
          <w:t xml:space="preserve">Lesson 14 - The Train Arrived Before It Left</w:t>
        </w:r>
      </w:hyperlink>
    </w:p>
    <w:p>
      <w:pPr>
        <w:spacing w:after="40"/>
      </w:pPr>
      <w:hyperlink w:anchor="lesson_15">
        <w:r>
          <w:rPr>
            <w:rFonts w:ascii="Georgia" w:hAnsi="Georgia"/>
            <w:sz w:val="22"/>
            <w:color w:val="0563C1"/>
            <w:u w:val="single"/>
          </w:rPr>
          <w:t xml:space="preserve">Lesson 15 - The Dolphin and Final Geometry</w:t>
        </w:r>
      </w:hyperlink>
    </w:p>
    <w:p>
      <w:pPr>
        <w:spacing w:after="40"/>
      </w:pPr>
      <w:hyperlink w:anchor="lesson_16">
        <w:r>
          <w:rPr>
            <w:rFonts w:ascii="Georgia" w:hAnsi="Georgia"/>
            <w:sz w:val="22"/>
            <w:color w:val="0563C1"/>
            <w:u w:val="single"/>
          </w:rPr>
          <w:t xml:space="preserve">Lesson 16 - Capstone: The Clock Was Lying</w:t>
        </w:r>
      </w:hyperlink>
    </w:p>
    <w:p>
      <w:pPr>
        <w:spacing w:after="40"/>
      </w:pPr>
      <w:hyperlink w:anchor="_TocAll0003">
        <w:r>
          <w:rPr>
            <w:rFonts w:ascii="Georgia" w:hAnsi="Georgia"/>
            <w:sz w:val="22"/>
            <w:color w:val="0563C1"/>
            <w:u w:val="single"/>
          </w:rPr>
          <w:t xml:space="preserve">SUMMARY</w:t>
        </w:r>
      </w:hyperlink>
    </w:p>
    <w:p>
      <w:pPr>
        <w:spacing w:after="40"/>
      </w:pPr>
      <w:hyperlink w:anchor="glossary">
        <w:r>
          <w:rPr>
            <w:rFonts w:ascii="Georgia" w:hAnsi="Georgia"/>
            <w:sz w:val="22"/>
            <w:color w:val="0563C1"/>
            <w:u w:val="single"/>
          </w:rPr>
          <w:t xml:space="preserve">GLOSSARY</w:t>
        </w:r>
      </w:hyperlink>
    </w:p>
    <w:p>
      <w:pPr>
        <w:spacing w:after="40"/>
      </w:pPr>
      <w:hyperlink w:anchor="_TocAll0004">
        <w:r>
          <w:rPr>
            <w:rFonts w:ascii="Georgia" w:hAnsi="Georgia"/>
            <w:sz w:val="22"/>
            <w:color w:val="0563C1"/>
            <w:u w:val="single"/>
          </w:rPr>
          <w:t xml:space="preserve">About the Author</w:t>
        </w:r>
      </w:hyperlink>
    </w:p>
    <w:p>
      <w:pPr>
        <w:spacing w:after="40"/>
      </w:pPr>
      <w:hyperlink w:anchor="_TocAll0005">
        <w:r>
          <w:rPr>
            <w:rFonts w:ascii="Georgia" w:hAnsi="Georgia"/>
            <w:sz w:val="22"/>
            <w:color w:val="0563C1"/>
            <w:u w:val="single"/>
          </w:rPr>
          <w:t xml:space="preserve">FURTHER READING</w:t>
        </w:r>
      </w:hyperlink>
    </w:p>
    <w:p>
      <w:pPr>
        <w:spacing w:after="40"/>
      </w:pPr>
      <w:hyperlink w:anchor="_TocAll0006">
        <w:r>
          <w:rPr>
            <w:rFonts w:ascii="Georgia" w:hAnsi="Georgia"/>
            <w:sz w:val="22"/>
            <w:color w:val="0563C1"/>
            <w:u w:val="single"/>
          </w:rPr>
          <w:t xml:space="preserve">ACKNOWLEDGEMENTS</w:t>
        </w:r>
      </w:hyperlink>
    </w:p>
    <w:p>
      <w:pPr>
        <w:spacing w:after="40"/>
      </w:pPr>
      <w:hyperlink w:anchor="bibliography">
        <w:r>
          <w:rPr>
            <w:rFonts w:ascii="Georgia" w:hAnsi="Georgia"/>
            <w:sz w:val="22"/>
            <w:color w:val="0563C1"/>
            <w:u w:val="single"/>
          </w:rPr>
          <w:t xml:space="preserve">BIBLIOGRAPHY</w:t>
        </w:r>
      </w:hyperlink>
    </w:p>
    <w:p>
      <w:pPr>
        <w:spacing w:after="40"/>
      </w:pPr>
      <w:hyperlink w:anchor="also_by">
        <w:r>
          <w:rPr>
            <w:rFonts w:ascii="Georgia" w:hAnsi="Georgia"/>
            <w:sz w:val="22"/>
            <w:color w:val="0563C1"/>
            <w:u w:val="single"/>
          </w:rPr>
          <w:t xml:space="preserve">Also by Lothar J. Musiol</w:t>
        </w:r>
      </w:hyperlink>
    </w:p>
    <w:p>
      <w:pPr>
        <w:spacing w:after="40"/>
      </w:pPr>
      <w:hyperlink w:anchor="_TocAll0007">
        <w:r>
          <w:rPr>
            <w:rFonts w:ascii="Georgia" w:hAnsi="Georgia"/>
            <w:sz w:val="22"/>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This is a satirical mystery with real relativity underneath. You need no physics to follow the case. The comedy is the bait. The geometry is the trap.</w:t>
      </w:r>
    </w:p>
    <w:p>
      <w:pPr>
        <w:spacing w:after="160" w:line="240" w:lineRule="auto"/>
      </w:pPr>
      <w:r>
        <w:rPr>
          <w:rFonts w:ascii="Georgia" w:hAnsi="Georgia" w:eastAsia="Georgia"/>
          <w:b w:val="0"/>
          <w:sz w:val="22"/>
        </w:rPr>
        <w:t>The novel is Case 1047: a murder that has not happened yet, and a Bureau that files first and asks later. Derek Gent investigates a death notice with his name on it, while trying not to make the paperwork worse.</w:t>
      </w:r>
    </w:p>
    <w:p>
      <w:pPr>
        <w:spacing w:after="160" w:line="240" w:lineRule="auto"/>
      </w:pPr>
      <w:r>
        <w:rPr>
          <w:rFonts w:ascii="Georgia" w:hAnsi="Georgia" w:eastAsia="Georgia"/>
          <w:b w:val="0"/>
          <w:sz w:val="22"/>
        </w:rPr>
        <w:t>The course follows the novel in sixteen lessons. Most chapters, and the Epilogue, end with a Rule and a link to the relevant lesson. The links follow ideas, not matching chapter numbers. Read a lesson when you want the physics behind the investigation; leave it until later when you want to know what happens next.</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The case explains its own solution. You can return to the course whenever a clock begins to look suspicious.</w:t>
      </w:r>
    </w:p>
    <w:p>
      <w:pPr>
        <w:spacing w:after="160" w:line="240" w:lineRule="auto"/>
      </w:pPr>
      <w:r>
        <w:rPr>
          <w:rFonts w:ascii="Georgia" w:hAnsi="Georgia" w:eastAsia="Georgia"/>
          <w:b w:val="0"/>
          <w:sz w:val="22"/>
        </w:rPr>
        <w:t>To take the class: read each chapter, then the lesson it points to. Chapters 1 and 2 share Lesson 1. After that, each chapter points to one lesson, and each lesson links back. The twin-paradox workshop follows Lesson 2. No physics is assumed at the start.</w:t>
      </w:r>
    </w:p>
    <w:p>
      <w:pPr>
        <w:spacing w:after="160" w:line="240" w:lineRule="auto"/>
      </w:pPr>
      <w:r>
        <w:rPr>
          <w:rFonts w:ascii="Georgia" w:hAnsi="Georgia" w:eastAsia="Georgia"/>
          <w:b w:val="0"/>
          <w:sz w:val="22"/>
        </w:rPr>
        <w:t>If you are impatient: the photograph arrives in Chapter 1. Go straight to it. The Bureau understands impatience; it simply prefers it in writing.</w:t>
      </w:r>
    </w:p>
    <w:p>
      <w:pPr>
        <w:spacing w:after="160" w:line="240" w:lineRule="auto"/>
      </w:pPr>
      <w:r>
        <w:rPr>
          <w:rFonts w:ascii="Georgia" w:hAnsi="Georgia" w:eastAsia="Georgia"/>
          <w:b w:val="0"/>
          <w:sz w:val="22"/>
        </w:rPr>
        <w:t>If you take the class out of order, take Lesson 2 before you argue with Chapter 3, and Lesson 14 before you board the train.</w:t>
      </w:r>
    </w:p>
    <w:p>
      <w:pPr>
        <w:spacing w:after="160" w:line="240" w:lineRule="auto"/>
      </w:pPr>
      <w:r>
        <w:rPr>
          <w:rFonts w:ascii="Georgia" w:hAnsi="Georgia" w:eastAsia="Georgia"/>
          <w:b w:val="0"/>
          <w:sz w:val="22"/>
        </w:rPr>
        <w:t>One promise: relativity will not be used as permission for an ordinary photograph to arrive from the future. The investigation tests that tempting explanation instead of accepting it. A faulty filing system needs no new laws of nature.</w:t>
      </w:r>
    </w:p>
    <w:p>
      <w:pPr>
        <w:spacing w:after="160" w:line="240" w:lineRule="auto"/>
      </w:pPr>
      <w:r>
        <w:rPr>
          <w:rFonts w:ascii="Georgia" w:hAnsi="Georgia" w:eastAsia="Georgia"/>
          <w:b w:val="0"/>
          <w:sz w:val="22"/>
        </w:rPr>
        <w:t>A companion list of films lives on the COURSE page, with a one-line reminder at the end of each lesson. None of them are required.</w:t>
      </w:r>
    </w:p>
    <w:p>
      <w:pPr>
        <w:spacing w:after="160" w:line="240" w:lineRule="auto"/>
      </w:pPr>
      <w:r>
        <w:rPr>
          <w:rFonts w:ascii="Georgia" w:hAnsi="Georgia" w:eastAsia="Georgia"/>
          <w:b w:val="0"/>
          <w:sz w:val="22"/>
        </w:rPr>
        <w:t xml:space="preserve">Three demos, one job each, on the </w:t>
      </w:r>
      <w:hyperlink r:id="rId9">
        <w:r>
          <w:rPr>
            <w:rFonts w:ascii="Georgia" w:hAnsi="Georgia"/>
            <w:sz w:val="22"/>
            <w:color w:val="0563C1"/>
            <w:u w:val="single"/>
          </w:rPr>
          <w:t xml:space="preserve">Bureau’s companion demo site</w:t>
        </w:r>
      </w:hyperlink>
      <w:r>
        <w:rPr>
          <w:rFonts w:ascii="Georgia" w:hAnsi="Georgia" w:eastAsia="Georgia"/>
          <w:b w:val="0"/>
          <w:sz w:val="22"/>
        </w:rPr>
        <w:t xml:space="preserve">: </w:t>
      </w:r>
      <w:hyperlink r:id="rId10">
        <w:r>
          <w:rPr>
            <w:rFonts w:ascii="Georgia" w:hAnsi="Georgia"/>
            <w:sz w:val="22"/>
            <w:color w:val="0563C1"/>
            <w:u w:val="single"/>
          </w:rPr>
          <w:t xml:space="preserve">simultaneity</w:t>
        </w:r>
      </w:hyperlink>
      <w:r>
        <w:rPr>
          <w:rFonts w:ascii="Georgia" w:hAnsi="Georgia" w:eastAsia="Georgia"/>
          <w:b w:val="0"/>
          <w:sz w:val="22"/>
        </w:rPr>
        <w:t xml:space="preserve"> for Lesson 2, </w:t>
      </w:r>
      <w:hyperlink r:id="rId11">
        <w:r>
          <w:rPr>
            <w:rFonts w:ascii="Georgia" w:hAnsi="Georgia"/>
            <w:sz w:val="22"/>
            <w:color w:val="0563C1"/>
            <w:u w:val="single"/>
          </w:rPr>
          <w:t xml:space="preserve">curvature</w:t>
        </w:r>
      </w:hyperlink>
      <w:r>
        <w:rPr>
          <w:rFonts w:ascii="Georgia" w:hAnsi="Georgia" w:eastAsia="Georgia"/>
          <w:b w:val="0"/>
          <w:sz w:val="22"/>
        </w:rPr>
        <w:t xml:space="preserve"> for Lesson 5, and </w:t>
      </w:r>
      <w:hyperlink r:id="rId12">
        <w:r>
          <w:rPr>
            <w:rFonts w:ascii="Georgia" w:hAnsi="Georgia"/>
            <w:sz w:val="22"/>
            <w:color w:val="0563C1"/>
            <w:u w:val="single"/>
          </w:rPr>
          <w:t xml:space="preserve">expansion</w:t>
        </w:r>
      </w:hyperlink>
      <w:r>
        <w:rPr>
          <w:rFonts w:ascii="Georgia" w:hAnsi="Georgia" w:eastAsia="Georgia"/>
          <w:b w:val="0"/>
          <w:sz w:val="22"/>
        </w:rPr>
        <w:t xml:space="preserve"> so that “the universe stretches” is not filed under murder. The same address is repeated under Further Reading.</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Special and General Relativity, as used here, are settled physics. Holography is a live research programme: real in particular theoretical settings, not a proof that our universe is a cinema screen. The crimes and investigations are fictional. The jokes are mine.</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names, characters, businesses, places, events, and assorted chaos contained herein are either products of the author’s imagination or have been shamelessly fictionalised.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at the end of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and Derek put it on speaker, and a dry voice with a faint Bavarian clip said, “Good morning. This is Herbert Mathkowski. I am ringing on behalf of Alfred, who is too excited to use a telephone.”</w:t>
      </w:r>
    </w:p>
    <w:p>
      <w:pPr>
        <w:spacing w:after="160" w:line="240" w:lineRule="auto"/>
      </w:pPr>
      <w:r>
        <w:rPr>
          <w:rFonts w:ascii="Georgia" w:hAnsi="Georgia" w:eastAsia="Georgia"/>
          <w:b w:val="0"/>
          <w:sz w:val="22"/>
        </w:rPr>
        <w:t>Herbert Mathkowski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Mathkowski worked in steps, and he regarded the steps as the honest method.</w:t>
      </w:r>
    </w:p>
    <w:p>
      <w:pPr>
        <w:spacing w:after="160" w:line="240" w:lineRule="auto"/>
      </w:pPr>
      <w:r>
        <w:rPr>
          <w:rFonts w:ascii="Georgia" w:hAnsi="Georgia" w:eastAsia="Georgia"/>
          <w:b w:val="0"/>
          <w:sz w:val="22"/>
        </w:rPr>
        <w:t>“Alfred has received an email from you,” said Mathkowski.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Mathkowski’s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t>He was in his early fifties, compact and faintly stooped, his grey-white hair beyond advice. He wore the same jacket in every weather; changing it more than once a season introduced an unnecessary variable. At nineteen he had wanted to be a physicist. At twenty-three Herbert Mathkowski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the Earth’s gravity, and time itself, measured by any clock at all, runs more slowly deeper in a gravitational field. Einstein had predicted it. 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 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Mathkowski was waiting with his coat over his arm and an expression of mild, practised disapproval. He was past eighty and walked with a stick he did not need, which he used chiefly to point at things.</w:t>
      </w:r>
    </w:p>
    <w:p>
      <w:pPr>
        <w:spacing w:after="160" w:line="240" w:lineRule="auto"/>
      </w:pPr>
      <w:r>
        <w:rPr>
          <w:rFonts w:ascii="Georgia" w:hAnsi="Georgia" w:eastAsia="Georgia"/>
          <w:b w:val="0"/>
          <w:sz w:val="22"/>
        </w:rPr>
        <w:t>“You looked at the light,” Mathkowski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Mathkowski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Mathkowski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Mathkowski was waiting for them in town and took them to dinner, because he said a man who had been murdered deserved a schnitzel, and because Weinstein could not be trusted to feed anybody. The restaurant was old and wood-panelled and full of Munich families making a great deal of noise about very little, and Mathkowski chose a table in the corner and sat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Mathkowski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Mathkowski.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Mathkowski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Mathkowski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Mathkowski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Mathkowski,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and deleted </w:t>
      </w:r>
      <w:r>
        <w:rPr>
          <w:rFonts w:ascii="Georgia" w:hAnsi="Georgia" w:eastAsia="Georgia"/>
          <w:b w:val="0"/>
          <w:i/>
          <w:sz w:val="22"/>
        </w:rPr>
        <w:t>sweetheart</w:t>
      </w:r>
      <w:r>
        <w:rPr>
          <w:rFonts w:ascii="Georgia" w:hAnsi="Georgia" w:eastAsia="Georgia"/>
          <w:b w:val="0"/>
          <w:sz w:val="22"/>
        </w:rPr>
        <w:t>,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Mathkowski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“when a description stops giving sensible answers we call the place where it fails a singularity. People think a singularity is a monster. A place where gravity is infinite and everything is crushed. It isn’t. It is a place where the map runs out. The equations say: here I can no longer tell you what happens. That is not a fact about the territory. It is a confession by the map.”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Rule: Two people can put different numbers on the same door. Ask where each of them started counting.</w:t>
      </w:r>
    </w:p>
    <w:p>
      <w:pPr>
        <w:spacing w:after="160" w:line="240" w:lineRule="auto"/>
      </w:pPr>
      <w:hyperlink w:anchor="lesson_8">
        <w:r>
          <w:rPr>
            <w:rFonts w:ascii="Georgia" w:hAnsi="Georgia"/>
            <w:sz w:val="22"/>
            <w:color w:val="0563C1"/>
            <w:u w:val="single"/>
          </w:rPr>
          <w:t xml:space="preserve">-&gt; Lesson for this chapter: 8 -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Mathkowski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and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and found him asleep and stepped backwards out of the room so as not to wake him, and that it was the kindest thing anybody had done for him in years, and that he had not known about it for a week.</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the Einstein equation says, Derek, in words?”</w:t>
      </w:r>
    </w:p>
    <w:p>
      <w:pPr>
        <w:spacing w:after="160" w:line="240" w:lineRule="auto"/>
      </w:pPr>
      <w:r>
        <w:rPr>
          <w:rFonts w:ascii="Georgia" w:hAnsi="Georgia" w:eastAsia="Georgia"/>
          <w:b w:val="0"/>
          <w:sz w:val="22"/>
        </w:rPr>
        <w:t>“Matter tells space and time how to curve, and they tell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Outside, on Oxford Street, it was already dark, and the shops were lit up for a winter that had officially started at two o’clock that morning, and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Mathkowski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Demos, and which lesson each one serves, are listed in How to Read. For anyone who skipped that page, here is the [companion demo site]({D}) once more.</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pStyle w:val="Heading2"/>
        <w:keepNext/>
        <w:spacing w:after="200" w:before="320"/>
        <w:jc w:val="center"/>
      </w:pPr>
      <w:r>
        <w:rPr>
          <w:rFonts w:ascii="Amazon Ember" w:hAnsi="Amazon Ember" w:eastAsia="Amazon Ember"/>
          <w:b/>
          <w:color w:val="0C447C"/>
          <w:sz w:val="36"/>
        </w:rPr>
        <w:t>WORKSHOP</w:t>
      </w:r>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Do this after Lesson 2, once you have the interval. The problem is printed there.</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7939"/>
            <wp:docPr id="1" name="Picture 1"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3"/>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0">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2" name="Picture 2"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4"/>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1">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2615184"/>
            <wp:docPr id="3" name="Picture 3"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against predictions of −40 ± 23 and +275 ± 21,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w:t>
      </w:r>
    </w:p>
    <w:p>
      <w:pPr>
        <w:spacing w:after="160" w:line="240" w:lineRule="auto"/>
      </w:pPr>
      <w:r>
        <w:rPr>
          <w:rFonts w:ascii="Georgia" w:hAnsi="Georgia" w:eastAsia="Georgia"/>
          <w:b w:val="0"/>
          <w:sz w:val="22"/>
        </w:rPr>
        <w:t>Film: The Fly (1986) — length is a pair of ends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7939"/>
            <wp:docPr id="4" name="Picture 4"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6318"/>
            <wp:docPr id="5" name="Picture 5"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6318"/>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545336"/>
            <wp:docPr id="6" name="Picture 6"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jpg"/>
                    <pic:cNvPicPr/>
                  </pic:nvPicPr>
                  <pic:blipFill>
                    <a:blip r:embed="rId18"/>
                    <a:stretch>
                      <a:fillRect/>
                    </a:stretch>
                  </pic:blipFill>
                  <pic:spPr>
                    <a:xfrm>
                      <a:off x="0" y="0"/>
                      <a:ext cx="4754880" cy="1545336"/>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2">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w:t>
      </w:r>
    </w:p>
    <w:p>
      <w:pPr>
        <w:spacing w:after="160" w:line="240" w:lineRule="auto"/>
      </w:pPr>
      <w:r>
        <w:rPr>
          <w:rFonts w:ascii="Georgia" w:hAnsi="Georgia" w:eastAsia="Georgia"/>
          <w:b w:val="0"/>
          <w:sz w:val="22"/>
        </w:rPr>
        <w:t>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19">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0">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1">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2">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3">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4">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5">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6">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7">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8">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29">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0">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1">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2">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3">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1">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4">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5">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6">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7">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mus.github.io/relativistic-site/" TargetMode="External"/><Relationship Id="rId10" Type="http://schemas.openxmlformats.org/officeDocument/2006/relationships/hyperlink" Target="https://lotmus.github.io/relativistic-site/demos/sr-simultaneity.html" TargetMode="External"/><Relationship Id="rId11" Type="http://schemas.openxmlformats.org/officeDocument/2006/relationships/hyperlink" Target="https://lotmus.github.io/relativistic-site/demos/gr-curvature.html" TargetMode="External"/><Relationship Id="rId12" Type="http://schemas.openxmlformats.org/officeDocument/2006/relationships/hyperlink" Target="https://lotmus.github.io/relativistic-site/demos/cosmology-expansion.html"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yperlink" Target="https://einstein.stanford.edu/SPACETIME/spacetime2.html" TargetMode="External"/><Relationship Id="rId20" Type="http://schemas.openxmlformats.org/officeDocument/2006/relationships/hyperlink" Target="https://einstein.stanford.edu/content/relativity/qanda.html" TargetMode="External"/><Relationship Id="rId21" Type="http://schemas.openxmlformats.org/officeDocument/2006/relationships/hyperlink" Target="https://sites.pitt.edu/~jdnorton/teaching/HPS_0410/index.html" TargetMode="External"/><Relationship Id="rId22" Type="http://schemas.openxmlformats.org/officeDocument/2006/relationships/hyperlink" Target="https://openlibrary.org/works/OL13127756W" TargetMode="External"/><Relationship Id="rId23" Type="http://schemas.openxmlformats.org/officeDocument/2006/relationships/hyperlink" Target="https://openlibrary.org/works/OL5921984W" TargetMode="External"/><Relationship Id="rId24" Type="http://schemas.openxmlformats.org/officeDocument/2006/relationships/hyperlink" Target="https://openlibrary.org/works/OL4623611W" TargetMode="External"/><Relationship Id="rId25" Type="http://schemas.openxmlformats.org/officeDocument/2006/relationships/hyperlink" Target="https://openlibrary.org/works/OL31675743W" TargetMode="External"/><Relationship Id="rId26" Type="http://schemas.openxmlformats.org/officeDocument/2006/relationships/hyperlink" Target="https://openlibrary.org/works/OL4799735W" TargetMode="External"/><Relationship Id="rId27" Type="http://schemas.openxmlformats.org/officeDocument/2006/relationships/hyperlink" Target="https://openlibrary.org/works/OL1136285W" TargetMode="External"/><Relationship Id="rId28" Type="http://schemas.openxmlformats.org/officeDocument/2006/relationships/hyperlink" Target="https://openlibrary.org/works/OL20223563W" TargetMode="External"/><Relationship Id="rId29" Type="http://schemas.openxmlformats.org/officeDocument/2006/relationships/hyperlink" Target="https://openlibrary.org/works/OL13766704W" TargetMode="External"/><Relationship Id="rId30" Type="http://schemas.openxmlformats.org/officeDocument/2006/relationships/hyperlink" Target="https://openlibrary.org/works/OL5827350W" TargetMode="External"/><Relationship Id="rId31" Type="http://schemas.openxmlformats.org/officeDocument/2006/relationships/hyperlink" Target="https://openlibrary.org/works/OL2738194W" TargetMode="External"/><Relationship Id="rId32" Type="http://schemas.openxmlformats.org/officeDocument/2006/relationships/hyperlink" Target="https://openlibrary.org/works/OL5752309W" TargetMode="External"/><Relationship Id="rId33" Type="http://schemas.openxmlformats.org/officeDocument/2006/relationships/hyperlink" Target="https://openlibrary.org/works/OL5101435W" TargetMode="External"/><Relationship Id="rId34" Type="http://schemas.openxmlformats.org/officeDocument/2006/relationships/hyperlink" Target="https://openlibrary.org/works/OL43191626W" TargetMode="External"/><Relationship Id="rId35" Type="http://schemas.openxmlformats.org/officeDocument/2006/relationships/hyperlink" Target="https://openlibrary.org/works/OL17870579W" TargetMode="External"/><Relationship Id="rId36" Type="http://schemas.openxmlformats.org/officeDocument/2006/relationships/hyperlink" Target="https://openlibrary.org/works/OL5604911W" TargetMode="External"/><Relationship Id="rId37"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