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76" w:lineRule="auto"/>
        <w:jc w:val="center"/>
      </w:pPr>
      <w:r>
        <w:rPr>
          <w:rFonts w:ascii="Amazon Ember" w:hAnsi="Amazon Ember" w:cs="Amazon Ember"/>
          <w:b/>
          <w:i w:val="0"/>
          <w:color w:val="0000FF"/>
          <w:sz w:val="56"/>
        </w:rPr>
        <w:t>EMC, Simulation, and Test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 w:val="0"/>
          <w:color w:val="000000"/>
          <w:sz w:val="22"/>
        </w:rPr>
        <w:t>Book 7 of 9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 w:val="0"/>
          <w:color w:val="000000"/>
          <w:sz w:val="22"/>
        </w:rPr>
        <w:t>Lothar J. Musiol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/>
          <w:color w:val="000000"/>
          <w:sz w:val="22"/>
        </w:rPr>
        <w:t>Copyright © 2026 Lothar J. Musiol. Nine-book series. Worked numbers are computed here. Book 2 is a separate merged manuscript. Do not paste Cripps, Pozar, Ott, or Sklar.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/>
          <w:color w:val="000000"/>
          <w:sz w:val="22"/>
        </w:rPr>
        <w:t>Book 7 of 9. Old 11, 19, and 20.</w:t>
      </w:r>
    </w:p>
    <w:p>
      <w:pPr>
        <w:pStyle w:val="Heading1"/>
      </w:pPr>
      <w:r>
        <w:t>Chapter 1. Why a Board Radiates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Small-loop E-field scales with area, current, and f². A 25 MHz clock, 100 MHz harmonic: 4² = 16. Sixteen is the scaling if current matched, not a prediction. Common-mode on a cable usually fails, not the clock trace.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Keep high di/dt loops small. Do not slot ground under a return. Filter I/O. Ott and Montrose are the books. Methods are CISPR 16 and ANSI C63.4.</w:t>
      </w:r>
    </w:p>
    <w:p>
      <w:pPr>
        <w:pStyle w:val="Heading1"/>
      </w:pPr>
      <w:r>
        <w:t>Chapter 2. Chamber and Mask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Semi-anechoic, 3 m or 10 m, metal floor is part of the method. Turntable 360°, antenna 1–4 m, both polarizations, max hold. NSA and SVSWR make the site legal. GTEM is pre-compliance. FCC 15 B Class B is tighter than Class A. EN 55032 = CISPR 32. Radio conformance is dBm/dBc/EVM, a second report. Immunity is EMC. OTA/SAR sit on the radio side.</w:t>
      </w:r>
    </w:p>
    <w:p>
      <w:pPr>
        <w:pStyle w:val="Heading1"/>
      </w:pPr>
      <w:r>
        <w:t>Chapter 3. Compute First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SPICE for lumped circuits. ADS or Microwave Office for harmonic balance. Momentum, AXIEM, Sonnet for 2.5D stackups. HFSS/CST/Analyst for connectors, packages, antennas, cavities. No open-source Microwave Office. AWR is not HFSS.</w:t>
      </w:r>
    </w:p>
    <w:p>
      <w:pPr>
        <w:pStyle w:val="Heading1"/>
      </w:pPr>
      <w:r>
        <w:t>Chapter 4. The Day in the Lab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7layers (Bureau Veritas) is the connected-product lab. Hermon Laboratories, Binyamina, not Harmon, is the broader product lab (A2LA, FCC IL1001, MIL/RTCA in one building). They measure. They do not design. Debug is extra. Failing 2 dB is a layout change; the theory is Chapter 1.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Key idea. One volume for the physics, the solver, and the certificate.</w:t>
      </w:r>
    </w:p>
    <w:p>
      <w:pPr>
        <w:pStyle w:val="Heading1"/>
      </w:pPr>
      <w:r>
        <w:t>Practice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1. Name the method standard that owns antenna height and the quasi-peak detector. 2. A Wi-Fi gadget: which two reports? 3. Why is AXIEM the wrong tool for a chassis-mounted connector?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pageBreakBefore w:val="0"/>
      <w:spacing w:before="0" w:after="160" w:line="276" w:lineRule="auto"/>
      <w:jc w:val="left"/>
    </w:pPr>
    <w:rPr>
      <w:rFonts w:ascii="Calibri" w:hAnsi="Calibri" w:cs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 w:line="276" w:lineRule="auto"/>
      <w:jc w:val="center"/>
      <w:outlineLvl w:val="0"/>
    </w:pPr>
    <w:rPr>
      <w:rFonts w:asciiTheme="majorHAnsi" w:eastAsiaTheme="majorEastAsia" w:hAnsiTheme="majorHAnsi" w:cstheme="majorBidi" w:ascii="Amazon Ember" w:hAnsi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80" w:after="160" w:line="276" w:lineRule="auto"/>
      <w:jc w:val="center"/>
      <w:outlineLvl w:val="1"/>
    </w:pPr>
    <w:rPr>
      <w:rFonts w:asciiTheme="majorHAnsi" w:eastAsiaTheme="majorEastAsia" w:hAnsiTheme="majorHAnsi" w:cstheme="majorBidi" w:ascii="Amazon Ember" w:hAnsi="Amazon Ember" w:cs="Amazon Ember"/>
      <w:b/>
      <w:bCs/>
      <w:color w:val="0000F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