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 xml:space="preserve">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She did not see him again for the better part of the crisis.</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 xml:space="preserve">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 xml:space="preserve">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 xml:space="preserve">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1F27AEF7" w14:textId="77777777" w:rsidR="00C049FC" w:rsidRDefault="00000000">
      <w:pPr>
        <w:spacing w:after="160"/>
        <w:jc w:val="both"/>
      </w:pPr>
      <w:r>
        <w:t xml:space="preserve">The fault took a day to find and an afternoon to starve.</w:t>
      </w:r>
    </w:p>
    <w:p w14:paraId="3072B56B" w14:textId="77777777" w:rsidR="00C049FC" w:rsidRDefault="00000000">
      <w:pPr>
        <w:spacing w:after="160"/>
        <w:jc w:val="both"/>
      </w:pPr>
      <w:r>
        <w:t xml:space="preserve">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 xml:space="preserve">“It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 xml:space="preserve">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 xml:space="preserve">“The instrument was inside the thing it was measuring,” Fainrose agreed, “and the instrument was ours, so nobody thought to look.”</w:t>
      </w:r>
    </w:p>
    <w:p w14:paraId="3ED3F880" w14:textId="77777777" w:rsidR="00C049FC" w:rsidRDefault="0000000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 xml:space="preserve">They agreed far too often.</w:t>
      </w:r>
    </w:p>
    <w:p w14:paraId="3C1EA4E8" w14:textId="77777777" w:rsidR="00C049FC" w:rsidRDefault="00000000">
      <w:pPr>
        <w:spacing w:after="160"/>
        <w:jc w:val="both"/>
      </w:pPr>
      <w:r>
        <w:t xml:space="preserve">“That’s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 xml:space="preserve">They ran it clean on the Sunday. The number Bellew had promised in the conference room came up a little after four.</w:t>
      </w:r>
    </w:p>
    <w:p w14:paraId="308836A2" w14:textId="77777777" w:rsidR="00C049FC" w:rsidRDefault="00000000">
      <w:pPr>
        <w:spacing w:after="160"/>
        <w:jc w:val="both"/>
      </w:pPr>
      <w:r>
        <w:t xml:space="preserve">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 xml:space="preserve">“Ceiling’s two,” said Bellew.</w:t>
      </w:r>
    </w:p>
    <w:p w14:paraId="11E9B18B" w14:textId="77777777" w:rsidR="00C049FC" w:rsidRDefault="00000000">
      <w:pPr>
        <w:spacing w:after="160"/>
        <w:jc w:val="both"/>
      </w:pPr>
      <w:r>
        <w:t xml:space="preserve">“The ceiling is two. The threshold we put in front of Pilbeam in writing was two point three, error bars clear of it.”</w:t>
      </w:r>
    </w:p>
    <w:p w14:paraId="1BBF8749" w14:textId="77777777" w:rsidR="00C049FC" w:rsidRDefault="00000000">
      <w:pPr>
        <w:spacing w:after="160"/>
        <w:jc w:val="both"/>
      </w:pPr>
      <w:r>
        <w:t xml:space="preserve">“Then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 xml:space="preserve">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 xml:space="preserve">Lolly wrote the legal number in the green notebook, and then the sentence beneath it that mattered more:</w:t>
      </w:r>
    </w:p>
    <w:p w14:paraId="6BD25A8E" w14:textId="77777777" w:rsidR="00C049FC" w:rsidRDefault="00000000">
      <w:pPr>
        <w:spacing w:after="160"/>
        <w:jc w:val="both"/>
      </w:pPr>
      <w:r>
        <w:t xml:space="preserve">You cannot test a thing with an instrument that shares its clock. The apparatus was part of the Ministry, so of course it agreed with the Ministry.</w:t>
      </w:r>
    </w:p>
    <w:p w14:paraId="208B034E" w14:textId="77777777" w:rsidR="00C049FC" w:rsidRDefault="00000000">
      <w:pPr>
        <w:spacing w:after="160"/>
        <w:jc w:val="both"/>
      </w:pPr>
      <w:r>
        <w:t xml:space="preserve">And under that:</w:t>
      </w:r>
    </w:p>
    <w:p w14:paraId="42F2C998" w14:textId="77777777" w:rsidR="00C049FC" w:rsidRDefault="00000000">
      <w:pPr>
        <w:spacing w:after="160"/>
        <w:jc w:val="both"/>
      </w:pPr>
      <w:r>
        <w:t xml:space="preserve">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 xml:space="preserve">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 xml:space="preserve">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short-distance infinities that had wrecked earlier attempts to combine gravity with quantum theory — at least in every calculation anyone has managed to finish —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