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w:t>
      </w:r>
      <w:r w:rsidR="00CD62B2">
        <w:rPr>
          <w:i/>
          <w:iCs/>
          <w:sz w:val="26"/>
          <w:szCs w:val="26"/>
        </w:rPr>
        <w:t>,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r>
      <w:r>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immaculate, courteous,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r>
      <w:r>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r>
      <w:r>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r>
      <w:r>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r>
      <w:r>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r>
      <w:r>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r>
      <w:r>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r>
      <w:r>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r>
      <w:r>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sidRPr="00933B9A">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r>
      <w:r>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r>
      <w:r>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r>
      <w:r>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r>
      <w:r>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sidRPr="00933B9A">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r>
      <w:r>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r>
      <w:r>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r>
      <w:r>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r>
      <w:r>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r>
      <w:r>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display marked S, which had sat at 1.2 for eleven weeks with the patience of something that had given up being interesting,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w:t>
      </w:r>
      <w:r>
        <w:t>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r>
      <w:r>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w:t>
      </w:r>
      <w:r>
        <w:t>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a man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r>
      <w:r>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r>
      <w:r>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r>
      <w:r>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r>
      <w:r>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r>
      <w:r>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000000">
      <w:pPr>
        <w:pStyle w:val="Equation"/>
        <w:spacing w:before="200" w:after="200"/>
        <w:jc w:val="center"/>
        <w:rPr>
          <w:lang w:val="de-DE"/>
        </w:rPr>
      </w:pPr>
      <w:r w:rsidRPr="00933B9A">
        <w:rPr>
          <w:rFonts w:ascii="Georgia" w:eastAsia="Georgia" w:hAnsi="Georgia" w:cs="Georgia"/>
          <w:i/>
          <w:iCs/>
          <w:lang w:val="de-DE"/>
        </w:rPr>
        <w:t>P</w:t>
      </w:r>
      <w:r w:rsidRPr="00933B9A">
        <w:rPr>
          <w:rFonts w:ascii="Georgia" w:eastAsia="Georgia" w:hAnsi="Georgia" w:cs="Georgia"/>
          <w:vertAlign w:val="subscript"/>
          <w:lang w:val="de-DE"/>
        </w:rPr>
        <w:t>survival</w:t>
      </w:r>
      <w:r w:rsidRPr="00933B9A">
        <w:rPr>
          <w:rFonts w:ascii="Georgia" w:eastAsia="Georgia" w:hAnsi="Georgia" w:cs="Georgia"/>
          <w:lang w:val="de-DE"/>
        </w:rPr>
        <w:t>(</w:t>
      </w:r>
      <w:r w:rsidRPr="00933B9A">
        <w:rPr>
          <w:rFonts w:ascii="Georgia" w:eastAsia="Georgia" w:hAnsi="Georgia" w:cs="Georgia"/>
          <w:i/>
          <w:iCs/>
          <w:lang w:val="de-DE"/>
        </w:rPr>
        <w:t>t</w:t>
      </w:r>
      <w:r w:rsidRPr="00933B9A">
        <w:rPr>
          <w:rFonts w:ascii="Georgia" w:eastAsia="Georgia" w:hAnsi="Georgia" w:cs="Georgia"/>
          <w:lang w:val="de-DE"/>
        </w:rPr>
        <w:t>) ≈ 1 − (</w:t>
      </w:r>
      <w:r>
        <w:rPr>
          <w:rFonts w:ascii="Georgia" w:eastAsia="Georgia" w:hAnsi="Georgia" w:cs="Georgia"/>
        </w:rPr>
        <w:t>Δ</w:t>
      </w:r>
      <w:r w:rsidRPr="00933B9A">
        <w:rPr>
          <w:rFonts w:ascii="Georgia" w:eastAsia="Georgia" w:hAnsi="Georgia" w:cs="Georgia"/>
          <w:i/>
          <w:iCs/>
          <w:lang w:val="de-DE"/>
        </w:rPr>
        <w:t>H</w:t>
      </w:r>
      <w:r w:rsidRPr="00933B9A">
        <w:rPr>
          <w:rFonts w:ascii="Georgia" w:eastAsia="Georgia" w:hAnsi="Georgia" w:cs="Georgia"/>
          <w:lang w:val="de-DE"/>
        </w:rPr>
        <w:t>)</w:t>
      </w:r>
      <w:r w:rsidRPr="00933B9A">
        <w:rPr>
          <w:rFonts w:ascii="Georgia" w:eastAsia="Georgia" w:hAnsi="Georgia" w:cs="Georgia"/>
          <w:vertAlign w:val="superscript"/>
          <w:lang w:val="de-DE"/>
        </w:rPr>
        <w:t>2</w:t>
      </w:r>
      <w:r w:rsidRPr="00933B9A">
        <w:rPr>
          <w:rFonts w:ascii="Georgia" w:eastAsia="Georgia" w:hAnsi="Georgia" w:cs="Georgia"/>
          <w:i/>
          <w:iCs/>
          <w:lang w:val="de-DE"/>
        </w:rPr>
        <w:t>t</w:t>
      </w:r>
      <w:r w:rsidRPr="00933B9A">
        <w:rPr>
          <w:rFonts w:ascii="Georgia" w:eastAsia="Georgia" w:hAnsi="Georgia" w:cs="Georgia"/>
          <w:vertAlign w:val="superscript"/>
          <w:lang w:val="de-DE"/>
        </w:rPr>
        <w:t>2</w:t>
      </w:r>
      <w:r w:rsidRPr="00933B9A">
        <w:rPr>
          <w:rFonts w:ascii="Georgia" w:eastAsia="Georgia" w:hAnsi="Georgia" w:cs="Georgia"/>
          <w:lang w:val="de-DE"/>
        </w:rPr>
        <w:t xml:space="preserve"> / ℏ</w:t>
      </w:r>
      <w:r w:rsidRPr="00933B9A">
        <w:rPr>
          <w:rFonts w:ascii="Georgia" w:eastAsia="Georgia" w:hAnsi="Georgia" w:cs="Georgia"/>
          <w:vertAlign w:val="superscript"/>
          <w:lang w:val="de-DE"/>
        </w:rPr>
        <w:t>2</w:t>
      </w:r>
      <w:r w:rsidRPr="00933B9A">
        <w:rPr>
          <w:rFonts w:ascii="Georgia" w:eastAsia="Georgia" w:hAnsi="Georgia" w:cs="Georgia"/>
          <w:lang w:val="de-DE"/>
        </w:rPr>
        <w:t>.</w:t>
      </w:r>
      <w:r w:rsidRPr="00933B9A">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r>
      <w:r>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r>
      <w:r>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r>
      <w:r>
        <w:lastRenderedPageBreak/>
        <w:t>evaporation. The Ministry has not mislaid a civic object; its black hole is shrinking by law, which is why “within projected envelope” is such a poor comfort. When Lolly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r>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r>
      <w:r>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r>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r>
      <w:r>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r>
      <w:r>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r>
      <w:r>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r>
      <w:r>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r>
      <w:r>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r>
      <w:r>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r>
      <w:r>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r>
      <w:r>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r>
      <w:r>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r>
      <w:r>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r>
      <w:r>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r>
      <w:r>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r>
      <w:r>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r>
      <w:r>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r>
      <w:r>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r>
      <w:r>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r>
      <w:r>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Alain Aspect, the experiments that found the quantum correlations instead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right.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