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the woman in the chair.</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State Reduction via Repeated Measurement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The Schrödinger Equation and Lawful Evolution</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Beginning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The No-Cloning Theorem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The Uncertainty Principle—Position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De Broglie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and still no certificate that restores a sister.</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 and never will be.</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Tegmark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w:r>
      </w:hyperlink>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pPr>
        <w:spacing w:before="360" w:after="120"/>
        <w:ind w:firstLine="0"/>
      </w:pPr>
      <w:r>
        <w:rPr>
          <w:b/>
          <w:sz w:val="28"/>
        </w:rPr>
        <w:t>I. What a state is, and what it means to ask (Lectures 1–5) — superposition; the question your apparatus can ask; asking too soon; asking too often; the lawful quiet between records.</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State Reduction via Repeated Measurement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The Schrödinger Equation and Lawful Evolution</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can be skipped.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can be skipped.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Beginning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can be skipped. In 1964 Bell derived inequalities obeyed by local hidden-variable theories; decades of experiments — including loophole-tightened tests in the 2010s — found the quantum correlations instead. Bell’s result rules out local hidden variables, not every possible hidden-variable theory: pilot-wave theory, for example, is explicitly nonlocal.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The No-Cloning Theorem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can be skipped.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The Uncertainty Principle—Position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paragraph can be skipped.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paragraph can be skipped.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paragraph can be skipped.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De Broglie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lesson,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