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w:t>
      </w:r>
    </w:p>
    <w:p>
      <w:pPr>
        <w:spacing w:after="60"/>
      </w:pPr>
      <w:hyperlink w:history="1" w:anchor="toc1">
        <w:r>
          <w:rPr>
            <w:rFonts w:ascii="Cambria" w:cs="Cambria" w:eastAsia="Cambria" w:hAnsi="Cambria"/>
            <w:b w:val="false"/>
            <w:bCs w:val="false"/>
            <w:color w:val="44546A"/>
            <w:sz w:val="22"/>
            <w:szCs w:val="22"/>
            <w:u w:val="single"/>
          </w:rPr>
          <w:t xml:space="preserve">Author’s Note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w:t>
      </w:r>
    </w:p>
    <w:p>
      <w:pPr>
        <w:spacing w:after="60"/>
      </w:pPr>
      <w:hyperlink w:history="1" w:anchor="toc2">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w:t>
      </w:r>
    </w:p>
    <w:p>
      <w:pPr>
        <w:spacing w:after="60" w:before="240"/>
      </w:pPr>
      <w:hyperlink w:history="1" w:anchor="toc3">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18</w:t>
      </w:r>
    </w:p>
    <w:p>
      <w:pPr>
        <w:spacing w:after="60"/>
        <w:ind w:left="360"/>
      </w:pPr>
      <w:hyperlink w:history="1" w:anchor="toc4">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w:t>
      </w:r>
    </w:p>
    <w:p>
      <w:pPr>
        <w:spacing w:after="60"/>
        <w:ind w:left="360"/>
      </w:pPr>
      <w:hyperlink w:history="1" w:anchor="toc5">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w:t>
      </w:r>
    </w:p>
    <w:p>
      <w:pPr>
        <w:spacing w:after="60"/>
        <w:ind w:left="360"/>
      </w:pPr>
      <w:hyperlink w:history="1" w:anchor="toc6">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30</w:t>
      </w:r>
    </w:p>
    <w:p>
      <w:pPr>
        <w:spacing w:after="60"/>
        <w:ind w:left="360"/>
      </w:pPr>
      <w:hyperlink w:history="1" w:anchor="toc7">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34</w:t>
      </w:r>
    </w:p>
    <w:p>
      <w:pPr>
        <w:spacing w:after="60" w:before="240"/>
      </w:pPr>
      <w:hyperlink w:history="1" w:anchor="toc8">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41</w:t>
      </w:r>
    </w:p>
    <w:p>
      <w:pPr>
        <w:spacing w:after="60"/>
        <w:ind w:left="360"/>
      </w:pPr>
      <w:hyperlink w:history="1" w:anchor="toc10">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48</w:t>
      </w:r>
    </w:p>
    <w:p>
      <w:pPr>
        <w:spacing w:after="60"/>
        <w:ind w:left="360"/>
      </w:pPr>
      <w:hyperlink w:history="1" w:anchor="toc11">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52</w:t>
      </w:r>
    </w:p>
    <w:p>
      <w:pPr>
        <w:spacing w:after="60"/>
        <w:ind w:left="360"/>
      </w:pPr>
      <w:hyperlink w:history="1" w:anchor="toc12">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56</w:t>
      </w:r>
    </w:p>
    <w:p>
      <w:pPr>
        <w:spacing w:after="60" w:before="240"/>
      </w:pPr>
      <w:hyperlink w:history="1" w:anchor="toc13">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62</w:t>
      </w:r>
    </w:p>
    <w:p>
      <w:pPr>
        <w:spacing w:after="60"/>
        <w:ind w:left="360"/>
      </w:pPr>
      <w:hyperlink w:history="1" w:anchor="toc14">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63</w:t>
      </w:r>
    </w:p>
    <w:p>
      <w:pPr>
        <w:spacing w:after="60"/>
        <w:ind w:left="360"/>
      </w:pPr>
      <w:hyperlink w:history="1" w:anchor="toc15">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68</w:t>
      </w:r>
    </w:p>
    <w:p>
      <w:pPr>
        <w:spacing w:after="60"/>
        <w:ind w:left="360"/>
      </w:pPr>
      <w:hyperlink w:history="1" w:anchor="toc16">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72</w:t>
      </w:r>
    </w:p>
    <w:p>
      <w:pPr>
        <w:spacing w:after="60" w:before="240"/>
      </w:pPr>
      <w:hyperlink w:history="1" w:anchor="toc17">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78</w:t>
      </w:r>
    </w:p>
    <w:p>
      <w:pPr>
        <w:spacing w:after="60"/>
        <w:ind w:left="360"/>
      </w:pPr>
      <w:hyperlink w:history="1" w:anchor="toc19">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82</w:t>
      </w:r>
    </w:p>
    <w:p>
      <w:pPr>
        <w:spacing w:after="60"/>
        <w:ind w:left="360"/>
      </w:pPr>
      <w:hyperlink w:history="1" w:anchor="toc20">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86</w:t>
      </w:r>
    </w:p>
    <w:p>
      <w:pPr>
        <w:spacing w:after="60" w:before="240"/>
      </w:pPr>
      <w:hyperlink w:history="1" w:anchor="toc21">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94</w:t>
      </w:r>
    </w:p>
    <w:p>
      <w:pPr>
        <w:spacing w:after="60"/>
        <w:ind w:left="360"/>
      </w:pPr>
      <w:hyperlink w:history="1" w:anchor="toc23">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97</w:t>
      </w:r>
    </w:p>
    <w:p>
      <w:pPr>
        <w:spacing w:after="60"/>
        <w:ind w:left="360"/>
      </w:pPr>
      <w:hyperlink w:history="1" w:anchor="toc24">
        <w:r>
          <w:rPr>
            <w:rFonts w:ascii="Cambria" w:cs="Cambria" w:eastAsia="Cambria" w:hAnsi="Cambria"/>
            <w:b w:val="false"/>
            <w:bCs w:val="false"/>
            <w:color w:val="44546A"/>
            <w:sz w:val="22"/>
            <w:szCs w:val="22"/>
            <w:u w:val="single"/>
          </w:rPr>
          <w:t xml:space="preserve">17. A Field or a Relationship?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ind w:left="360"/>
      </w:pPr>
      <w:hyperlink w:history="1" w:anchor="toc25">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104</w:t>
      </w:r>
    </w:p>
    <w:p>
      <w:pPr>
        <w:spacing w:after="60"/>
        <w:ind w:left="360"/>
      </w:pPr>
      <w:hyperlink w:history="1" w:anchor="toc26">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108</w:t>
      </w:r>
    </w:p>
    <w:p>
      <w:pPr>
        <w:spacing w:after="60" w:before="240"/>
      </w:pPr>
      <w:hyperlink w:history="1" w:anchor="toc27">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115</w:t>
      </w:r>
    </w:p>
    <w:p>
      <w:pPr>
        <w:spacing w:after="60"/>
        <w:ind w:left="360"/>
      </w:pPr>
      <w:hyperlink w:history="1" w:anchor="toc28">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116</w:t>
      </w:r>
    </w:p>
    <w:p>
      <w:pPr>
        <w:spacing w:after="60"/>
        <w:ind w:left="360"/>
      </w:pPr>
      <w:hyperlink w:history="1" w:anchor="toc29">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ind w:left="360"/>
      </w:pPr>
      <w:hyperlink w:history="1" w:anchor="toc30">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125</w:t>
      </w:r>
    </w:p>
    <w:p>
      <w:pPr>
        <w:spacing w:after="60"/>
        <w:ind w:left="360"/>
      </w:pPr>
      <w:hyperlink w:history="1" w:anchor="toc31">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129</w:t>
      </w:r>
    </w:p>
    <w:p>
      <w:pPr>
        <w:spacing w:after="60" w:before="240"/>
      </w:pPr>
      <w:hyperlink w:history="1" w:anchor="toc32">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134</w:t>
      </w:r>
    </w:p>
    <w:p>
      <w:pPr>
        <w:spacing w:after="60"/>
        <w:ind w:left="360"/>
      </w:pPr>
      <w:hyperlink w:history="1" w:anchor="toc33">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135</w:t>
      </w:r>
    </w:p>
    <w:p>
      <w:pPr>
        <w:spacing w:after="60"/>
        <w:ind w:left="360"/>
      </w:pPr>
      <w:hyperlink w:history="1" w:anchor="toc34">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140</w:t>
      </w:r>
    </w:p>
    <w:p>
      <w:pPr>
        <w:spacing w:after="60"/>
        <w:ind w:left="360"/>
      </w:pPr>
      <w:hyperlink w:history="1" w:anchor="toc35">
        <w:r>
          <w:rPr>
            <w:rFonts w:ascii="Cambria" w:cs="Cambria" w:eastAsia="Cambria" w:hAnsi="Cambria"/>
            <w:b w:val="false"/>
            <w:bCs w:val="false"/>
            <w:color w:val="44546A"/>
            <w:sz w:val="22"/>
            <w:szCs w:val="22"/>
            <w:u w:val="single"/>
          </w:rPr>
          <w:t xml:space="preserve">26. Magnetism Is Relativity in Disguise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143</w:t>
      </w:r>
    </w:p>
    <w:p>
      <w:pPr>
        <w:spacing w:after="60"/>
        <w:ind w:left="360"/>
      </w:pPr>
      <w:hyperlink w:history="1" w:anchor="toc36">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150</w:t>
      </w:r>
    </w:p>
    <w:p>
      <w:pPr>
        <w:spacing w:after="60" w:before="240"/>
      </w:pPr>
      <w:hyperlink w:history="1" w:anchor="toc37">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156</w:t>
      </w:r>
    </w:p>
    <w:p>
      <w:pPr>
        <w:spacing w:after="60"/>
        <w:ind w:left="360"/>
      </w:pPr>
      <w:hyperlink w:history="1" w:anchor="toc38">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9">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162</w:t>
      </w:r>
    </w:p>
    <w:p>
      <w:pPr>
        <w:spacing w:after="60"/>
        <w:ind w:left="360"/>
      </w:pPr>
      <w:hyperlink w:history="1" w:anchor="toc40">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166</w:t>
      </w:r>
    </w:p>
    <w:p>
      <w:pPr>
        <w:spacing w:after="60"/>
        <w:ind w:left="360"/>
      </w:pPr>
      <w:hyperlink w:history="1" w:anchor="toc41">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172</w:t>
      </w:r>
    </w:p>
    <w:p>
      <w:pPr>
        <w:spacing w:after="60"/>
        <w:ind w:left="360"/>
      </w:pPr>
      <w:hyperlink w:history="1" w:anchor="toc42">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176</w:t>
      </w:r>
    </w:p>
    <w:p>
      <w:pPr>
        <w:spacing w:after="60" w:before="240"/>
      </w:pPr>
      <w:hyperlink w:history="1" w:anchor="toc43">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182</w:t>
      </w:r>
    </w:p>
    <w:p>
      <w:pPr>
        <w:spacing w:after="60"/>
        <w:ind w:left="360"/>
      </w:pPr>
      <w:hyperlink w:history="1" w:anchor="toc44">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ind w:left="360"/>
      </w:pPr>
      <w:hyperlink w:history="1" w:anchor="toc45">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188</w:t>
      </w:r>
    </w:p>
    <w:p>
      <w:pPr>
        <w:spacing w:after="60"/>
        <w:ind w:left="360"/>
      </w:pPr>
      <w:hyperlink w:history="1" w:anchor="toc46">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193</w:t>
      </w:r>
    </w:p>
    <w:p>
      <w:pPr>
        <w:spacing w:after="60" w:before="240"/>
      </w:pPr>
      <w:hyperlink w:history="1" w:anchor="toc47">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196</w:t>
      </w:r>
    </w:p>
    <w:p>
      <w:pPr>
        <w:spacing w:after="60"/>
        <w:ind w:left="360"/>
      </w:pPr>
      <w:hyperlink w:history="1" w:anchor="toc48">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9">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202</w:t>
      </w:r>
    </w:p>
    <w:p>
      <w:pPr>
        <w:spacing w:after="60"/>
        <w:ind w:left="360"/>
      </w:pPr>
      <w:hyperlink w:history="1" w:anchor="toc50">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209</w:t>
      </w:r>
    </w:p>
    <w:p>
      <w:pPr>
        <w:spacing w:after="60"/>
        <w:ind w:left="360"/>
      </w:pPr>
      <w:hyperlink w:history="1" w:anchor="toc51">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215</w:t>
      </w:r>
    </w:p>
    <w:p>
      <w:pPr>
        <w:spacing w:after="60" w:before="240"/>
      </w:pPr>
      <w:hyperlink w:history="1" w:anchor="toc52">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223</w:t>
      </w:r>
    </w:p>
    <w:p>
      <w:pPr>
        <w:spacing w:after="60"/>
        <w:ind w:left="360"/>
      </w:pPr>
      <w:hyperlink w:history="1" w:anchor="toc53">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224</w:t>
      </w:r>
    </w:p>
    <w:p>
      <w:pPr>
        <w:spacing w:after="60"/>
        <w:ind w:left="360"/>
      </w:pPr>
      <w:hyperlink w:history="1" w:anchor="toc54">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230</w:t>
      </w:r>
    </w:p>
    <w:p>
      <w:pPr>
        <w:spacing w:after="60"/>
        <w:ind w:left="360"/>
      </w:pPr>
      <w:hyperlink w:history="1" w:anchor="toc55">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235</w:t>
      </w:r>
    </w:p>
    <w:p>
      <w:pPr>
        <w:spacing w:after="60" w:before="240"/>
      </w:pPr>
      <w:hyperlink w:history="1" w:anchor="toc56">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241</w:t>
      </w:r>
    </w:p>
    <w:p>
      <w:pPr>
        <w:spacing w:after="60"/>
        <w:ind w:left="360"/>
      </w:pPr>
      <w:hyperlink w:history="1" w:anchor="toc58">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245</w:t>
      </w:r>
    </w:p>
    <w:p>
      <w:pPr>
        <w:spacing w:after="60"/>
        <w:ind w:left="360"/>
      </w:pPr>
      <w:hyperlink w:history="1" w:anchor="toc59">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249</w:t>
      </w:r>
    </w:p>
    <w:p>
      <w:pPr>
        <w:spacing w:after="60" w:before="240"/>
      </w:pPr>
      <w:hyperlink w:history="1" w:anchor="toc60">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256</w:t>
      </w:r>
    </w:p>
    <w:p>
      <w:pPr>
        <w:spacing w:after="60"/>
        <w:ind w:left="360"/>
      </w:pPr>
      <w:hyperlink w:history="1" w:anchor="toc61">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257</w:t>
      </w:r>
    </w:p>
    <w:p>
      <w:pPr>
        <w:spacing w:after="60"/>
        <w:ind w:left="360"/>
      </w:pPr>
      <w:hyperlink w:history="1" w:anchor="toc62">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264</w:t>
      </w:r>
    </w:p>
    <w:p>
      <w:pPr>
        <w:spacing w:after="60"/>
        <w:ind w:left="360"/>
      </w:pPr>
      <w:hyperlink w:history="1" w:anchor="toc63">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273</w:t>
      </w:r>
    </w:p>
    <w:p>
      <w:pPr>
        <w:spacing w:after="60"/>
      </w:pPr>
      <w:hyperlink w:history="1" w:anchor="toc64">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5">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6">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289</w:t>
      </w:r>
    </w:p>
    <w:p>
      <w:pPr>
        <w:spacing w:after="60"/>
      </w:pPr>
      <w:hyperlink w:history="1" w:anchor="toc67">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290</w:t>
      </w:r>
    </w:p>
    <w:p>
      <w:pPr>
        <w:spacing w:after="60"/>
      </w:pPr>
      <w:hyperlink w:history="1" w:anchor="toc68">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9">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it looked a chapter ago. The theory makes predictions so precise that experiment and calculation agree to an almost embarrassing number of decimal places.</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Everything in the pages ahead will eventually come down to one image, and it may as well be stated plainly now, before it has been earned: a force is a shadow, and this book is about the thing casting it. Shadows are real. You can measure one, stand in one, predict where one will fall. The Lorentz force is not being retired. It still predicts the motion of every charged object in the laboratory. Calling it a shadow means only this: the force is what the phase-and-potential structure looks like once you have already taken the classical limit. It is as real as a temperature. It is not the deepest description this book has. But a shadow never contains the full shape of the object making it, and for three centuries, the force was the only part of electromagnetism most of us were ever shown.</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And yet a remarkable thread runs through both of them. Each invites you to stop thinking of electromagnetism as, fundamentally, a story about small objects being shoved around by invisible mechanical forces. Something more subtle is happening in both pictures: quantum phase is changing. That single observation is the guide I follow from the first chapter to the last.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 — not to replace one theory with another.</w:t>
      </w:r>
    </w:p>
    <w:p>
      <w:pPr>
        <w:spacing w:after="260" w:line="360" w:lineRule="auto"/>
        <w:jc w:val="left"/>
      </w:pPr>
      <w:r>
        <w:rPr>
          <w:rFonts w:ascii="Cambria" w:cs="Cambria" w:eastAsia="Cambria" w:hAnsi="Cambria"/>
          <w:i w:val="false"/>
          <w:iCs w:val="false"/>
          <w:sz w:val="24"/>
          <w:szCs w:val="24"/>
        </w:rPr>
        <w:t xml:space="preserve">Perhaps that is what Feynman was after all along.</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Author’s Note</w:t>
      </w:r>
      <w:bookmarkEnd w:id="1"/>
    </w:p>
    <w:p>
      <w:pPr>
        <w:spacing w:after="260" w:line="360" w:lineRule="auto"/>
        <w:jc w:val="left"/>
      </w:pPr>
      <w:r>
        <w:rPr>
          <w:rFonts w:ascii="Cambria" w:cs="Cambria" w:eastAsia="Cambria" w:hAnsi="Cambria"/>
          <w:i w:val="false"/>
          <w:iCs w:val="false"/>
          <w:sz w:val="24"/>
          <w:szCs w:val="24"/>
        </w:rPr>
        <w:t xml:space="preserve">Most people meet electromagnetism the same way, in more or less the same order. Charges produce electric fields. Moving charges produce magnetic fields. Fields exert forces. Then come Maxwell’s equations, then electromagnetic waves, and only much later, if at all, quantum mechanics, with quantum electrodynamics arriving later still, usually treated as an advanced correction bolted onto a fundamentally classical story. That sequence is historically understandable; it’s roughly the order in which humanity discovered these things. I don’t think it’s the order that makes the underlying physics easiest to see. Taught this way, quantum mechanics can start to look like an optional refinement layered on top of a theory that was already complete without it. The deeper structure runs the other way. Electromagnetism is quantum mechanical at its foundation, and the classical field description most of us meet first is an emergent, extraordinarily successful approximation built on top of that foundation — not the other way around.</w:t>
      </w:r>
    </w:p>
    <w:p>
      <w:pPr>
        <w:spacing w:after="260" w:line="360" w:lineRule="auto"/>
        <w:jc w:val="left"/>
      </w:pPr>
      <w:r>
        <w:rPr>
          <w:rFonts w:ascii="Cambria" w:cs="Cambria" w:eastAsia="Cambria" w:hAnsi="Cambria"/>
          <w:i w:val="false"/>
          <w:iCs w:val="false"/>
          <w:sz w:val="24"/>
          <w:szCs w:val="24"/>
        </w:rPr>
        <w:t xml:space="preserve">So I’ve deliberately run the story in reverse. I start with quantum phase: what an amplitude is, why interference happens, why phase turns out to matter so much more than anyone tells you on the first day of a physics course. I introduce the electromagnetic potential next, as the thing that reshapes that phase, before the electric and magnetic fields most readers already know are ever built from it. I work through gauge invariance, the Aharonov–Bohm effect, and collective phase in superconductors, and only after all of that do I let classical electromagnetism — Maxwell’s equations, waves, circuits — emerge, followed finally by the full machinery of quantum electrodynamics itself.</w:t>
      </w:r>
    </w:p>
    <w:p>
      <w:pPr>
        <w:spacing w:after="260" w:line="360" w:lineRule="auto"/>
        <w:jc w:val="left"/>
      </w:pPr>
      <w:r>
        <w:rPr>
          <w:rFonts w:ascii="Cambria" w:cs="Cambria" w:eastAsia="Cambria" w:hAnsi="Cambria"/>
          <w:i w:val="false"/>
          <w:iCs w:val="false"/>
          <w:sz w:val="24"/>
          <w:szCs w:val="24"/>
        </w:rPr>
        <w:t xml:space="preserve">This reversal comes with a real risk: it would be easy to let Maxwell come out looking like the villain of the story, a simplification to be outgrown rather than a genuine achievement. That was never the intention, and if any chapter reads that way, it failed at something I care about. Maxwell’s equations remain among the most beautiful, most useful equations in the history of science. They revealed that electricity and magnetism were never two separate phenomena to begin with. They predicted electromagnetic waves before anyone had detected one. They underwrite an almost unreasonable share of modern technology. The goal of telling this story backward was to show where Maxwell’s equations sit inside a larger structure, not to replace Maxwell, which, if anything, should make them more remarkable, not less.</w:t>
      </w:r>
    </w:p>
    <w:p>
      <w:pPr>
        <w:spacing w:after="260" w:line="360" w:lineRule="auto"/>
        <w:jc w:val="left"/>
      </w:pPr>
      <w:r>
        <w:rPr>
          <w:rFonts w:ascii="Cambria" w:cs="Cambria" w:eastAsia="Cambria" w:hAnsi="Cambria"/>
          <w:i w:val="false"/>
          <w:iCs w:val="false"/>
          <w:sz w:val="24"/>
          <w:szCs w:val="24"/>
        </w:rPr>
        <w:t xml:space="preserve">Feynman and Mead, in their own very different ways, were both chasing the same instinct: choose the variables that make the physics simplest, not necessarily the variables that happened to get discovered first, or that are easiest to draw on a blackboard. Feynman found that instinct in amplitudes, histories, and phase. Mead found it in collective quantum coherence and the electromagnetic potential. Neither choice makes the other wrong. Each one exposes a structure the other tends to leave in shadow.</w:t>
      </w:r>
    </w:p>
    <w:p>
      <w:pPr>
        <w:spacing w:after="260" w:line="360" w:lineRule="auto"/>
        <w:jc w:val="left"/>
      </w:pPr>
      <w:r>
        <w:rPr>
          <w:rFonts w:ascii="Cambria" w:cs="Cambria" w:eastAsia="Cambria" w:hAnsi="Cambria"/>
          <w:i w:val="false"/>
          <w:iCs w:val="false"/>
          <w:sz w:val="24"/>
          <w:szCs w:val="24"/>
        </w:rPr>
        <w:t xml:space="preserve">The measure of success for a book like this one isn’t how many definitions a reader can recite afterward — it’s whether they experience a sequence of small recognitions, one after another, each building on the last: that phase controls interference; that the electromagnetic potential is what changes that phase; that a loop of wire can remember something about a magnetic field it never touched; that a superconductor’s phase can become a variable you can hold in your hand; that Maxwell’s familiar fields emerge from all of this rather than standing outside it; that a photon is the quantum excitation of the very field those equations describe; that quantum electrodynamics is, underneath its intimidating reputation, calculating the amplitudes I’ve been building toward from the first page. And last, the recognition I care about most: none of these are disconnected chapters in an arbitrary syllabus. They are different vantage points on one continuous structure — which is the closest thing I have to a thesis.</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the broader survey elsewhere in this series, will recognize where I began: an interlude on collective electrodynamics, after the chapters on QED, cryptography, and computing, that gave Mead’s idea a few thousand words inside a much wider tour. This book is what happened when that interlude got the rest of the room it was asking for.</w:t>
      </w:r>
    </w:p>
    <w:p>
      <w:pPr>
        <w:pStyle w:val="Heading2"/>
        <w:pageBreakBefore/>
        <w:spacing w:after="240" w:before="0"/>
        <w:jc w:val="center"/>
      </w:pPr>
      <w:bookmarkStart w:name="toc2"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 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3"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 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 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 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 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 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 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about what electromagnetism might be. If phase is the quantity that governs interference, and interference is the machinery underneath everything we call classical, then an interaction that systematically shifts the phase of charged matter may be close to the entire story, hardly a minor character in it. Electromagnetism, it turns out, is that kind of interaction — and the rest of this book follows that idea all the way through.</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 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 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We will derive this properly in the next chapter — the Aharonov–Bohm effect, named for the two physicists who worked out its consequences in 1959</w:t>
      </w:r>
      <w:r>
        <w:rPr>
          <w:rFonts w:ascii="Cambria" w:cs="Cambria" w:eastAsia="Cambria" w:hAnsi="Cambria"/>
          <w:i w:val="false"/>
          <w:iCs w:val="false"/>
          <w:sz w:val="24"/>
          <w:szCs w:val="24"/>
          <w:vertAlign w:val="superscript"/>
        </w:rPr>
        <w:t xml:space="preserve">1</w:t>
      </w:r>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 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 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 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 In a sufficiently thick or otherwise well-screened superconducting loop, the current’s own contribution becomes negligible, and the fluxoid reduces to the enclosed flux itself, which is the simple loop picture this book uses from here on. In a superconductor, where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this gives one of the cleanest quantized quantities in all of physics</w:t>
      </w:r>
      <w:r>
        <w:rPr>
          <w:rFonts w:ascii="Cambria" w:cs="Cambria" w:eastAsia="Cambria" w:hAnsi="Cambria"/>
          <w:i w:val="false"/>
          <w:iCs w:val="false"/>
          <w:sz w:val="24"/>
          <w:szCs w:val="24"/>
          <w:vertAlign w:val="superscript"/>
        </w:rPr>
        <w:t xml:space="preserve">2</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 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7"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w:cs="Cambria" w:eastAsia="Cambria" w:hAnsi="Cambria"/>
          <w:i w:val="false"/>
          <w:iCs w:val="false"/>
          <w:sz w:val="24"/>
          <w:szCs w:val="24"/>
        </w:rPr>
        <w:t xml:space="preserve">At this point a fair objection surfaces. </w:t>
      </w:r>
      <w:r>
        <w:rPr>
          <w:rFonts w:ascii="Cambria Math" w:cs="Cambria Math" w:eastAsia="Cambria Math" w:hAnsi="Cambria Math"/>
          <w:i/>
          <w:iCs/>
          <w:sz w:val="24"/>
          <w:szCs w:val="24"/>
        </w:rPr>
        <w:t xml:space="preserve">Fine — the vector potential appears in the equations. But isn’t that just because we chose to describe the magnetic field using</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using</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change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by a particular kind of mathematical shift (a </w:t>
      </w:r>
      <w:r>
        <w:rPr>
          <w:rFonts w:ascii="Cambria Math" w:cs="Cambria Math" w:eastAsia="Cambria Math" w:hAnsi="Cambria Math"/>
          <w:i/>
          <w:iCs/>
          <w:sz w:val="24"/>
          <w:szCs w:val="24"/>
        </w:rPr>
        <w:t xml:space="preserve">gauge transformation</w:t>
      </w:r>
      <w:r>
        <w:rPr>
          <w:rFonts w:ascii="Cambria" w:cs="Cambria" w:eastAsia="Cambria" w:hAnsi="Cambria"/>
          <w:i w:val="false"/>
          <w:iCs w:val="false"/>
          <w:sz w:val="24"/>
          <w:szCs w:val="24"/>
        </w:rPr>
        <w:t xml:space="preserve">) without changing either the electric and magnetic fields or any observable prediction. Concretely, pick any function of space and time you like,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Work through the definitions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pieces cancel out identically, leaving the fields untouched no matter how wild a function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happens to be. Different potentials, same physics. That gauge freedom is what pins down what physically matters: the meaningful content is carried by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combinations of the potential and the quantum phase (quantities that stay fixed no matter which gauge you happen to be using), and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 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 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 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 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8"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 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 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 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 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 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 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 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 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 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 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2"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This is an awkward point to have reached. The last several chapters have argued that the electromagnetic potential shapes the phase of charged matter in a deep and unavoidable way. Fine — but that immediately invites the obvious follow-up: </w:t>
      </w:r>
      <w:r>
        <w:rPr>
          <w:rFonts w:ascii="Cambria Math" w:cs="Cambria Math" w:eastAsia="Cambria Math" w:hAnsi="Cambria Math"/>
          <w:i/>
          <w:iCs/>
          <w:sz w:val="24"/>
          <w:szCs w:val="24"/>
        </w:rPr>
        <w:t xml:space="preserve">what produces the potential in the first place?</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what’s called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 a name that sounds far more intimidating than the idea actually is.</w:t>
      </w:r>
    </w:p>
    <w:p>
      <w:pPr>
        <w:spacing w:after="260" w:line="360" w:lineRule="auto"/>
        <w:jc w:val="left"/>
      </w:pPr>
      <w:r>
        <w:rPr>
          <w:rFonts w:ascii="Cambria" w:cs="Cambria" w:eastAsia="Cambria" w:hAnsi="Cambria"/>
          <w:i w:val="false"/>
          <w:iCs w:val="false"/>
          <w:sz w:val="24"/>
          <w:szCs w:val="24"/>
        </w:rPr>
        <w:t xml:space="preserve">Here is the idea, stripped of jargon. Suppose you want to know how a complicated system responds when you disturb it somewhere. Start with the simplest possible version of that question: what happens if I poke the system at exactly one point, with the smallest possible nudge? The system’s response to that single, idealized poke is its Green’s function — its fundamental response. Once you know how the system reacts to one elementary disturbance, you can reconstruct its response to any complicated source at all, by adding up the responses to a great many simple pokes, one for every point where the actual source has some charge or current sitting.</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 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 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 the next several chapters give it the careful treatment it needs. But first we need to understand what standard quantum electrodynamics says, in its own language, about what a photon is and what it does. Otherwise we risk discarding a piece of machinery before we’ve understood why physicists built it in the first place.</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3"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 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 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r>
        <w:rPr>
          <w:rFonts w:ascii="Cambria" w:cs="Cambria" w:eastAsia="Cambria" w:hAnsi="Cambria"/>
          <w:i w:val="false"/>
          <w:iCs w:val="false"/>
          <w:sz w:val="24"/>
          <w:szCs w:val="24"/>
          <w:vertAlign w:val="superscript"/>
        </w:rPr>
        <w:t xml:space="preserve">3</w:t>
      </w:r>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 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 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 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 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 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It is not a coincidence, and the next two chapters are going to lean on it hard.</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r>
        <w:rPr>
          <w:rFonts w:ascii="Cambria" w:cs="Cambria" w:eastAsia="Cambria" w:hAnsi="Cambria"/>
          <w:i w:val="false"/>
          <w:iCs w:val="false"/>
          <w:sz w:val="24"/>
          <w:szCs w:val="24"/>
          <w:vertAlign w:val="superscript"/>
        </w:rPr>
        <w:t xml:space="preserve">4</w:t>
      </w:r>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 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 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 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6"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 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and that discarding is not free; it is a genuine physical process with its own story, one this book will come back to directly when it takes up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 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 The two insights aim at the same target from two different distances and land in the same place: electromagnetism runs on phase — it isn’t decoration sprinkled on top of the theory —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7"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A reader trained on conventional electromagnetism might reasonably be getting nervous by this point. The last eleven chapters have talked about phase, amplitude, and potentials at considerable length. Electric and magnetic fields — the things most people learn first, the ones with the field-line diagrams and the right-hand rules — have barely been mentioned. Where did they go?</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 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 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 It was Oliver Heaviside (the same Heaviside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 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 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20"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 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 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 Both convert electrical energy into photons, often in comparable total quantities, but a light bulb’s atoms emit independently of one another, each on its own schedule, producing a beam that spreads out in every direction and washes out any interference pattern almost immediately. 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 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 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 This is precisely the question Richard Feynman took up, a few years before quantum electrodynamics became his more famous legacy, in an unusual collaboration with John Wheeler. It gets the next several chapters, not a shrug.</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1"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 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 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Math" w:cs="Cambria Math" w:eastAsia="Cambria Math" w:hAnsi="Cambria Math"/>
          <w:i/>
          <w:iCs/>
          <w:sz w:val="24"/>
          <w:szCs w:val="24"/>
        </w:rPr>
        <w:t xml:space="preserve">This chapter is not a replacement for QED. Wheeler–Feynman absorber theory is a mid-century reformulation of classical radiation reaction. It cannot, as it stands, reproduce QED’s radiative corrections, vacuum polarization, or particle creation. Its value here is the question it forces: must the field be an independent thing, or can it be a bookkeeping of relationships? The standard theory remains QED. The question remains open.</w:t>
      </w:r>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 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r>
        <w:rPr>
          <w:rFonts w:ascii="Cambria" w:cs="Cambria" w:eastAsia="Cambria" w:hAnsi="Cambria"/>
          <w:i w:val="false"/>
          <w:iCs w:val="false"/>
          <w:sz w:val="24"/>
          <w:szCs w:val="24"/>
          <w:vertAlign w:val="superscript"/>
        </w:rPr>
        <w:t xml:space="preserve">4</w:t>
      </w:r>
      <w:r>
        <w:rPr>
          <w:rFonts w:ascii="Cambria" w:cs="Cambria" w:eastAsia="Cambria" w:hAnsi="Cambria"/>
          <w:i w:val="false"/>
          <w:iCs w:val="false"/>
          <w:sz w:val="24"/>
          <w:szCs w:val="24"/>
        </w:rPr>
        <w:t xml:space="preserve">; the absorber-theory papers followed a few years later</w:t>
      </w:r>
      <w:r>
        <w:rPr>
          <w:rFonts w:ascii="Cambria" w:cs="Cambria" w:eastAsia="Cambria" w:hAnsi="Cambria"/>
          <w:i w:val="false"/>
          <w:iCs w:val="false"/>
          <w:sz w:val="24"/>
          <w:szCs w:val="24"/>
          <w:vertAlign w:val="superscript"/>
        </w:rPr>
        <w:t xml:space="preserve">5</w:t>
      </w:r>
      <w:r>
        <w:rPr>
          <w:rFonts w:ascii="Cambria" w:cs="Cambria" w:eastAsia="Cambria" w:hAnsi="Cambria"/>
          <w:i w:val="false"/>
          <w:iCs w:val="false"/>
          <w:sz w:val="24"/>
          <w:szCs w:val="24"/>
        </w:rPr>
        <w:t xml:space="preserve">, not long before quantum electrodynamics proper made him a household name in physics. 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 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 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2">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17. A Field or a Relationship?</w:t>
      </w:r>
      <w:bookmarkEnd w:id="1"/>
    </w:p>
    <w:p>
      <w:pPr>
        <w:spacing w:after="260" w:line="360" w:lineRule="auto"/>
        <w:jc w:val="left"/>
      </w:pPr>
      <w:r>
        <w:rPr>
          <w:rFonts w:ascii="Cambria" w:cs="Cambria" w:eastAsia="Cambria" w:hAnsi="Cambria"/>
          <w:i w:val="false"/>
          <w:iCs w:val="false"/>
          <w:sz w:val="24"/>
          <w:szCs w:val="24"/>
        </w:rPr>
        <w:t xml:space="preserve">Picture two people talking across a room. You can describe the conversation as sound waves propagating through the air between them — a perfectly good physical account. Or you could describe it as the state of one person’s vocal apparatus, the state of the air, and the response of the other person’s ears — a different but equally valid decomposition of the very same physical process. Now imagine removing the air. The analogy collapses immediately, because sound requires a material medium to propagate through, and no clever reformulation changes that fact.</w:t>
      </w:r>
    </w:p>
    <w:p>
      <w:pPr>
        <w:spacing w:after="260" w:line="360" w:lineRule="auto"/>
        <w:jc w:val="left"/>
      </w:pPr>
      <w:r>
        <w:rPr>
          <w:rFonts w:ascii="Cambria" w:cs="Cambria" w:eastAsia="Cambria" w:hAnsi="Cambria"/>
          <w:i w:val="false"/>
          <w:iCs w:val="false"/>
          <w:sz w:val="24"/>
          <w:szCs w:val="24"/>
        </w:rPr>
        <w:t xml:space="preserve">Electromagnetism does not share this limitation. Electromagnetic radiation crosses the vacuum of space perfectly well, with no material medium required, and the standard description of that fact is the quantized electromagnetic field. To be clear, this </w:t>
      </w:r>
      <w:r>
        <w:rPr>
          <w:rFonts w:ascii="Cambria" w:cs="Cambria" w:eastAsia="Cambria" w:hAnsi="Cambria"/>
          <w:i w:val="false"/>
          <w:iCs w:val="false"/>
          <w:sz w:val="24"/>
          <w:szCs w:val="24"/>
        </w:rPr>
        <w:t xml:space="preserve">Part draws</w:t>
      </w:r>
      <w:r>
        <w:rPr>
          <w:rFonts w:ascii="Cambria" w:cs="Cambria" w:eastAsia="Cambria" w:hAnsi="Cambria"/>
          <w:i w:val="false"/>
          <w:iCs w:val="false"/>
          <w:sz w:val="24"/>
          <w:szCs w:val="24"/>
        </w:rPr>
        <w:t xml:space="preserve"> no support from the old nineteenth-century luminiferous ether, the invisible mechanical medium physicists eventually discarded for good reason; reviving it here would be a step backward, not forward.</w:t>
      </w:r>
    </w:p>
    <w:p>
      <w:pPr>
        <w:spacing w:after="260" w:line="360" w:lineRule="auto"/>
        <w:jc w:val="left"/>
      </w:pPr>
      <w:r>
        <w:rPr>
          <w:rFonts w:ascii="Cambria" w:cs="Cambria" w:eastAsia="Cambria" w:hAnsi="Cambria"/>
          <w:i w:val="false"/>
          <w:iCs w:val="false"/>
          <w:sz w:val="24"/>
          <w:szCs w:val="24"/>
        </w:rPr>
        <w:t xml:space="preserve">The interesting question is subtler than “field or ether.” A mathematical object can be treated as fundamental and dynamical in one formulation of a theory, and as a derived or effective object in another formulation of the very same physics — and modern physics is full of this kind of flexibility, where different mathematical descriptions expose different structure while still agreeing on every observable prediction. That is why “field versus relationship” has no single winner-takes-all answer; the more productive question is which description makes which physics easiest to see clearly.</w:t>
      </w:r>
    </w:p>
    <w:p>
      <w:pPr>
        <w:spacing w:after="260" w:line="360" w:lineRule="auto"/>
        <w:jc w:val="left"/>
      </w:pPr>
      <w:r>
        <w:rPr>
          <w:rFonts w:ascii="Cambria" w:cs="Cambria" w:eastAsia="Cambria" w:hAnsi="Cambria"/>
          <w:i w:val="false"/>
          <w:iCs w:val="false"/>
          <w:sz w:val="24"/>
          <w:szCs w:val="24"/>
        </w:rPr>
        <w:t xml:space="preserve">For microscopic scattering processes at high energy, the quantum-field formulation of QED is extraordinarily powerful, and nothing else comes close. For coherent superconducting systems, a collective-phase description can make phenomena that look baffling in field language almost obvious. For certain deep questions about radiation and interaction, direct-action thinking exposes conceptual structure that the field description tends to paper over. The mistake would be insisting that any one of these three languages ought to handle every explanatory job equally well. A subway map is a wonderful way to navigate underground transit and a nearly useless way to find a hiking trail; that doesn’t make the subway map wrong, it makes it a tool built for a specific purpose. Physics is more tightly constrained than cartography (every formulation still has to respect the same experiments, in a way that a hiking map and a subway map never have to agree with each other), but the underlying lesson survives the analogy intact: a good physical description is one that makes the structure relevant to the question at hand visible, not one that claims to be the single true picture underlying all the others.</w:t>
      </w:r>
    </w:p>
    <w:p>
      <w:pPr>
        <w:spacing w:after="260" w:line="360" w:lineRule="auto"/>
        <w:jc w:val="left"/>
      </w:pPr>
      <w:r>
        <w:rPr>
          <w:rFonts w:ascii="Cambria" w:cs="Cambria" w:eastAsia="Cambria" w:hAnsi="Cambria"/>
          <w:i w:val="false"/>
          <w:iCs w:val="false"/>
          <w:sz w:val="24"/>
          <w:szCs w:val="24"/>
        </w:rPr>
        <w:t xml:space="preserve">That opens up an appealing possibility. Perhaps the electromagnetic field is best understood as neither an illusion to be argued away nor an unquestionable substance to be taken for granted, but as the natural local representation of a deeper network of quantum interactions among charges — a representation that happens to be extraordinarily convenient for some purposes and slightly misleading for others. The rest of this </w:t>
      </w:r>
      <w:r>
        <w:rPr>
          <w:rFonts w:ascii="Cambria" w:cs="Cambria" w:eastAsia="Cambria" w:hAnsi="Cambria"/>
          <w:i w:val="false"/>
          <w:iCs w:val="false"/>
          <w:sz w:val="24"/>
          <w:szCs w:val="24"/>
        </w:rPr>
        <w:t xml:space="preserve">Part tests</w:t>
      </w:r>
      <w:r>
        <w:rPr>
          <w:rFonts w:ascii="Cambria" w:cs="Cambria" w:eastAsia="Cambria" w:hAnsi="Cambria"/>
          <w:i w:val="false"/>
          <w:iCs w:val="false"/>
          <w:sz w:val="24"/>
          <w:szCs w:val="24"/>
        </w:rPr>
        <w:t xml:space="preserve"> that idea against the places where it becomes genuinely difficult to sustain. And there are such places. They begin with radiation.</w:t>
      </w:r>
    </w:p>
    <w:p>
      <w:pPr>
        <w:pStyle w:val="Heading2"/>
        <w:pageBreakBefore/>
        <w:spacing w:after="240" w:before="0"/>
        <w:jc w:val="center"/>
      </w:pPr>
      <w:bookmarkStart w:name="toc25"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Everything in the last three chapters has made the idea of dispensing with an independent field sound wonderfully attractive. Charges interact; their quantum phases shift; the potential connects their dynamics; the familiar fields emerge downstream from the potential; collective quantum systems make the phase visible on a macroscopic scale. It starts to feel as though the independent electromagnetic field might simply be scaffolding we no longer need.</w:t>
      </w:r>
    </w:p>
    <w:p>
      <w:pPr>
        <w:spacing w:after="260" w:line="360" w:lineRule="auto"/>
        <w:jc w:val="left"/>
      </w:pPr>
      <w:r>
        <w:rPr>
          <w:rFonts w:ascii="Cambria" w:cs="Cambria" w:eastAsia="Cambria" w:hAnsi="Cambria"/>
          <w:i w:val="false"/>
          <w:iCs w:val="false"/>
          <w:sz w:val="24"/>
          <w:szCs w:val="24"/>
        </w:rPr>
        <w:t xml:space="preserve">Then a beam of light walks into the room, so to speak, and the whole picture gets harder to maintain casually. The beam carries energy. It carries momentum — enough to measurably push a solar sail. It ejects electrons from a metal surface on contact, one photon at a time, with a precision Einstein used to help found quantum theory in the first place. Suddenly the claim that “the field is merely a bookkeeping device” starts to sound uncomfortably cheap.</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 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 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 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 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6"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 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 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 The honest move here isn’t to declare a winner but to ask a sharper question: what is gained, in each specific case, by changing the viewpoint?</w:t>
      </w:r>
    </w:p>
    <w:p>
      <w:pPr>
        <w:spacing w:after="260" w:line="360" w:lineRule="auto"/>
        <w:jc w:val="left"/>
      </w:pPr>
      <w:r>
        <w:rPr>
          <w:rFonts w:ascii="Cambria" w:cs="Cambria" w:eastAsia="Cambria" w:hAnsi="Cambria"/>
          <w:i w:val="false"/>
          <w:iCs w:val="false"/>
          <w:sz w:val="24"/>
          <w:szCs w:val="24"/>
        </w:rPr>
        <w:t xml:space="preserve">Here is one way to hold both halves of that answer at once, borrowed from something more mundane than physics. Imagine a complicated financial transaction involving thousands of people. You could track every individual account separately, transaction by transaction. Or you could build an intermediate accounting system that records the flow of funds between departments, without needing to reference any one person’s account directly. That accounting system is not a person, and it would be strange to worry that it might be secretly alive. But it is not meaningless either: it captures real constraints, real conservation laws, real structure in how money moves. The electromagnetic field can be viewed, at least in part, in this spirit: a local bookkeeping system, telling you what’s happening at every point in spacetime, letting you write conservation laws locally rather than only globally, providing a natural relativistic description, and, once quantized, giving you photons as a bonus. Calling it a bookkeeper does not mean calling it imaginary.</w:t>
      </w:r>
    </w:p>
    <w:p>
      <w:pPr>
        <w:spacing w:after="260" w:line="360" w:lineRule="auto"/>
        <w:jc w:val="left"/>
      </w:pPr>
      <w:r>
        <w:rPr>
          <w:rFonts w:ascii="Cambria" w:cs="Cambria" w:eastAsia="Cambria" w:hAnsi="Cambria"/>
          <w:i w:val="false"/>
          <w:iCs w:val="false"/>
          <w:sz w:val="24"/>
          <w:szCs w:val="24"/>
        </w:rPr>
        <w:t xml:space="preserve">Before moving on, one clarification: the phrase “energy stored in the field” invites the kind of philosophical confusion this book keeps trying to head off. A different formulation may legitimately assign the very same total energy differently than the standard field picture does — emphasizing interaction terms between charges, say, rather than crediting an independent field with carrying energy of its own. But a different bookkeeping convention is not the same thing as energy disappearing. Energy conservation survives every reformulation on offer. Momentum conservation survives. Radiation survives, unambiguously, as a real, measurable phenomenon. What actually changes from formulation to formulation is only where the mathematical description chooses to place the corresponding degrees of freedom. That is a legitimate, serious foundational question. It is never permission to quietly stop conserving energy.</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This is where quantum electrodynamics earns its keep in the synthesis.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 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 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 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7"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Here, at the halfway marker, is what the full machinery of quantum electrodynamics contributes that the phase-and-potential story built so far does not yet contain on its own.</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 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 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 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 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 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r>
        <w:rPr>
          <w:rFonts w:ascii="Cambria" w:cs="Cambria" w:eastAsia="Cambria" w:hAnsi="Cambria"/>
          <w:i w:val="false"/>
          <w:iCs w:val="false"/>
          <w:sz w:val="24"/>
          <w:szCs w:val="24"/>
          <w:vertAlign w:val="superscript"/>
        </w:rPr>
        <w:t xml:space="preserve">6</w:t>
      </w:r>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 And the electron’s own magnetic moment, corrected by QED to roughly ten decimal places and confirmed by experiment to that same staggering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 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The electromagnetic potential has been used rather casually up to this point, as a quantity that “enters the phase” without much said about the mechanism. Look closer, though, and the underlying idea turns out to be genuinely geometric — and once seen this way, several loose threads from earlier chapters tie together at once.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 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Here’s the geometric version of that job description. Think first of something much more mundane: comparing clocks across time zones. A clock in London and a clock in Tokyo can each be running perfectly, keeping perfect local time, and yet simply reading “3:00” on both of them tells you nothing about whether the two moments are simultaneous — you need an additional piece of information, the time-zone offset, to translate one clock’s reading into the other’s frame of reference before any comparison is meaningful. The offset isn’t a property of either clock — it’s a rule for comparing them.</w:t>
      </w:r>
    </w:p>
    <w:p>
      <w:pPr>
        <w:spacing w:after="260" w:line="360" w:lineRule="auto"/>
        <w:jc w:val="left"/>
      </w:pPr>
      <w:r>
        <w:rPr>
          <w:rFonts w:ascii="Cambria" w:cs="Cambria" w:eastAsia="Cambria" w:hAnsi="Cambria"/>
          <w:i w:val="false"/>
          <w:iCs w:val="false"/>
          <w:sz w:val="24"/>
          <w:szCs w:val="24"/>
        </w:rPr>
        <w:t xml:space="preserve">Now suppose a quantum wave function’s phase convention is allowed to vary independently from point to point in space — an entirely reasonable thing to permit, since phase convention was never physically meaningful at a single point to begin with, in the same way one clock’s raw reading was never meaningful without the offset attached to it. Once you allow that freedom, an ordinary derivative of the wave function stops transforming in a simple, well-behaved way from point to point. To repair that, you need a compensating object,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that tells you how to properly compare phase at one point with phase at a neighboring point. 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 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 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30"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 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 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 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 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 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31"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The word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has been used rather casually for a few hundred pages now — time to pause and ask what it should mean, because the answer turns out to depend entirely on what question is being asked.</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 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 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 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 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 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 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2"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introduced the electromagnetic potential as a connection — an object that tells a quantum phase how to be compared consistently from one point to the next, with the field itself showing up as that connection’s curvature. Push that idea one step further and it explains something that looks, at first glance, completely unrelated: why a field carrying electric charge must couple to the electromagnetic connection in the way it does, and why the resulting charge current is conserved so absolutely that nobody has ever seen a violation. (Local gauge invariance doesn’t explain why nature chose this particular charge spectrum, or why the electron’s charge has the numerical value it does — only the structure of the coupling once a field’s charge is specified.)</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 This is the same comparison problem the London and Tokyo clocks illustrated in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proved in 1915 (published in 1918)</w:t>
      </w:r>
      <w:r>
        <w:rPr>
          <w:rFonts w:ascii="Cambria" w:cs="Cambria" w:eastAsia="Cambria" w:hAnsi="Cambria"/>
          <w:i w:val="false"/>
          <w:iCs w:val="false"/>
          <w:sz w:val="24"/>
          <w:szCs w:val="24"/>
          <w:vertAlign w:val="superscript"/>
        </w:rPr>
        <w:t xml:space="preserve">7</w:t>
      </w:r>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 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 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7">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 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5">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 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 The classical trajectory becomes statistically overwhelming not because nature secretly prefers it, but because it sits at the center of the one narrow bundle of histories whose contributions survive the interference intact. 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5" w:id="1"/>
      <w:r>
        <w:rPr>
          <w:rFonts w:ascii="Amazon Ember" w:cs="Amazon Ember" w:eastAsia="Amazon Ember" w:hAnsi="Amazon Ember"/>
          <w:b/>
          <w:bCs/>
          <w:color w:val="0000FF"/>
          <w:sz w:val="36"/>
          <w:szCs w:val="36"/>
        </w:rPr>
        <w:t xml:space="preserve">26. Magnetism Is Relativity in Disguise</w:t>
      </w:r>
      <w:bookmarkEnd w:id="1"/>
    </w:p>
    <w:p>
      <w:pPr>
        <w:spacing w:after="260" w:line="360" w:lineRule="auto"/>
        <w:jc w:val="left"/>
      </w:pPr>
      <w:r>
        <w:rPr>
          <w:rFonts w:ascii="Cambria" w:cs="Cambria" w:eastAsia="Cambria" w:hAnsi="Cambria"/>
          <w:i w:val="false"/>
          <w:iCs w:val="false"/>
          <w:sz w:val="24"/>
          <w:szCs w:val="24"/>
        </w:rPr>
        <w:t xml:space="preserve">There’s a small, often-memorized fact about electromagnetism that becomes much more interesting once you have the action-and-phase picture in hand: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and a force perpendicular to velocity does zero work: it can bend a particle’s path without ever changing its speed. That’s why a charged particle spirals endlessly around a magnetic field line without gaining or losing kinetic energy in the process; the magnetic field reshapes momentum without ever touching energy, while the electric field is the one that does that job. The numbers involved make the split almost absurd on their own: electrons drifting through an ordinary copper wire move at a genuinely pedestrian pace, something like a millimeter per second, slower than a snail. The relativistic length contraction on a single electron moving that slowly is almost too small to name: something like one part in two hundred billion trillion, far beyond anything any instrument on Earth could ever measure directly on a single electron. An ordinary current-carrying wire, though, contains on the order of a hundred billion trillion conduction electrons. The mechanism isn’t simply that many tiny individual effects get added up one electron at a time: worked out carefully, the moving electrons and the stationary positive lattice ions contract by very slightly different amounts when viewed from a frame moving along with the drifting electrons, throwing their charge densities out of balance in that electron rest frame and producing a net electric field there — the very field an observer at rest with the wire calls magnetic. But the scale of the numbers still carries the point: an effect too small to measure on any single electron, spread across that many charge carriers, is enough, in the right geometry, to lift a car with an electromagnet. Magnetism is part of the very same electromagnetic field as electricity, described from a different reference frame. In the phase-centered picture, this split follows naturally from which piece of the four-potential is doing the work — the vector potential drives magnetic effects, the scalar potential drives energy directly — rather than needing to be memorized as two disconnected facts about two different kinds of force.</w:t>
      </w:r>
    </w:p>
    <w:p>
      <w:pPr>
        <w:spacing w:after="260" w:line="360" w:lineRule="auto"/>
        <w:jc w:val="left"/>
      </w:pPr>
      <w:r>
        <w:rPr>
          <w:rFonts w:ascii="Cambria" w:cs="Cambria" w:eastAsia="Cambria" w:hAnsi="Cambria"/>
          <w:i w:val="false"/>
          <w:iCs w:val="false"/>
          <w:sz w:val="24"/>
          <w:szCs w:val="24"/>
        </w:rPr>
        <w:t xml:space="preserve">There’s a deeper reason for the split, and it’s one of the most startling facts in classical physics, startling enough that it is, historically, the very fact that launched special relativity in the first place. Einstein’s 1905 paper introducing relativity carried no title about clocks or light beams — it was titled “On the Electrodynamics of Moving Bodies,” and its opening paragraph worries specifically about the asymmetry textbooks of the day used to describe a magnet and a wire loop moving relative to each other: physicists calculated a magnetic force in one case and an electric force in the other, depending purely on which of the two objects was labeled “moving,” even though only the relative motion between them was ever actually measurable. Einstein’s resolution was to insist the physics could not depend on that arbitrary labeling — and chasing that single insistence to its logical end produced the whole of special relativity as a side effect. Rather than two separate forces that happen to share a family name, electric and magnetic fields are two faces of one underlying object, and which face you see depends entirely on how you, the observer, happen to be moving. A charge distribution that looks purely electric in one reference frame can produce both electric and magnetic fields in a different frame moving relative to the first: magnetism, in this precise sense, is what electricity looks like once relativity gets involved. The electromagnetic field tensor from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for this reason, and the four-potential does the same for the scalar and vector potentials that generate them: instead of four seemingly unrelated functions, special relativity reveals one spacetime quantity, viewed differently by different observers. The theory becomes simpler, not more complicated, the moment it’s written in the language spacetime symmetry demands — a recurring lesson: finding the right variables tends to reveal a unity that the wrong variables hide completely. Both Feynman and Mead were, in their own ways, searching for such variables; gauge theory and relativity are where that search pays off.</w:t>
      </w:r>
    </w:p>
    <w:p>
      <w:pPr>
        <w:spacing w:after="260" w:line="360" w:lineRule="auto"/>
        <w:jc w:val="left"/>
      </w:pPr>
      <w:r>
        <w:rPr>
          <w:rFonts w:ascii="Cambria" w:cs="Cambria" w:eastAsia="Cambria" w:hAnsi="Cambria"/>
          <w:i w:val="false"/>
          <w:iCs w:val="false"/>
          <w:sz w:val="24"/>
          <w:szCs w:val="24"/>
        </w:rPr>
        <w:t xml:space="preserve">This same relativistic structure explains why electromagnetic radiation propagates at precisely the speed it does. Historically, discovering that Maxwell’s equations in vacuum predict a wave speed of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was one of the great clues that light itself is an electromagnetic phenomenon, and the discovery was stranger than it might look now: μ₀ and ε₀ were each measured independently, in thoroughly mundane laboratory setups that had nothing to do with light at all: the force between two current-carrying wires for one, the attraction between charged plates for the other. Multiply the two measurements together, take the square root, invert it, and the result matched the already-known speed of light to within about one percent — a coincidence far too precise to be a coincidence, and the moment Maxwell realized exactly that is arguably one of the great “wait, what?” instants in the history of physics. The modern understanding runs deeper still: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the structure of spacetime itself, not just the speed of one particular kind of wave that happens to be electromagnetic; the electromagnetic field propagates at that speed because it is a relativistic field with zero mass. The same constant governs the relationship between energy and momentum, appears throughout the Lorentz transformations, and shows up again in QED’s description of the photon. These are different expressions of one underlying relativistic symmetry, not separate coincidences that happen to share a symbol, and nowhere is that symmetry stranger than in the one object built entirely out of it. A photon is massless and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which means there is no reference frame anywhere in which a photon is at rest. But “rest” only makes sense for objects that can be assigned an ordinary, timelike trajectory through spacetime, and a photon’s trajectory is null, its spacetime interval exactly zero — which makes it a fundamentally different kind of object from an electron, even though both are, in the end, quantum excitations of their respective fields. The word “particle” is doing a lot of quiet work covering over that difference — a photon is not a tiny ball with a conventional rest frame waiting to be found if you just chase it fast enough. Its quantum state is part of the relativistic electromagnetic field from the ground up, and the classical electromagnetic wave familiar from </w:t>
      </w:r>
      <w:r>
        <w:rPr>
          <w:rFonts w:ascii="Cambria" w:cs="Cambria" w:eastAsia="Cambria" w:hAnsi="Cambria"/>
          <w:i w:val="false"/>
          <w:iCs w:val="false"/>
          <w:sz w:val="24"/>
          <w:szCs w:val="24"/>
        </w:rPr>
        <w:t xml:space="preserve">Chapter </w:t>
      </w:r>
      <w:hyperlink w:history="1" w:anchor="toc20">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beam is the large-scale limit of those quantum degrees of freedom.</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 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Once the ether is gone for good, though, the vacuum itself becomes philosophically interesting rather than simply empty. In quantum field theory, “vacuum” does not mean the absence of everything: it means the lowest-energy state of every field in the theory, and the electromagnetic field exists as a quantum degree of freedom even when not a single real photon is present, just as the electron field exists even when no electrons happen to be around. The vacuum, in this precise sense, has structure: correlations and fluctuations constrained by the theory, capable of leaving measurable fingerprints. The Casimir effect is the cleanest illustration available. Place two conducting plates very close together in vacuum, and quantum electrodynamics predicts a real, measurable force pulling them together. Hendrik Casimir worked out the prediction in 1948</w:t>
      </w:r>
      <w:r>
        <w:rPr>
          <w:rFonts w:ascii="Cambria" w:cs="Cambria" w:eastAsia="Cambria" w:hAnsi="Cambria"/>
          <w:i w:val="false"/>
          <w:iCs w:val="false"/>
          <w:sz w:val="24"/>
          <w:szCs w:val="24"/>
          <w:vertAlign w:val="superscript"/>
        </w:rPr>
        <w:t xml:space="preserve">8</w:t>
      </w:r>
      <w:r>
        <w:rPr>
          <w:rFonts w:ascii="Cambria" w:cs="Cambria" w:eastAsia="Cambria" w:hAnsi="Cambria"/>
          <w:i w:val="false"/>
          <w:iCs w:val="false"/>
          <w:sz w:val="24"/>
          <w:szCs w:val="24"/>
        </w:rPr>
        <w:t xml:space="preserve">; the force is vanishingly small at any separation a human hand could perceive, scaling roughly as the inverse fourth power of the gap between the plates, which is why it took until 1997 for an experiment to confirm the predicted force to good precision, by which point it had gone from an exotic theoretical curiosity to a real engineering nuisance, since the same effect can make the microscopic moving parts of certain silicon devices stick together if they’re built too close to one another. The popular explanation — that the plates exclude certain vacuum fluctuations from the gap between them, leaving an imbalance — is a useful picture, and also one that can mislead if taken too literally, since what’s actually changing is the allowed structure of electromagnetic modes in that confined region, and therefore the energy of the configuration, from which the force follows directly. The lesson generalizes past this one experiment: what matters is not a literal swarm of particles buzzing through supposedly empty space, but which quantum states are allowed, and how their energies depend on the boundaries constraining them — the same lesson, in fact, that a wave in a box, a string fixed at both ends, or a superconducting loop with its quantized phase has already been teaching throughout this book. The universe cares not only what happens at each individual point, but how those points fit together.</w:t>
      </w:r>
    </w:p>
    <w:p>
      <w:pPr>
        <w:pStyle w:val="Heading2"/>
        <w:pageBreakBefore/>
        <w:spacing w:after="240" w:before="0"/>
        <w:jc w:val="center"/>
      </w:pPr>
      <w:bookmarkStart w:name="toc36"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 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 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 They pack themselves into a strikingly regular triangular lattice, first predicted mathematically by Alexei Abrikosov</w:t>
      </w:r>
      <w:r>
        <w:rPr>
          <w:rFonts w:ascii="Cambria" w:cs="Cambria" w:eastAsia="Cambria" w:hAnsi="Cambria"/>
          <w:i w:val="false"/>
          <w:iCs w:val="false"/>
          <w:sz w:val="24"/>
          <w:szCs w:val="24"/>
          <w:vertAlign w:val="superscript"/>
        </w:rPr>
        <w:t xml:space="preserve">9</w:t>
      </w:r>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r>
        <w:rPr>
          <w:rFonts w:ascii="Cambria" w:cs="Cambria" w:eastAsia="Cambria" w:hAnsi="Cambria"/>
          <w:i w:val="false"/>
          <w:iCs w:val="false"/>
          <w:sz w:val="24"/>
          <w:szCs w:val="24"/>
          <w:vertAlign w:val="superscript"/>
        </w:rPr>
        <w:t xml:space="preserve">10</w:t>
      </w:r>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 Wrap a closed loop around it, the kind of loop used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 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 “Quantum”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 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 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7"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One equation has been deliberately postponed until now — not because it’s unimportant, but because it’s important enough to deserve a reader who already understands what it means before seeing it written down.</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schematically,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 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 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 This is the literal mathematical machinery of QED, not an analogy dressed up to look like real physics.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 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 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 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 The warning from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1">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 The mathematics can be rearranged this way. But the caution from </w:t>
      </w:r>
      <w:r>
        <w:rPr>
          <w:rFonts w:ascii="Cambria" w:cs="Cambria" w:eastAsia="Cambria" w:hAnsi="Cambria"/>
          <w:i w:val="false"/>
          <w:iCs w:val="false"/>
          <w:sz w:val="24"/>
          <w:szCs w:val="24"/>
        </w:rPr>
        <w:t xml:space="preserve">Part </w:t>
      </w:r>
      <w:hyperlink w:history="1" w:anchor="toc21">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 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 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 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 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r>
        <w:rPr>
          <w:rFonts w:ascii="Cambria" w:cs="Cambria" w:eastAsia="Cambria" w:hAnsi="Cambria"/>
          <w:i w:val="false"/>
          <w:iCs w:val="false"/>
          <w:sz w:val="24"/>
          <w:szCs w:val="24"/>
        </w:rPr>
        <w:t xml:space="preserve"> 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 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 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 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41"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 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 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 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exact same minimal-coupling structure baked into the covariant derivative that opened this entire Part.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 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 This is why emergence, throughout this book, has meant organization, not mere averaging — and organization is what makes new physical laws possible.</w:t>
      </w:r>
    </w:p>
    <w:p>
      <w:pPr>
        <w:pStyle w:val="Heading2"/>
        <w:pageBreakBefore/>
        <w:spacing w:after="240" w:before="0"/>
        <w:jc w:val="center"/>
      </w:pPr>
      <w:bookmarkStart w:name="toc42"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Every thread this book has been pulling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ties into a single knot. Time to write it down explicitly, rather than leave it implicit any longer. The same mathematical relationship — phase gradient, corrected by the electromagnetic potential — appears identically at both ends of the story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told:</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The same combination sits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The point is that they are looking at the same combination.</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The identical combination, ħ∇θ − qA, sits inside one electron’s covariant derivative at the microscopic scale and inside a coherent supercurrent at the macroscopic scale — the book’s central bridge, appearing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 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 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 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 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 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 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3"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There is a tempting way to carve this whole book into two rival camps. One side says electromagnetism is fundamentally about fields and photons. The other says it’s fundamentally about potentials and quantum phase. Stated that way, it sounds like a real dispute, one this book ought to eventually settle in favor of a winner. The photon and the phase belong to the very same quantum theory, though: a photon is a quantum excitation of the electromagnetic field, and a charged quantum state acquires phase through its coupling to that same field, as the covariant derivative in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 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 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 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 This is one of the clearest experimental demonstrations that quantum interference does not require a classical crowd of photons.</w:t>
      </w:r>
      <w:r>
        <w:rPr>
          <w:rFonts w:ascii="Cambria" w:cs="Cambria" w:eastAsia="Cambria" w:hAnsi="Cambria"/>
          <w:i w:val="false"/>
          <w:iCs w:val="false"/>
          <w:sz w:val="24"/>
          <w:szCs w:val="24"/>
          <w:vertAlign w:val="superscript"/>
        </w:rPr>
        <w:t xml:space="preserve">11</w:t>
      </w:r>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 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 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 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5"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Everything so far has treated matter and the electromagnetic field as two sectors of one theory, largely kept at arm’s length from each other for clarity’s sake. It’s time to let them interact explicitly and see what that interaction looks like up close.</w:t>
      </w:r>
    </w:p>
    <w:p>
      <w:pPr>
        <w:spacing w:after="260" w:line="360" w:lineRule="auto"/>
        <w:jc w:val="left"/>
      </w:pPr>
      <w:r>
        <w:rPr>
          <w:rFonts w:ascii="Cambria" w:cs="Cambria" w:eastAsia="Cambria" w:hAnsi="Cambria"/>
          <w:i w:val="false"/>
          <w:iCs w:val="false"/>
          <w:sz w:val="24"/>
          <w:szCs w:val="24"/>
        </w:rPr>
        <w:t xml:space="preserve">Picture an atom sitting in otherwise empty space, in some excited energy state, eventually emitting a photon and dropping to a lower level. The textbook version of this story (the atom jumps down and emits a photon) is correct as far as it goes, and far less complete than it sounds. What actually determines the probability that emission happens at all is the quantum electromagnetic field the atom is coupled to: which electromagnetic modes are available, how strongly the atom couples to each of them, what the surrounding environment looks like. Put the same atom inside a cavity, and its emission rate can change measurably; modify the electromagnetic environment further, and spontaneous emission can be enhanced or suppressed almost at will.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 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 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 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 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 “The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6"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 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 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 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7"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 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 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 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 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 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 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 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 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 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predicts a specific value for its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QED says: not quite. Quantum corrections shift it by a small, precisely calculable amount, conventionally written as the anomalous magnetic moment,</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QED predicts this quantity to better than one part in a billion, and experiment agrees with that prediction to nearly the same extraordinary precision</w:t>
      </w:r>
      <w:r>
        <w:rPr>
          <w:rFonts w:ascii="Cambria" w:cs="Cambria" w:eastAsia="Cambria" w:hAnsi="Cambria"/>
          <w:i w:val="false"/>
          <w:iCs w:val="false"/>
          <w:sz w:val="24"/>
          <w:szCs w:val="24"/>
          <w:vertAlign w:val="superscript"/>
        </w:rPr>
        <w:t xml:space="preserve">12</w:t>
      </w:r>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 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 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 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 The simplicity lives entirely at the level of the fundamental rule. All the complexity anyone experiences lives in the solutions.</w:t>
      </w:r>
    </w:p>
    <w:p>
      <w:pPr>
        <w:pStyle w:val="Heading2"/>
        <w:pageBreakBefore/>
        <w:spacing w:after="240" w:before="0"/>
        <w:jc w:val="center"/>
      </w:pPr>
      <w:bookmarkStart w:name="toc50"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This machinery hasn’t quietly displaced the phase-centered story this book opened with: nothing has changed there at all. Every quantum amplitude still carries phase; every Feynman diagram is still a contribution to one amplitude; different diagrams still interfere with each other as different paths interfered back in </w:t>
      </w:r>
      <w:r>
        <w:rPr>
          <w:rFonts w:ascii="Cambria" w:cs="Cambria" w:eastAsia="Cambria" w:hAnsi="Cambria"/>
          <w:i w:val="false"/>
          <w:iCs w:val="false"/>
          <w:sz w:val="24"/>
          <w:szCs w:val="24"/>
        </w:rPr>
        <w:t xml:space="preserve">Chapter </w:t>
      </w:r>
      <w:hyperlink w:history="1" w:anchor="toc15">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Vacuum polarization, dressing, the anomalous magnetic moment don’t abolish phase — they enrich the set of amplitudes whose phases have to be combined to get an answer. At its strongest, the phase-centered picture has always been a way of understanding what QED’s own mathematical machinery is doing underneath the calculation — not a rival theory competing with QED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 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 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 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 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 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 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 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51"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 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 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 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 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5">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 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 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 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 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 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 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 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 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2"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 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 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 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r>
        <w:rPr>
          <w:rFonts w:ascii="Cambria" w:cs="Cambria" w:eastAsia="Cambria" w:hAnsi="Cambria"/>
          <w:i w:val="false"/>
          <w:iCs w:val="false"/>
          <w:sz w:val="24"/>
          <w:szCs w:val="24"/>
          <w:vertAlign w:val="superscript"/>
        </w:rPr>
        <w:t xml:space="preserve">13</w:t>
      </w:r>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The resulting current, familiar from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 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 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a relationship measured precisely enough that it now defines the volt itself in the modern SI system. Without this relation, a Josephson junction would be nothing more than an unusually nonlinear inductor. With it, phase becomes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 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4"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 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 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 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 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5"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 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 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 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 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The most natural way to hold the whole synthesis in your head at once might be as an imagined conversation, so here it is, staged directly. Feynman opens: </w:t>
      </w:r>
      <w:r>
        <w:rPr>
          <w:rFonts w:ascii="Cambria Math" w:cs="Cambria Math" w:eastAsia="Cambria Math" w:hAnsi="Cambria Math"/>
          <w:i/>
          <w:iCs/>
          <w:sz w:val="24"/>
          <w:szCs w:val="24"/>
        </w:rPr>
        <w:t xml:space="preserve">start with quantum amplitudes, add the electromagnetic interaction, sum over every possibility.</w:t>
      </w:r>
      <w:r>
        <w:rPr>
          <w:rFonts w:ascii="Cambria" w:cs="Cambria" w:eastAsia="Cambria" w:hAnsi="Cambria"/>
          <w:i w:val="false"/>
          <w:iCs w:val="false"/>
          <w:sz w:val="24"/>
          <w:szCs w:val="24"/>
        </w:rPr>
        <w:t xml:space="preserve"> Mead answers: </w:t>
      </w:r>
      <w:r>
        <w:rPr>
          <w:rFonts w:ascii="Cambria Math" w:cs="Cambria Math" w:eastAsia="Cambria Math" w:hAnsi="Cambria Math"/>
          <w:i/>
          <w:iCs/>
          <w:sz w:val="24"/>
          <w:szCs w:val="24"/>
        </w:rPr>
        <w:t xml:space="preserve">good — now watch what happens once an enormous number of those quantum degrees of freedom become coherent. The phase itself becomes the macroscopic variable.</w:t>
      </w:r>
      <w:r>
        <w:rPr>
          <w:rFonts w:ascii="Cambria" w:cs="Cambria" w:eastAsia="Cambria" w:hAnsi="Cambria"/>
          <w:i w:val="false"/>
          <w:iCs w:val="false"/>
          <w:sz w:val="24"/>
          <w:szCs w:val="24"/>
        </w:rPr>
        <w:t xml:space="preserve"> Feynman: </w:t>
      </w:r>
      <w:r>
        <w:rPr>
          <w:rFonts w:ascii="Cambria Math" w:cs="Cambria Math" w:eastAsia="Cambria Math" w:hAnsi="Cambria Math"/>
          <w:i/>
          <w:iCs/>
          <w:sz w:val="24"/>
          <w:szCs w:val="24"/>
        </w:rPr>
        <w:t xml:space="preserve">fine, but don’t forget the electromagnetic field is quantum too.</w:t>
      </w:r>
      <w:r>
        <w:rPr>
          <w:rFonts w:ascii="Cambria" w:cs="Cambria" w:eastAsia="Cambria" w:hAnsi="Cambria"/>
          <w:i w:val="false"/>
          <w:iCs w:val="false"/>
          <w:sz w:val="24"/>
          <w:szCs w:val="24"/>
        </w:rPr>
        <w:t xml:space="preserve"> Mead: </w:t>
      </w:r>
      <w:r>
        <w:rPr>
          <w:rFonts w:ascii="Cambria Math" w:cs="Cambria Math" w:eastAsia="Cambria Math" w:hAnsi="Cambria Math"/>
          <w:i/>
          <w:iCs/>
          <w:sz w:val="24"/>
          <w:szCs w:val="24"/>
        </w:rPr>
        <w:t xml:space="preserve">and don’t forget that in plenty of collective problems, you can understand the physics without ever making an independently existing field the center of the story.</w:t>
      </w:r>
      <w:r>
        <w:rPr>
          <w:rFonts w:ascii="Cambria" w:cs="Cambria" w:eastAsia="Cambria" w:hAnsi="Cambria"/>
          <w:i w:val="false"/>
          <w:iCs w:val="false"/>
          <w:sz w:val="24"/>
          <w:szCs w:val="24"/>
        </w:rPr>
        <w:t xml:space="preserve"> Wheeler and Feynman walk in together: </w:t>
      </w:r>
      <w:r>
        <w:rPr>
          <w:rFonts w:ascii="Cambria Math" w:cs="Cambria Math" w:eastAsia="Cambria Math" w:hAnsi="Cambria Math"/>
          <w:i/>
          <w:iCs/>
          <w:sz w:val="24"/>
          <w:szCs w:val="24"/>
        </w:rPr>
        <w:t xml:space="preserve">why assume the field has to be an independent actor at all?</w:t>
      </w:r>
      <w:r>
        <w:rPr>
          <w:rFonts w:ascii="Cambria" w:cs="Cambria" w:eastAsia="Cambria" w:hAnsi="Cambria"/>
          <w:i w:val="false"/>
          <w:iCs w:val="false"/>
          <w:sz w:val="24"/>
          <w:szCs w:val="24"/>
        </w:rPr>
        <w:t xml:space="preserve"> Gauge theory interrupts from the back of the room: </w:t>
      </w:r>
      <w:r>
        <w:rPr>
          <w:rFonts w:ascii="Cambria Math" w:cs="Cambria Math" w:eastAsia="Cambria Math" w:hAnsi="Cambria Math"/>
          <w:i/>
          <w:iCs/>
          <w:sz w:val="24"/>
          <w:szCs w:val="24"/>
        </w:rPr>
        <w:t xml:space="preserve">because the potential is exactly the connection required to compare phases consistently from point to point.</w:t>
      </w:r>
      <w:r>
        <w:rPr>
          <w:rFonts w:ascii="Cambria" w:cs="Cambria" w:eastAsia="Cambria" w:hAnsi="Cambria"/>
          <w:i w:val="false"/>
          <w:iCs w:val="false"/>
          <w:sz w:val="24"/>
          <w:szCs w:val="24"/>
        </w:rPr>
        <w:t xml:space="preserve"> Renormalization sighs, from wherever renormalization sits: </w:t>
      </w:r>
      <w:r>
        <w:rPr>
          <w:rFonts w:ascii="Cambria Math" w:cs="Cambria Math" w:eastAsia="Cambria Math" w:hAnsi="Cambria Math"/>
          <w:i/>
          <w:iCs/>
          <w:sz w:val="24"/>
          <w:szCs w:val="24"/>
        </w:rPr>
        <w:t xml:space="preserve">you’re all arguing about the wrong scale.</w:t>
      </w:r>
      <w:r>
        <w:rPr>
          <w:rFonts w:ascii="Cambria" w:cs="Cambria" w:eastAsia="Cambria" w:hAnsi="Cambria"/>
          <w:i w:val="false"/>
          <w:iCs w:val="false"/>
          <w:sz w:val="24"/>
          <w:szCs w:val="24"/>
        </w:rPr>
        <w:t xml:space="preserve"> And classical electromagnetism, sitting quietly in the corner the whole time, adds: </w:t>
      </w:r>
      <w:r>
        <w:rPr>
          <w:rFonts w:ascii="Cambria Math" w:cs="Cambria Math" w:eastAsia="Cambria Math" w:hAnsi="Cambria Math"/>
          <w:i/>
          <w:iCs/>
          <w:sz w:val="24"/>
          <w:szCs w:val="24"/>
        </w:rPr>
        <w:t xml:space="preserve">whatever the rest of you decide, my equations still work.</w:t>
      </w:r>
      <w:r>
        <w:rPr>
          <w:rFonts w:ascii="Cambria" w:cs="Cambria" w:eastAsia="Cambria" w:hAnsi="Cambria"/>
          <w:i w:val="false"/>
          <w:iCs w:val="false"/>
          <w:sz w:val="24"/>
          <w:szCs w:val="24"/>
        </w:rPr>
        <w:t xml:space="preserve"> Everyone in the room is a little annoyed. Everyone in the room is right about something. That, as much as anything else this book has offered, is what physics actually is.</w:t>
      </w:r>
    </w:p>
    <w:p>
      <w:pPr>
        <w:spacing w:after="260" w:line="360" w:lineRule="auto"/>
        <w:jc w:val="left"/>
      </w:pPr>
      <w:r>
        <w:rPr>
          <w:rFonts w:ascii="Cambria" w:cs="Cambria" w:eastAsia="Cambria" w:hAnsi="Cambria"/>
          <w:i w:val="false"/>
          <w:iCs w:val="false"/>
          <w:sz w:val="24"/>
          <w:szCs w:val="24"/>
        </w:rPr>
        <w:t xml:space="preserve">The real achievement here was learning, chapter by chapter, why each voice exists in the first place, not finding one sentence that makes them all agree. That is what genuine understanding looks like, as opposed to its cheaper imitation. This book began with the familiar world of electric and magnetic forces, passed through potentials, discovered quantum phase, worked through the Aharonov–Bohm effect, met superconducting loops, entered full QED, learned what photons and virtual photons mean, survived vacuum polarization and renormalization, and finally arrived at a concrete superconducting circuit where all of it operates at once, measurably, in one piece of laboratory apparatus. Two centuries of apparently unrelated discoveries turn out to be a hierarchy of quantum relationships, one whose large-scale manifestations can look, from the outside, like wildly different subjects, without ever quite being one.</w:t>
      </w:r>
    </w:p>
    <w:p>
      <w:pPr>
        <w:spacing w:after="260" w:line="360" w:lineRule="auto"/>
        <w:jc w:val="left"/>
      </w:pPr>
      <w:r>
        <w:rPr>
          <w:rFonts w:ascii="Cambria" w:cs="Cambria" w:eastAsia="Cambria" w:hAnsi="Cambria"/>
          <w:i w:val="false"/>
          <w:iCs w:val="false"/>
          <w:sz w:val="24"/>
          <w:szCs w:val="24"/>
        </w:rPr>
        <w:t xml:space="preserve">At the very beginning, the goal was a synthesis of Feynman and Mead that an ordinary, curious reader could actually follow. Mead did not derive QED here, QED does not prove Mead’s ontology, and photons and the field have not been argued away anywhere in these pages. What this book has tried to do, chapter after chapter, is show a continuous conceptual path connecting phase, to potential, to interaction, to field, to photon, to collective coherence, to classical electromagnetism, and then make one final, essential point: every arrow in that chain can be traveled in both directions, depending entirely on which question you’re asking. That, and nothing grander than that, is the real merger this book set out to build;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draws the full boundary around it.</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6"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to roughly ten decimal places back in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 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 At low energies this recovers the familiar Coulomb field exactly,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 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 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 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8"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Particles here are created and destroyed, not just rearranged, and that richer ontology draws a sharp boundary around the whole synthesis — a boundary that runs in both directions at once. A collective superconducting theory can describe the low-energy coherent behavior of matter beautifully. It cannot describe electron-positron creation, high-energy scattering, or the radiative corrections covered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 not because the collective approach has failed at something it was trying to do, but because those phenomena involve degrees of freedom the collective theory deliberately integrated away in </w:t>
      </w:r>
      <w:r>
        <w:rPr>
          <w:rFonts w:ascii="Cambria" w:cs="Cambria" w:eastAsia="Cambria" w:hAnsi="Cambria"/>
          <w:i w:val="false"/>
          <w:iCs w:val="false"/>
          <w:sz w:val="24"/>
          <w:szCs w:val="24"/>
        </w:rPr>
        <w:t xml:space="preserve">Chapter </w:t>
      </w:r>
      <w:hyperlink w:history="1" w:anchor="toc50">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’s sense from the very start. 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 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 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9"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A satisfying picture has been under construction across this book: phase near the center, the potential connecting phase to electromagnetism, the field emerging from the potential’s curvature, collective states making phase visible at macroscopic scale. It is an elegant story, and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 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 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 Wheeler–Feynman absorber theory, introduced with its own warning back in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 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 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31">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 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60"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landmark stations on the climb from bedrock to everyday sight: quantum amplitudes for each path, summed as Feynman diagrams, organized as QED, building atoms and chemistry, producing light and color, and finally reaching a person seeing the world. These are stops along the path, not a box for every step of it — the chapter walks through several more rungs between them, bulk materials and superconducting phase and circuit QED among them. No new fundamental law is inserted going up at any of those in-between steps either — only new collective variables and effective descriptions, emerging at each one.</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7">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 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(This is also where Figure 12’s boxes thin out: the six rungs it draws are landmark stations, not a seat for every step of the climb, and the next several paragraphs — bulk materials, the macroscopic phase, circuit QED — cover ground the figure passes over without drawing.) The microscopic constituents never stop being quantum mechanical for an instant — what changes is which variables are worth tracking. 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30">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4">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 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 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 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9">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 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 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 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 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 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 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 Nobody currently knows which. That uncertainty is the actual, honest shape of the frontier the argument runs up against, not a flaw in the argument itself.</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and a particle stops being a tiny object tracing out a trajectory and becomes, instead, something described by an amplitude (an amplitude with a phase, capable of interfering with other amplitudes belonging to other possibilities), and suddenly the electromagnetic potential becomes impossible to wave away as bookkeeping, because it enters directly into that phase. The Aharonov–Bohm effect makes the connection undeniable in an actual laboratory. A superconducting system takes the next step entirely on its own: the quantum phase turns collective, and something that belonged, by every reasonable expectation, only to the microscopic world becomes a macroscopic variable instead — winding around loops, quantizing flux, turning currents into direct manifestations of coherence you can measure with an ordinary voltmeter. Then the story zooms back in, and the electromagnetic field itself turns out to be quantum: photons appear, Feynman diagrams organize the resulting amplitudes, virtual processes modify the electron, the vacuum polarizes, the charge runs with energy, and renormalization teaches the deepest lesson of the entire middle third of this book — that the description of physics changes systematically with scale. And then the story zooms back out one final time, and classical fields return, waves return, circuits return, antennas return, ordinary light fills an ordinary room exactly as it always did. Nothing along the way was ever contradicted. Only the description changed, chapter by chapter, as the scale changed underneath it — which may be the single deepest lesson this whole book has had to offer.</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 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enough — a technical detail, easily set aside. The first time they learn that a charged quantum state’s phase actually responds to an electromagnetic potential, it sounds like one more equation to memorize and forget. Then they discover an electron can detect magnetic flux in a region it never physically enters. They discover a superconducting ring can trap magnetic flux only in fixed, discrete amounts, never a little more or a little less. They discover that billions of microscopic constituents can share one coherent quantum phase across a device they could hold in one hand. They discover a voltage can be tied directly to how fast that shared phase happens to be changing. They discover light itself arrives in quantum excitations, and that a classical electromagnetic wave can emerge from a sufficiently coherent state of those same excitations. They discover the electromagnetic interaction receives measurable corrections from fluctuations in the vacuum itself. And at some point in that accumulation, the tidy, separate boxes labeled “particle,” “field,” and “interaction” stop looking quite so separate, and quite so tidy. 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That was never a failure of the argument. It’s the reason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 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 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6">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9">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5">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6">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6">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4">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8">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40">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2">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The same combination of phase gradient and potential that sits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6">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9">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QED’s most precisely tested prediction, agreeing with experiment to better than one part in a billion: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50">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3">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 a conversion so exact and so universal that metrology labs now define the volt itself using a Josephson junction as the standard.</w:t>
      </w:r>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 the papers and books behind the dates and names in the text. No page numbers: the point is to let a reader find the source.</w:t>
      </w:r>
    </w:p>
    <w:p>
      <w:pPr>
        <w:spacing w:after="260" w:line="360" w:lineRule="auto"/>
        <w:jc w:val="left"/>
      </w:pPr>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throughout this book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1959) and confirmed experimentally, with steadily tightening precision, most decisively by Akira Tonomura’s group in 1986.</w:t>
      </w:r>
    </w:p>
    <w:p>
      <w:pPr>
        <w:spacing w:after="260" w:line="360" w:lineRule="auto"/>
        <w:jc w:val="left"/>
      </w:pPr>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running through </w:t>
      </w:r>
      <w:r>
        <w:rPr>
          <w:rFonts w:ascii="Cambria" w:cs="Cambria" w:eastAsia="Cambria" w:hAnsi="Cambria"/>
          <w:i w:val="false"/>
          <w:iCs w:val="false"/>
          <w:sz w:val="24"/>
          <w:szCs w:val="24"/>
        </w:rPr>
        <w:t xml:space="preserve">Part </w:t>
      </w:r>
      <w:hyperlink w:history="1" w:anchor="toc3">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and the closed-loop phase requirement underlying it, follow the treatment in Carver Mead’s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 throughout.</w:t>
      </w:r>
    </w:p>
    <w:p>
      <w:pPr>
        <w:spacing w:after="260" w:line="360" w:lineRule="auto"/>
        <w:jc w:val="left"/>
      </w:pPr>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(the work cited in his 1921 Nobel Prize, rather than relativity) appeared in his 1905 paper “Über einen die Erzeugung und Verwandlung des Lichtes betreffenden heuristischen Gesichtspunkt,” the same extraordinary year as his papers on Brownian motion and special relativity.</w:t>
      </w:r>
    </w:p>
    <w:p>
      <w:pPr>
        <w:spacing w:after="260" w:line="360" w:lineRule="auto"/>
        <w:jc w:val="left"/>
      </w:pPr>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of quantum mechanics was developed in his 1942 doctoral thesis and published in its now-standard form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1948).</w:t>
      </w:r>
    </w:p>
    <w:p>
      <w:pPr>
        <w:spacing w:after="260" w:line="360" w:lineRule="auto"/>
        <w:jc w:val="left"/>
      </w:pPr>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of radiation, developed while Feynman was a graduate student working under Wheeler at Princeton, was published across two papers: “Interaction with the Absorber as the Mechanism of Radiation” (1945) and “Classical Electrodynamics in Terms of Direct Interparticle Action” (1949), both in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1947), using surplus wartime radar electronics adapted for precision microwave spectroscopy; the result is widely credited as one of the direct experimental triggers for the development of modern renormalized QED.</w:t>
      </w:r>
    </w:p>
    <w:p>
      <w:pPr>
        <w:spacing w:after="260" w:line="360" w:lineRule="auto"/>
        <w:jc w:val="left"/>
      </w:pPr>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proved in 1915 and published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w:t>
      </w:r>
    </w:p>
    <w:p>
      <w:pPr>
        <w:spacing w:after="260" w:line="360" w:lineRule="auto"/>
        <w:jc w:val="left"/>
      </w:pPr>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(1948) and confirmed to good precision by Steve Lamoreaux in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1997).</w:t>
      </w:r>
    </w:p>
    <w:p>
      <w:pPr>
        <w:spacing w:after="260" w:line="360" w:lineRule="auto"/>
        <w:jc w:val="left"/>
      </w:pPr>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1957) and confirmed experimentally by direct imaging techniques developed over the following decades.</w:t>
      </w:r>
    </w:p>
    <w:p>
      <w:pPr>
        <w:spacing w:after="260" w:line="360" w:lineRule="auto"/>
        <w:jc w:val="left"/>
      </w:pPr>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1931), dates to 1931; no monopole has yet been detected.</w:t>
      </w:r>
    </w:p>
    <w:p>
      <w:pPr>
        <w:spacing w:after="260" w:line="360" w:lineRule="auto"/>
        <w:jc w:val="left"/>
      </w:pPr>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described in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a long experimental tradition of single-photon interference and antibunching studies, including Grangier, Roger, and Aspect’s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1986).</w:t>
      </w:r>
    </w:p>
    <w:p>
      <w:pPr>
        <w:spacing w:after="260" w:line="360" w:lineRule="auto"/>
        <w:jc w:val="left"/>
      </w:pPr>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electron’s anomalous magnetic moment is, as of this writing, confirmed by experiment and predicted by QED to agree to roughly ten significant digits — the product of an ongoing, decades-long program of precision measurement and calculation, commonly cited as one of the most precisely verified quantitative agreements between theory and measurement in the history of science.</w:t>
      </w:r>
    </w:p>
    <w:p>
      <w:pPr>
        <w:spacing w:after="260" w:line="360" w:lineRule="auto"/>
        <w:jc w:val="left"/>
      </w:pPr>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1962), then a twenty-two-year-old graduate student at Cambridge; he shared the 1973 Nobel Prize in Physics for the result.</w:t>
      </w:r>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For readers who want to go past what this book cites in passing, organized roughly by how much background they assume:</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 the source for much of this book’s own restraint about virtual photons and diagrams, and still the finest short account of quantum electrodynamics written for a general reader.</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 the book this whole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for the classical Maxwell’s-equations treatment this book deliberately arrives at backward.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for the BCS and Josephson-junction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for the full relativistic machinery this book only ever shows in outline — the covariant derivative of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in particular, is a single line borrowed from a subject either book spends several hundred pages on properly.</w:t>
      </w:r>
    </w:p>
    <w:p>
      <w:pPr>
        <w:spacing w:after="260" w:line="360" w:lineRule="auto"/>
        <w:jc w:val="left"/>
      </w:pPr>
      <w:r>
        <w:rPr>
          <w:rFonts w:ascii="Cambria" w:cs="Cambria" w:eastAsia="Cambria" w:hAnsi="Cambria"/>
          <w:i w:val="false"/>
          <w:iCs w:val="false"/>
          <w:sz w:val="24"/>
          <w:szCs w:val="24"/>
        </w:rPr>
        <w:t xml:space="preserve">For the two works this book draws on most heavily throughout (Feynman’s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see the recommendations on the following page.</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Two places to go next, depending on which half of it hooked you.</w:t>
      </w:r>
    </w:p>
    <w:p>
      <w:pPr>
        <w:spacing w:after="260" w:line="360" w:lineRule="auto"/>
        <w:jc w:val="left"/>
      </w:pPr>
      <w:r>
        <w:rPr>
          <w:rFonts w:ascii="Cambria" w:cs="Cambria" w:eastAsia="Cambria" w:hAnsi="Cambria"/>
          <w:i w:val="false"/>
          <w:iCs w:val="false"/>
          <w:sz w:val="24"/>
          <w:szCs w:val="24"/>
        </w:rPr>
        <w:t xml:space="preserve">For the wider map this book zoomed in from — entanglement, Bell tests, quantum fields, quantum gravity, the leading interpretations of quantum mechanics, quantum computing and cryptography —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is where this book’s own argument started: as a few thousand words inside its interlude on collective electrodynamics, before that interlude asked for a book of its own.</w:t>
      </w:r>
    </w:p>
    <w:p>
      <w:pPr>
        <w:spacing w:after="260" w:line="360" w:lineRule="auto"/>
        <w:jc w:val="left"/>
      </w:pPr>
      <w:r>
        <w:rPr>
          <w:rFonts w:ascii="Cambria" w:cs="Cambria" w:eastAsia="Cambria" w:hAnsi="Cambria"/>
          <w:i w:val="false"/>
          <w:iCs w:val="false"/>
          <w:sz w:val="24"/>
          <w:szCs w:val="24"/>
        </w:rPr>
        <w:t xml:space="preserve">For the two thinkers this book has spent its length synthesizing, in their own words rather than someone else’s summary of them: Richard Feynman’s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remains the finest short, direct account of quantum electrodynamics ever written for a general reader, decades on. Carver Mead’s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is more demanding and less famous — and is the actual source of the phase-centered argument this book has been making the case for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i w:val="false"/>
          <w:iCs w:val="false"/>
          <w:sz w:val="24"/>
          <w:szCs w:val="24"/>
        </w:rPr>
        <w:t xml:space="preserve">A shelf, if you want the rest of it — from the same author, in whichever direction your curiosity runs next.</w:t>
      </w:r>
    </w:p>
    <w:p>
      <w:pPr>
        <w:spacing w:after="260" w:line="360" w:lineRule="auto"/>
        <w:jc w:val="left"/>
      </w:pPr>
      <w:r>
        <w:rPr>
          <w:rFonts w:ascii="Cambria" w:cs="Cambria" w:eastAsia="Cambria" w:hAnsi="Cambria"/>
          <w:b/>
          <w:bCs/>
          <w:sz w:val="24"/>
          <w:szCs w:val="24"/>
        </w:rPr>
        <w:t xml:space="preserve">Science for Everyone.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2 — Gravity, Cosmology, and the Limits of Spacetime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3 — The Standard Model, Chaos, and the Edge of Knowledge</w:t>
      </w:r>
    </w:p>
    <w:p>
      <w:pPr>
        <w:spacing w:after="260" w:line="360" w:lineRule="auto"/>
        <w:jc w:val="left"/>
      </w:pPr>
      <w:r>
        <w:rPr>
          <w:rFonts w:ascii="Cambria" w:cs="Cambria" w:eastAsia="Cambria" w:hAnsi="Cambria"/>
          <w:b/>
          <w:bCs/>
          <w:sz w:val="24"/>
          <w:szCs w:val="24"/>
        </w:rPr>
        <w:t xml:space="preserve">Also nonfiction.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Mathematics Tower</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Foundations of Electronics</w:t>
      </w:r>
    </w:p>
    <w:p>
      <w:pPr>
        <w:spacing w:after="260" w:line="360" w:lineRule="auto"/>
        <w:jc w:val="left"/>
      </w:pPr>
      <w:r>
        <w:rPr>
          <w:rFonts w:ascii="Cambria" w:cs="Cambria" w:eastAsia="Cambria" w:hAnsi="Cambria"/>
          <w:b/>
          <w:bCs/>
          <w:sz w:val="24"/>
          <w:szCs w:val="24"/>
        </w:rPr>
        <w:t xml:space="preserve">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Relativistic Investigation Bureau</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Schrödinger’s Paperwork</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pPr>
        <w:spacing w:after="260" w:line="360" w:lineRule="auto"/>
        <w:jc w:val="left"/>
      </w:pPr>
      <w:r>
        <w:rPr>
          <w:rFonts w:ascii="Cambria" w:cs="Cambria" w:eastAsia="Cambria" w:hAnsi="Cambria"/>
          <w:i w:val="false"/>
          <w:iCs w:val="false"/>
          <w:sz w:val="24"/>
          <w:szCs w:val="24"/>
        </w:rPr>
        <w:t xml:space="preserve">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w:t>
      </w:r>
      <w:r>
        <w:rPr>
          <w:rFonts w:ascii="Cambria Math" w:cs="Cambria Math" w:eastAsia="Cambria Math" w:hAnsi="Cambria Math"/>
          <w:i/>
          <w:iCs/>
          <w:sz w:val="24"/>
          <w:szCs w:val="24"/>
        </w:rPr>
        <w:t xml:space="preserve">The Quantum Conversation</w:t>
      </w:r>
      <w:r>
        <w:rPr>
          <w:rFonts w:ascii="Cambria" w:cs="Cambria" w:eastAsia="Cambria" w:hAnsi="Cambria"/>
          <w:i w:val="false"/>
          <w:iCs w:val="false"/>
          <w:sz w:val="24"/>
          <w:szCs w:val="24"/>
        </w:rPr>
        <w:t xml:space="preserve"> gave you a new way of seeing something you thought you already understood, the single most useful thing you can do for it is to leave a review where you found it. Reviews are how books like this one — dense, particular, and not obviously commercial — find the handful of readers who were actually looking for them.</w:t>
      </w:r>
    </w:p>
    <w:p>
      <w:pPr>
        <w:spacing w:after="260" w:line="360" w:lineRule="auto"/>
        <w:jc w:val="left"/>
      </w:pPr>
      <w:r>
        <w:rPr>
          <w:rFonts w:ascii="Cambria" w:cs="Cambria" w:eastAsia="Cambria" w:hAnsi="Cambria"/>
          <w:i w:val="false"/>
          <w:iCs w:val="false"/>
          <w:sz w:val="24"/>
          <w:szCs w:val="24"/>
        </w:rPr>
        <w:t xml:space="preserve">A sentence is enough.</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99bfac72edf47c4e5e37616d6c52a487be57e12a.png"/><Relationship Id="rId40" Type="http://schemas.openxmlformats.org/officeDocument/2006/relationships/image" Target="media/833d79f24d3d371bc35e9929be8f42b0963ced15.png"/><Relationship Id="rId41" Type="http://schemas.openxmlformats.org/officeDocument/2006/relationships/image" Target="media/b6ef632e677b298f64453f0feb7d0c5974a57364.png"/><Relationship Id="rId42" Type="http://schemas.openxmlformats.org/officeDocument/2006/relationships/image" Target="media/d1f774cf79875899228f96450788f122ac7790ea.png"/><Relationship Id="rId43" Type="http://schemas.openxmlformats.org/officeDocument/2006/relationships/image" Target="media/c4190cf2ea6b9d57e1708b8c5ee1542195cf1b37.png"/><Relationship Id="rId44" Type="http://schemas.openxmlformats.org/officeDocument/2006/relationships/image" Target="media/5a02f7605f0b6cbd40c51bb77e64dc26a8929eef.png"/><Relationship Id="rId45" Type="http://schemas.openxmlformats.org/officeDocument/2006/relationships/image" Target="media/79da27441518d727e6b0dc3c3bff6efba45f05f9.png"/><Relationship Id="rId46" Type="http://schemas.openxmlformats.org/officeDocument/2006/relationships/image" Target="media/f27349afa3d000e1d1f8fee13b2be57f9c27f521.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2026-09-26T22:13:46.801Z</dcterms:created>
  <dcterms:modified xsi:type="dcterms:W3CDTF">2026-09-26T22:13:46.849Z</dcterms:modified>
</cp:coreProperties>
</file>

<file path=docProps/custom.xml><?xml version="1.0" encoding="utf-8"?>
<Properties xmlns="http://schemas.openxmlformats.org/officeDocument/2006/custom-properties" xmlns:vt="http://schemas.openxmlformats.org/officeDocument/2006/docPropsVTypes"/>
</file>