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C4A35A"/>
          <w:sz w:val="20"/>
          <w:szCs w:val="20"/>
        </w:rPr>
        <w:t xml:space="preserve">PRAXISLEITFADEN</w:t>
      </w:r>
    </w:p>
    <w:p>
      <w:pPr>
        <w:spacing w:after="80"/>
      </w:pPr>
      <w:r>
        <w:rPr>
          <w:rFonts w:ascii="Calibri" w:cs="Calibri" w:eastAsia="Calibri" w:hAnsi="Calibri"/>
          <w:b/>
          <w:bCs/>
          <w:color w:val="1B365D"/>
          <w:sz w:val="52"/>
          <w:szCs w:val="52"/>
        </w:rPr>
        <w:t xml:space="preserve">Auswandern in die USA</w:t>
      </w:r>
    </w:p>
    <w:p>
      <w:pPr>
        <w:spacing w:after="120"/>
      </w:pPr>
      <w:r>
        <w:rPr>
          <w:rFonts w:ascii="Calibri" w:cs="Calibri" w:eastAsia="Calibri" w:hAnsi="Calibri"/>
          <w:color w:val="0F5C6B"/>
          <w:sz w:val="28"/>
          <w:szCs w:val="28"/>
        </w:rPr>
        <w:t xml:space="preserve">Ein Schritt-für-Schritt-Dokument zum Abhaken</w:t>
      </w:r>
    </w:p>
    <w:p>
      <w:pPr>
        <w:spacing w:after="200"/>
      </w:pPr>
      <w:r>
        <w:rPr>
          <w:rFonts w:ascii="Calibri" w:cs="Calibri" w:eastAsia="Calibri" w:hAnsi="Calibri"/>
          <w:b/>
          <w:bCs/>
          <w:color w:val="1B365D"/>
          <w:sz w:val="24"/>
          <w:szCs w:val="24"/>
        </w:rPr>
        <w:t xml:space="preserve">Lothar J. Musiol</w:t>
      </w:r>
    </w:p>
    <w:p>
      <w:pPr>
        <w:spacing w:after="160" w:before="0" w:line="276"/>
      </w:pPr>
      <w:r>
        <w:rPr>
          <w:rFonts w:ascii="Calibri" w:cs="Calibri" w:eastAsia="Calibri" w:hAnsi="Calibri"/>
          <w:i/>
          <w:iCs/>
          <w:color w:val="555555"/>
          <w:sz w:val="22"/>
          <w:szCs w:val="22"/>
        </w:rPr>
        <w:t xml:space="preserve">Stand: Oktober 2026  ·  Für Personen, die aus Deutschland (oder dem deutschsprachigen Raum) in die Vereinigten Staaten ziehen.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F8E8E4"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Kein Rechtsrat – so nutzen Sie dieses Dokument</w:t>
            </w:r>
          </w:p>
          <w:p>
            <w:pPr>
              <w:spacing w:after="60"/>
            </w:pPr>
            <w:r>
              <w:rPr>
                <w:rFonts w:ascii="Calibri" w:cs="Calibri" w:eastAsia="Calibri" w:hAnsi="Calibri"/>
                <w:color w:val="222222"/>
                <w:sz w:val="21"/>
                <w:szCs w:val="21"/>
              </w:rPr>
              <w:t xml:space="preserve">Visa-, Steuer- und Versicherungsregeln ändern sich, in den USA seit 2025 besonders schnell. Dieses Dokument ist eine Arbeitscheckliste, kein Ersatz für Einwanderungsanwalt, Steuerberater oder Versicherer. Jedes rechtliche oder finanzielle Kapitel endet mit einem Kasten „Stand prüfen“: Dort stehen die amtlichen Quellen und das Prüfdatum.</w:t>
            </w:r>
          </w:p>
          <w:p>
            <w:pPr>
              <w:spacing w:after="0"/>
            </w:pPr>
            <w:r>
              <w:rPr>
                <w:rFonts w:ascii="Calibri" w:cs="Calibri" w:eastAsia="Calibri" w:hAnsi="Calibri"/>
                <w:color w:val="222222"/>
                <w:sz w:val="21"/>
                <w:szCs w:val="21"/>
              </w:rPr>
              <w:t xml:space="preserve">Haken Sie Aufgaben ab, tragen Sie Ihre eigenen Zahlen ein und öffnen Sie vor jeder Zahlung oder Kündigung die verlinkte Amtsseite erneut. Keine Tabelle in diesem Dokument reicht allein als Planungsgrundlage.</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F4F1EA"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So lesen Sie die Markierungen</w:t>
            </w:r>
          </w:p>
          <w:p>
            <w:pPr>
              <w:spacing w:after="60"/>
            </w:pPr>
            <w:r>
              <w:rPr>
                <w:rFonts w:ascii="Calibri" w:cs="Calibri" w:eastAsia="Calibri" w:hAnsi="Calibri"/>
                <w:b/>
                <w:bCs/>
                <w:color w:val="222222"/>
                <w:sz w:val="21"/>
                <w:szCs w:val="21"/>
              </w:rPr>
              <w:t xml:space="preserve">Pflicht:</w:t>
            </w:r>
            <w:r>
              <w:rPr>
                <w:rFonts w:ascii="Calibri" w:cs="Calibri" w:eastAsia="Calibri" w:hAnsi="Calibri"/>
                <w:color w:val="222222"/>
                <w:sz w:val="21"/>
                <w:szCs w:val="21"/>
              </w:rPr>
              <w:t xml:space="preserve"> gesetzlich oder behördlich vorgeschrieben, oder ohne diesen Schritt scheitert der Umzug. Versäumnisse kosten Geld, Status oder Fristen.</w:t>
            </w:r>
          </w:p>
          <w:p>
            <w:pPr>
              <w:spacing w:after="60"/>
            </w:pPr>
            <w:r>
              <w:rPr>
                <w:rFonts w:ascii="Calibri" w:cs="Calibri" w:eastAsia="Calibri" w:hAnsi="Calibri"/>
                <w:b/>
                <w:bCs/>
                <w:color w:val="222222"/>
                <w:sz w:val="21"/>
                <w:szCs w:val="21"/>
              </w:rPr>
              <w:t xml:space="preserve">Dringend:</w:t>
            </w:r>
            <w:r>
              <w:rPr>
                <w:rFonts w:ascii="Calibri" w:cs="Calibri" w:eastAsia="Calibri" w:hAnsi="Calibri"/>
                <w:color w:val="222222"/>
                <w:sz w:val="21"/>
                <w:szCs w:val="21"/>
              </w:rPr>
              <w:t xml:space="preserve"> nicht vorgeschrieben, aber mit Frist oder hohem Risiko. Wer es aufschiebt, zahlt meist doppelt oder verliert Optionen.</w:t>
            </w:r>
          </w:p>
          <w:p>
            <w:pPr>
              <w:spacing w:after="0"/>
            </w:pPr>
            <w:r>
              <w:rPr>
                <w:rFonts w:ascii="Calibri" w:cs="Calibri" w:eastAsia="Calibri" w:hAnsi="Calibri"/>
                <w:b/>
                <w:bCs/>
                <w:color w:val="222222"/>
                <w:sz w:val="21"/>
                <w:szCs w:val="21"/>
              </w:rPr>
              <w:t xml:space="preserve">Optional:</w:t>
            </w:r>
            <w:r>
              <w:rPr>
                <w:rFonts w:ascii="Calibri" w:cs="Calibri" w:eastAsia="Calibri" w:hAnsi="Calibri"/>
                <w:color w:val="222222"/>
                <w:sz w:val="21"/>
                <w:szCs w:val="21"/>
              </w:rPr>
              <w:t xml:space="preserve"> sinnvoll je nach Lage (Kinder, Haustier, Eigentum, Selbstständigkeit). Streichen Sie, was nicht passt.</w:t>
            </w:r>
          </w:p>
        </w:tc>
      </w:tr>
    </w:tbl>
    <w:p>
      <w:pPr>
        <w:spacing w:after="200"/>
      </w:pPr>
    </w:p>
    <w:p>
      <w:pPr>
        <w:pStyle w:val="Heading2"/>
        <w:keepNext/>
        <w:spacing w:after="120" w:before="280"/>
      </w:pPr>
      <w:r>
        <w:rPr>
          <w:rFonts w:ascii="Calibri" w:cs="Calibri" w:eastAsia="Calibri" w:hAnsi="Calibri"/>
          <w:b/>
          <w:bCs/>
          <w:color w:val="0F5C6B"/>
          <w:sz w:val="26"/>
          <w:szCs w:val="26"/>
        </w:rPr>
        <w:t xml:space="preserve">Inhalt</w:t>
      </w:r>
    </w:p>
    <w:p>
      <w:pPr>
        <w:spacing w:after="160" w:before="0" w:line="276"/>
      </w:pPr>
      <w:r>
        <w:rPr>
          <w:rFonts w:ascii="Calibri" w:cs="Calibri" w:eastAsia="Calibri" w:hAnsi="Calibri"/>
          <w:i/>
          <w:iCs/>
          <w:color w:val="555555"/>
          <w:sz w:val="22"/>
          <w:szCs w:val="22"/>
        </w:rPr>
        <w:t xml:space="preserve">In Word: Strg + Klick auf einen Eintrag springt zum Kapitel.</w:t>
      </w:r>
    </w:p>
    <w:p>
      <w:pPr>
        <w:spacing w:after="40"/>
        <w:ind w:left="240"/>
      </w:pPr>
      <w:hyperlink w:anchor="k01" w:history="1">
        <w:r>
          <w:rPr>
            <w:rStyle w:val="Hyperlink"/>
            <w:rFonts w:ascii="Calibri" w:cs="Calibri" w:eastAsia="Calibri" w:hAnsi="Calibri"/>
            <w:color w:val="0563C1"/>
            <w:u w:val="single"/>
            <w:sz w:val="22"/>
            <w:szCs w:val="22"/>
          </w:rPr>
          <w:t xml:space="preserve">1. Ihre Entscheidung in 10 Fragen</w:t>
        </w:r>
      </w:hyperlink>
    </w:p>
    <w:p>
      <w:pPr>
        <w:spacing w:after="40"/>
        <w:ind w:left="240"/>
      </w:pPr>
      <w:hyperlink w:anchor="k02" w:history="1">
        <w:r>
          <w:rPr>
            <w:rStyle w:val="Hyperlink"/>
            <w:rFonts w:ascii="Calibri" w:cs="Calibri" w:eastAsia="Calibri" w:hAnsi="Calibri"/>
            <w:color w:val="0563C1"/>
            <w:u w:val="single"/>
            <w:sz w:val="22"/>
            <w:szCs w:val="22"/>
          </w:rPr>
          <w:t xml:space="preserve">2. Offizielle Adressen – zuerst diese Seiten</w:t>
        </w:r>
      </w:hyperlink>
    </w:p>
    <w:p>
      <w:pPr>
        <w:spacing w:after="40"/>
        <w:ind w:left="240"/>
      </w:pPr>
      <w:hyperlink w:anchor="k03" w:history="1">
        <w:r>
          <w:rPr>
            <w:rStyle w:val="Hyperlink"/>
            <w:rFonts w:ascii="Calibri" w:cs="Calibri" w:eastAsia="Calibri" w:hAnsi="Calibri"/>
            <w:color w:val="0563C1"/>
            <w:u w:val="single"/>
            <w:sz w:val="22"/>
            <w:szCs w:val="22"/>
          </w:rPr>
          <w:t xml:space="preserve">3. Visum wählen – realistisch</w:t>
        </w:r>
      </w:hyperlink>
    </w:p>
    <w:p>
      <w:pPr>
        <w:spacing w:after="40"/>
        <w:ind w:left="240"/>
      </w:pPr>
      <w:hyperlink w:anchor="k04" w:history="1">
        <w:r>
          <w:rPr>
            <w:rStyle w:val="Hyperlink"/>
            <w:rFonts w:ascii="Calibri" w:cs="Calibri" w:eastAsia="Calibri" w:hAnsi="Calibri"/>
            <w:color w:val="0563C1"/>
            <w:u w:val="single"/>
            <w:sz w:val="22"/>
            <w:szCs w:val="22"/>
          </w:rPr>
          <w:t xml:space="preserve">4. Sechs-Monats-Zeitplan</w:t>
        </w:r>
      </w:hyperlink>
    </w:p>
    <w:p>
      <w:pPr>
        <w:spacing w:after="40"/>
        <w:ind w:left="240"/>
      </w:pPr>
      <w:hyperlink w:anchor="k05" w:history="1">
        <w:r>
          <w:rPr>
            <w:rStyle w:val="Hyperlink"/>
            <w:rFonts w:ascii="Calibri" w:cs="Calibri" w:eastAsia="Calibri" w:hAnsi="Calibri"/>
            <w:color w:val="0563C1"/>
            <w:u w:val="single"/>
            <w:sz w:val="22"/>
            <w:szCs w:val="22"/>
          </w:rPr>
          <w:t xml:space="preserve">5. Bundesstaat und Stadt wählen</w:t>
        </w:r>
      </w:hyperlink>
    </w:p>
    <w:p>
      <w:pPr>
        <w:spacing w:after="40"/>
        <w:ind w:left="240"/>
      </w:pPr>
      <w:hyperlink w:anchor="k06" w:history="1">
        <w:r>
          <w:rPr>
            <w:rStyle w:val="Hyperlink"/>
            <w:rFonts w:ascii="Calibri" w:cs="Calibri" w:eastAsia="Calibri" w:hAnsi="Calibri"/>
            <w:color w:val="0563C1"/>
            <w:u w:val="single"/>
            <w:sz w:val="22"/>
            <w:szCs w:val="22"/>
          </w:rPr>
          <w:t xml:space="preserve">6. Packen nach Priorität</w:t>
        </w:r>
      </w:hyperlink>
    </w:p>
    <w:p>
      <w:pPr>
        <w:spacing w:after="40"/>
        <w:ind w:left="240"/>
      </w:pPr>
      <w:hyperlink w:anchor="k07" w:history="1">
        <w:r>
          <w:rPr>
            <w:rStyle w:val="Hyperlink"/>
            <w:rFonts w:ascii="Calibri" w:cs="Calibri" w:eastAsia="Calibri" w:hAnsi="Calibri"/>
            <w:color w:val="0563C1"/>
            <w:u w:val="single"/>
            <w:sz w:val="22"/>
            <w:szCs w:val="22"/>
          </w:rPr>
          <w:t xml:space="preserve">7. Ankunft – die ersten 30 Tage</w:t>
        </w:r>
      </w:hyperlink>
    </w:p>
    <w:p>
      <w:pPr>
        <w:spacing w:after="40"/>
        <w:ind w:left="240"/>
      </w:pPr>
      <w:hyperlink w:anchor="k08" w:history="1">
        <w:r>
          <w:rPr>
            <w:rStyle w:val="Hyperlink"/>
            <w:rFonts w:ascii="Calibri" w:cs="Calibri" w:eastAsia="Calibri" w:hAnsi="Calibri"/>
            <w:color w:val="0563C1"/>
            <w:u w:val="single"/>
            <w:sz w:val="22"/>
            <w:szCs w:val="22"/>
          </w:rPr>
          <w:t xml:space="preserve">8. Geld und Budget</w:t>
        </w:r>
      </w:hyperlink>
    </w:p>
    <w:p>
      <w:pPr>
        <w:spacing w:after="40"/>
        <w:ind w:left="240"/>
      </w:pPr>
      <w:hyperlink w:anchor="k09" w:history="1">
        <w:r>
          <w:rPr>
            <w:rStyle w:val="Hyperlink"/>
            <w:rFonts w:ascii="Calibri" w:cs="Calibri" w:eastAsia="Calibri" w:hAnsi="Calibri"/>
            <w:color w:val="0563C1"/>
            <w:u w:val="single"/>
            <w:sz w:val="22"/>
            <w:szCs w:val="22"/>
          </w:rPr>
          <w:t xml:space="preserve">9. Krankenversicherung und Gesundheit</w:t>
        </w:r>
      </w:hyperlink>
    </w:p>
    <w:p>
      <w:pPr>
        <w:spacing w:after="40"/>
        <w:ind w:left="240"/>
      </w:pPr>
      <w:hyperlink w:anchor="k10" w:history="1">
        <w:r>
          <w:rPr>
            <w:rStyle w:val="Hyperlink"/>
            <w:rFonts w:ascii="Calibri" w:cs="Calibri" w:eastAsia="Calibri" w:hAnsi="Calibri"/>
            <w:color w:val="0563C1"/>
            <w:u w:val="single"/>
            <w:sz w:val="22"/>
            <w:szCs w:val="22"/>
          </w:rPr>
          <w:t xml:space="preserve">10. Steuern – die grobe Landkarte</w:t>
        </w:r>
      </w:hyperlink>
    </w:p>
    <w:p>
      <w:pPr>
        <w:spacing w:after="40"/>
        <w:ind w:left="240"/>
      </w:pPr>
      <w:hyperlink w:anchor="k11" w:history="1">
        <w:r>
          <w:rPr>
            <w:rStyle w:val="Hyperlink"/>
            <w:rFonts w:ascii="Calibri" w:cs="Calibri" w:eastAsia="Calibri" w:hAnsi="Calibri"/>
            <w:color w:val="0563C1"/>
            <w:u w:val="single"/>
            <w:sz w:val="22"/>
            <w:szCs w:val="22"/>
          </w:rPr>
          <w:t xml:space="preserve">11. Kreditaufbau und Mietrisiken</w:t>
        </w:r>
      </w:hyperlink>
    </w:p>
    <w:p>
      <w:pPr>
        <w:spacing w:after="40"/>
        <w:ind w:left="240"/>
      </w:pPr>
      <w:hyperlink w:anchor="k12" w:history="1">
        <w:r>
          <w:rPr>
            <w:rStyle w:val="Hyperlink"/>
            <w:rFonts w:ascii="Calibri" w:cs="Calibri" w:eastAsia="Calibri" w:hAnsi="Calibri"/>
            <w:color w:val="0563C1"/>
            <w:u w:val="single"/>
            <w:sz w:val="22"/>
            <w:szCs w:val="22"/>
          </w:rPr>
          <w:t xml:space="preserve">12. Arbeit, Partner, Identität</w:t>
        </w:r>
      </w:hyperlink>
    </w:p>
    <w:p>
      <w:pPr>
        <w:spacing w:after="40"/>
        <w:ind w:left="240"/>
      </w:pPr>
      <w:hyperlink w:anchor="k13" w:history="1">
        <w:r>
          <w:rPr>
            <w:rStyle w:val="Hyperlink"/>
            <w:rFonts w:ascii="Calibri" w:cs="Calibri" w:eastAsia="Calibri" w:hAnsi="Calibri"/>
            <w:color w:val="0563C1"/>
            <w:u w:val="single"/>
            <w:sz w:val="22"/>
            <w:szCs w:val="22"/>
          </w:rPr>
          <w:t xml:space="preserve">13. Kinder und Schule</w:t>
        </w:r>
      </w:hyperlink>
    </w:p>
    <w:p>
      <w:pPr>
        <w:spacing w:after="40"/>
        <w:ind w:left="240"/>
      </w:pPr>
      <w:hyperlink w:anchor="k14" w:history="1">
        <w:r>
          <w:rPr>
            <w:rStyle w:val="Hyperlink"/>
            <w:rFonts w:ascii="Calibri" w:cs="Calibri" w:eastAsia="Calibri" w:hAnsi="Calibri"/>
            <w:color w:val="0563C1"/>
            <w:u w:val="single"/>
            <w:sz w:val="22"/>
            <w:szCs w:val="22"/>
          </w:rPr>
          <w:t xml:space="preserve">14. Kultur und Alltag, die in Leitfäden fehlen</w:t>
        </w:r>
      </w:hyperlink>
    </w:p>
    <w:p>
      <w:pPr>
        <w:spacing w:after="40"/>
        <w:ind w:left="240"/>
      </w:pPr>
      <w:hyperlink w:anchor="k15" w:history="1">
        <w:r>
          <w:rPr>
            <w:rStyle w:val="Hyperlink"/>
            <w:rFonts w:ascii="Calibri" w:cs="Calibri" w:eastAsia="Calibri" w:hAnsi="Calibri"/>
            <w:color w:val="0563C1"/>
            <w:u w:val="single"/>
            <w:sz w:val="22"/>
            <w:szCs w:val="22"/>
          </w:rPr>
          <w:t xml:space="preserve">15. Deutschland sauber schließen</w:t>
        </w:r>
      </w:hyperlink>
    </w:p>
    <w:p>
      <w:pPr>
        <w:spacing w:after="40"/>
        <w:ind w:left="240"/>
      </w:pPr>
      <w:hyperlink w:anchor="k16" w:history="1">
        <w:r>
          <w:rPr>
            <w:rStyle w:val="Hyperlink"/>
            <w:rFonts w:ascii="Calibri" w:cs="Calibri" w:eastAsia="Calibri" w:hAnsi="Calibri"/>
            <w:color w:val="0563C1"/>
            <w:u w:val="single"/>
            <w:sz w:val="22"/>
            <w:szCs w:val="22"/>
          </w:rPr>
          <w:t xml:space="preserve">16. Checkliste Handgepäck-Mappe</w:t>
        </w:r>
      </w:hyperlink>
    </w:p>
    <w:p>
      <w:pPr>
        <w:spacing w:after="40"/>
        <w:ind w:left="240"/>
      </w:pPr>
      <w:hyperlink w:anchor="k17" w:history="1">
        <w:r>
          <w:rPr>
            <w:rStyle w:val="Hyperlink"/>
            <w:rFonts w:ascii="Calibri" w:cs="Calibri" w:eastAsia="Calibri" w:hAnsi="Calibri"/>
            <w:color w:val="0563C1"/>
            <w:u w:val="single"/>
            <w:sz w:val="22"/>
            <w:szCs w:val="22"/>
          </w:rPr>
          <w:t xml:space="preserve">17. 90-Tage-Erfolg messen</w:t>
        </w:r>
      </w:hyperlink>
    </w:p>
    <w:p>
      <w:pPr>
        <w:spacing w:after="40"/>
        <w:ind w:left="240"/>
      </w:pPr>
      <w:hyperlink w:anchor="k18" w:history="1">
        <w:r>
          <w:rPr>
            <w:rStyle w:val="Hyperlink"/>
            <w:rFonts w:ascii="Calibri" w:cs="Calibri" w:eastAsia="Calibri" w:hAnsi="Calibri"/>
            <w:color w:val="0563C1"/>
            <w:u w:val="single"/>
            <w:sz w:val="22"/>
            <w:szCs w:val="22"/>
          </w:rPr>
          <w:t xml:space="preserve">18. Eigene Regeln, die Umzüge retten</w:t>
        </w:r>
      </w:hyperlink>
    </w:p>
    <w:p>
      <w:pPr>
        <w:spacing w:after="200"/>
      </w:pPr>
    </w:p>
    <w:p>
      <w:pPr>
        <w:pStyle w:val="Heading1"/>
        <w:keepNext/>
        <w:pBdr>
          <w:bottom w:val="single" w:color="C4A35A" w:sz="12" w:space="4"/>
        </w:pBdr>
        <w:spacing w:after="160" w:before="360"/>
      </w:pPr>
      <w:bookmarkStart w:id="1" w:name="k01"/>
      <w:r>
        <w:rPr>
          <w:rFonts w:ascii="Calibri" w:cs="Calibri" w:eastAsia="Calibri" w:hAnsi="Calibri"/>
          <w:b/>
          <w:bCs/>
          <w:color w:val="1B365D"/>
          <w:sz w:val="32"/>
          <w:szCs w:val="32"/>
        </w:rPr>
        <w:t xml:space="preserve">1. Ihre Entscheidung in 10 Fragen</w:t>
      </w:r>
      <w:bookmarkEnd w:id="1"/>
    </w:p>
    <w:p>
      <w:pPr>
        <w:spacing w:after="160" w:before="0" w:line="276"/>
      </w:pPr>
      <w:r>
        <w:rPr>
          <w:rFonts w:ascii="Calibri" w:cs="Calibri" w:eastAsia="Calibri" w:hAnsi="Calibri"/>
          <w:color w:val="222222"/>
          <w:sz w:val="22"/>
          <w:szCs w:val="22"/>
        </w:rPr>
        <w:t xml:space="preserve">Beantworten Sie diese Fragen schriftlich, bevor Sie kündigen, verkaufen oder ein Visum beantragen. Jede Person über 16, die mitzieht, beantwortet sie getrennt; danach vergleichen Sie die Antworten. Wenn mehr als drei Antworten unklar sind oder sich zwei Erwachsene bei Frage 3, 6 oder 9 widersprechen, ist der Umzug noch nicht entscheidungsreif.</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6606"/>
      </w:tblGrid>
      <w:tr>
        <w:trPr>
          <w:tblHeader/>
          <w:cantSplit/>
        </w:trPr>
        <w:tc>
          <w:tcPr>
            <w:tcW w:type="dxa" w:w="5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Nr.</w:t>
            </w:r>
          </w:p>
        </w:tc>
        <w:tc>
          <w:tcPr>
            <w:tcW w:type="dxa" w:w="36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Frage</w:t>
            </w:r>
          </w:p>
        </w:tc>
        <w:tc>
          <w:tcPr>
            <w:tcW w:type="dxa" w:w="66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Eine belastbare Antwort sieht so aus</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1</w:t>
            </w:r>
          </w:p>
        </w:tc>
        <w:tc>
          <w:tcPr>
            <w:tcW w:type="dxa" w:w="3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Welches Visum trägt uns – und was passiert, wenn es abgelehnt wird?</w:t>
            </w:r>
          </w:p>
        </w:tc>
        <w:tc>
          <w:tcPr>
            <w:tcW w:type="dxa" w:w="66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Eine Kategorie in einem Satz (z. B. „L-1A über den jetzigen Arbeitgeber, Antrag durch die US-Gesellschaft“) plus ein benannter Plan B. „Wir versuchen es mit irgendwas“ ist keine Antwort.</w:t>
            </w:r>
          </w:p>
        </w:tc>
      </w:tr>
      <w:tr>
        <w:trPr>
          <w:cantSplit/>
        </w:trPr>
        <w:tc>
          <w:tcPr>
            <w:tcW w:type="dxa" w:w="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2</w:t>
            </w:r>
          </w:p>
        </w:tc>
        <w:tc>
          <w:tcPr>
            <w:tcW w:type="dxa" w:w="3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Wer zahlt was – schriftlich?</w:t>
            </w:r>
          </w:p>
        </w:tc>
        <w:tc>
          <w:tcPr>
            <w:tcW w:type="dxa" w:w="66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 Angebotsschreiben oder Relocation-Policy mit Beträgen: Umzug, Flug, temporäre Wohnung, Visakosten, Steuerberatung, Rückführung. Mündliche Zusagen zählen nicht.</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3</w:t>
            </w:r>
          </w:p>
        </w:tc>
        <w:tc>
          <w:tcPr>
            <w:tcW w:type="dxa" w:w="3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Was macht der Partner oder die Partnerin am Tag 1, Monat 3 und Monat 12?</w:t>
            </w:r>
          </w:p>
        </w:tc>
        <w:tc>
          <w:tcPr>
            <w:tcW w:type="dxa" w:w="66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Arbeitserlaubnis geprüft (Kapitel 3 und 12), konkreter Plan für Tagesstruktur, eigenes Konto und eigenes Netzwerk. Nicht: „Das findet sich dann.“</w:t>
            </w:r>
          </w:p>
        </w:tc>
      </w:tr>
      <w:tr>
        <w:trPr>
          <w:cantSplit/>
        </w:trPr>
        <w:tc>
          <w:tcPr>
            <w:tcW w:type="dxa" w:w="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4</w:t>
            </w:r>
          </w:p>
        </w:tc>
        <w:tc>
          <w:tcPr>
            <w:tcW w:type="dxa" w:w="3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Wie viele Monate können wir ohne Einkommen leben?</w:t>
            </w:r>
          </w:p>
        </w:tc>
        <w:tc>
          <w:tcPr>
            <w:tcW w:type="dxa" w:w="66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Eine Zahl, berechnet nach Kapitel 8: monatliche Fixkosten in den USA × Monate. Mit Arbeitsvertrag mindestens 6 Monate, als Selbstständiger 18–24 Monate; darunter nicht ziehen.</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5</w:t>
            </w:r>
          </w:p>
        </w:tc>
        <w:tc>
          <w:tcPr>
            <w:tcW w:type="dxa" w:w="3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Welche Stadt – und warum genau diese?</w:t>
            </w:r>
          </w:p>
        </w:tc>
        <w:tc>
          <w:tcPr>
            <w:tcW w:type="dxa" w:w="66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Drei Gründe, die mit Job, Schule oder Familie zu tun haben, plus ein Stadt-Score nach Kapitel 18 von mindestens 28 Punkten.</w:t>
            </w:r>
          </w:p>
        </w:tc>
      </w:tr>
      <w:tr>
        <w:trPr>
          <w:cantSplit/>
        </w:trPr>
        <w:tc>
          <w:tcPr>
            <w:tcW w:type="dxa" w:w="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6</w:t>
            </w:r>
          </w:p>
        </w:tc>
        <w:tc>
          <w:tcPr>
            <w:tcW w:type="dxa" w:w="3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Was ist unsere Rückkehrbedingung?</w:t>
            </w:r>
          </w:p>
        </w:tc>
        <w:tc>
          <w:tcPr>
            <w:tcW w:type="dxa" w:w="66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 messbarer Auslöser, z. B. „Jobverlust ohne neuen Sponsor nach 45 Tagen“ oder „Reserve unter 3 Monatsausgaben“. Plus: Wer kümmert sich in Deutschland um Wohnung, Post, Konten?</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7</w:t>
            </w:r>
          </w:p>
        </w:tc>
        <w:tc>
          <w:tcPr>
            <w:tcW w:type="dxa" w:w="3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Was passiert mit Kindern, Schule und Abschlüssen?</w:t>
            </w:r>
          </w:p>
        </w:tc>
        <w:tc>
          <w:tcPr>
            <w:tcW w:type="dxa" w:w="66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Schulbezirk recherchiert (Kapitel 13), Klassenstufe geklärt, Plan für Deutschunterricht und für eine mögliche Rückkehr ins deutsche System.</w:t>
            </w:r>
          </w:p>
        </w:tc>
      </w:tr>
      <w:tr>
        <w:trPr>
          <w:cantSplit/>
        </w:trPr>
        <w:tc>
          <w:tcPr>
            <w:tcW w:type="dxa" w:w="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8</w:t>
            </w:r>
          </w:p>
        </w:tc>
        <w:tc>
          <w:tcPr>
            <w:tcW w:type="dxa" w:w="3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Wer pflegt Eltern oder Angehörige in Deutschland?</w:t>
            </w:r>
          </w:p>
        </w:tc>
        <w:tc>
          <w:tcPr>
            <w:tcW w:type="dxa" w:w="66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Eine Absprache mit Geschwistern oder Diensten, Vollmachten geregelt, Budget für zwei bis drei kurzfristige Flüge pro Jahr.</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9</w:t>
            </w:r>
          </w:p>
        </w:tc>
        <w:tc>
          <w:tcPr>
            <w:tcW w:type="dxa" w:w="3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Welche Versicherung gilt ab dem Abflugtag – lückenlos?</w:t>
            </w:r>
          </w:p>
        </w:tc>
        <w:tc>
          <w:tcPr>
            <w:tcW w:type="dxa" w:w="66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Datum, ab dem die US-Police gilt, und eine Brückenversicherung bis dahin (Kapitel 9). Vorerkrankungen und laufende Behandlungen sind mit einem Arzt besprochen.</w:t>
            </w:r>
          </w:p>
        </w:tc>
      </w:tr>
      <w:tr>
        <w:trPr>
          <w:cantSplit/>
        </w:trPr>
        <w:tc>
          <w:tcPr>
            <w:tcW w:type="dxa" w:w="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10</w:t>
            </w:r>
          </w:p>
        </w:tc>
        <w:tc>
          <w:tcPr>
            <w:tcW w:type="dxa" w:w="3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Was wollen wir in drei Jahren erreicht haben?</w:t>
            </w:r>
          </w:p>
        </w:tc>
        <w:tc>
          <w:tcPr>
            <w:tcW w:type="dxa" w:w="66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Zwei bis drei konkrete Ziele (z. B. „Green-Card-Antrag gestellt“, „Kind spricht fließend Englisch“, „Eigenkapital nicht unter Startniveau“). Sie werden im 90-Tage-Check (Kapitel 17) überprüft.</w:t>
            </w:r>
          </w:p>
        </w:tc>
      </w:tr>
    </w:tbl>
    <w:p>
      <w:pPr>
        <w:spacing w:after="200"/>
      </w:pPr>
    </w:p>
    <w:p>
      <w:pPr>
        <w:pStyle w:val="Heading3"/>
        <w:keepNext/>
        <w:spacing w:after="80" w:before="200"/>
      </w:pPr>
      <w:r>
        <w:rPr>
          <w:rFonts w:ascii="Calibri" w:cs="Calibri" w:eastAsia="Calibri" w:hAnsi="Calibri"/>
          <w:b/>
          <w:bCs/>
          <w:color w:val="1B365D"/>
          <w:sz w:val="24"/>
          <w:szCs w:val="24"/>
        </w:rPr>
        <w:t xml:space="preserve">Auswertung</w:t>
      </w:r>
    </w:p>
    <w:p>
      <w:pPr>
        <w:pStyle w:val="ListParagraph"/>
        <w:numPr>
          <w:ilvl w:val="0"/>
          <w:numId w:val="2"/>
        </w:numPr>
        <w:spacing w:after="60"/>
      </w:pPr>
      <w:r>
        <w:rPr>
          <w:rFonts w:ascii="Calibri" w:cs="Calibri" w:eastAsia="Calibri" w:hAnsi="Calibri"/>
          <w:b/>
          <w:bCs/>
          <w:color w:val="222222"/>
          <w:sz w:val="22"/>
          <w:szCs w:val="22"/>
        </w:rPr>
        <w:t xml:space="preserve">0–1 unklare Antworten:</w:t>
      </w:r>
      <w:r>
        <w:rPr>
          <w:rFonts w:ascii="Calibri" w:cs="Calibri" w:eastAsia="Calibri" w:hAnsi="Calibri"/>
          <w:color w:val="222222"/>
          <w:sz w:val="22"/>
          <w:szCs w:val="22"/>
        </w:rPr>
        <w:t xml:space="preserve"> Planen Sie mit dem Zeitplan in Kapitel 4 weiter.</w:t>
      </w:r>
    </w:p>
    <w:p>
      <w:pPr>
        <w:pStyle w:val="ListParagraph"/>
        <w:numPr>
          <w:ilvl w:val="0"/>
          <w:numId w:val="2"/>
        </w:numPr>
        <w:spacing w:after="60"/>
      </w:pPr>
      <w:r>
        <w:rPr>
          <w:rFonts w:ascii="Calibri" w:cs="Calibri" w:eastAsia="Calibri" w:hAnsi="Calibri"/>
          <w:b/>
          <w:bCs/>
          <w:color w:val="222222"/>
          <w:sz w:val="22"/>
          <w:szCs w:val="22"/>
        </w:rPr>
        <w:t xml:space="preserve">2–3 unklare Antworten:</w:t>
      </w:r>
      <w:r>
        <w:rPr>
          <w:rFonts w:ascii="Calibri" w:cs="Calibri" w:eastAsia="Calibri" w:hAnsi="Calibri"/>
          <w:color w:val="222222"/>
          <w:sz w:val="22"/>
          <w:szCs w:val="22"/>
        </w:rPr>
        <w:t xml:space="preserve"> Klären Sie diese Punkte, bevor Geld fließt (Anwalt, Umzugsfirma, Kündigungen).</w:t>
      </w:r>
    </w:p>
    <w:p>
      <w:pPr>
        <w:pStyle w:val="ListParagraph"/>
        <w:numPr>
          <w:ilvl w:val="0"/>
          <w:numId w:val="2"/>
        </w:numPr>
        <w:spacing w:after="60"/>
      </w:pPr>
      <w:r>
        <w:rPr>
          <w:rFonts w:ascii="Calibri" w:cs="Calibri" w:eastAsia="Calibri" w:hAnsi="Calibri"/>
          <w:b/>
          <w:bCs/>
          <w:color w:val="222222"/>
          <w:sz w:val="22"/>
          <w:szCs w:val="22"/>
        </w:rPr>
        <w:t xml:space="preserve">Mehr als 3 unklare Antworten:</w:t>
      </w:r>
      <w:r>
        <w:rPr>
          <w:rFonts w:ascii="Calibri" w:cs="Calibri" w:eastAsia="Calibri" w:hAnsi="Calibri"/>
          <w:color w:val="222222"/>
          <w:sz w:val="22"/>
          <w:szCs w:val="22"/>
        </w:rPr>
        <w:t xml:space="preserve"> Noch nicht entscheiden. Eine Erkundungsreise von 7–10 Tagen in die Zielregion beantwortet meist Frage 5, 7 und 4 besser als jede Recherche.</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6F2EA"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Häufigster Abbruchgrund</w:t>
            </w:r>
          </w:p>
          <w:p>
            <w:pPr>
              <w:spacing w:after="0"/>
            </w:pPr>
            <w:r>
              <w:rPr>
                <w:rFonts w:ascii="Calibri" w:cs="Calibri" w:eastAsia="Calibri" w:hAnsi="Calibri"/>
                <w:color w:val="222222"/>
                <w:sz w:val="21"/>
                <w:szCs w:val="21"/>
              </w:rPr>
              <w:t xml:space="preserve">Nicht der Container und nicht das Visum, sondern Familie und unklare Erwartungen. Klären Sie schriftlich, was ein Arbeitgeber zahlt – und was nicht. Wenn niemand zahlt, planen Sie so, als wären Sie allein verantwortlich.</w:t>
            </w:r>
          </w:p>
        </w:tc>
      </w:tr>
    </w:tbl>
    <w:p>
      <w:pPr>
        <w:spacing w:after="200"/>
      </w:pPr>
    </w:p>
    <w:p>
      <w:pPr>
        <w:pStyle w:val="Heading1"/>
        <w:keepNext/>
        <w:pBdr>
          <w:bottom w:val="single" w:color="C4A35A" w:sz="12" w:space="4"/>
        </w:pBdr>
        <w:spacing w:after="160" w:before="360"/>
      </w:pPr>
      <w:bookmarkStart w:id="2" w:name="k02"/>
      <w:r>
        <w:rPr>
          <w:rFonts w:ascii="Calibri" w:cs="Calibri" w:eastAsia="Calibri" w:hAnsi="Calibri"/>
          <w:b/>
          <w:bCs/>
          <w:color w:val="1B365D"/>
          <w:sz w:val="32"/>
          <w:szCs w:val="32"/>
        </w:rPr>
        <w:t xml:space="preserve">2. Offizielle Adressen – zuerst diese Seiten</w:t>
      </w:r>
      <w:bookmarkEnd w:id="2"/>
    </w:p>
    <w:p>
      <w:pPr>
        <w:spacing w:after="160" w:before="0" w:line="276"/>
      </w:pPr>
      <w:r>
        <w:rPr>
          <w:rFonts w:ascii="Calibri" w:cs="Calibri" w:eastAsia="Calibri" w:hAnsi="Calibri"/>
          <w:color w:val="222222"/>
          <w:sz w:val="22"/>
          <w:szCs w:val="22"/>
        </w:rPr>
        <w:t xml:space="preserve">Alle Listen in diesem Dokument folgen demselben Schema: offizielle Adresse als Link, Zweck, Zeitpunkt, zu dem Sie die Seite brauchen, und das Datum der letzten Prüfung. Nutzen Sie für Visa ausschließlich diese Seiten. Private Seiten mit „.us“-, „.org“- oder „-gov“-Endungen, die Formulare gegen Gebühr „vorprüfen“, sind nicht amtlich.</w:t>
      </w:r>
    </w:p>
    <w:p>
      <w:pPr>
        <w:pStyle w:val="Heading2"/>
        <w:keepNext/>
        <w:spacing w:after="120" w:before="280"/>
      </w:pPr>
      <w:r>
        <w:rPr>
          <w:rFonts w:ascii="Calibri" w:cs="Calibri" w:eastAsia="Calibri" w:hAnsi="Calibri"/>
          <w:b/>
          <w:bCs/>
          <w:color w:val="0F5C6B"/>
          <w:sz w:val="26"/>
          <w:szCs w:val="26"/>
        </w:rPr>
        <w:t xml:space="preserve">Visa und Einreise</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3206"/>
        <w:gridCol w:w="1300"/>
      </w:tblGrid>
      <w:tr>
        <w:trPr>
          <w:tblHeader/>
          <w:cantSplit/>
        </w:trPr>
        <w:tc>
          <w:tcPr>
            <w:tcW w:type="dxa" w:w="29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Offizielle Seite</w:t>
            </w:r>
          </w:p>
        </w:tc>
        <w:tc>
          <w:tcPr>
            <w:tcW w:type="dxa" w:w="3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Wofür</w:t>
            </w:r>
          </w:p>
        </w:tc>
        <w:tc>
          <w:tcPr>
            <w:tcW w:type="dxa" w:w="32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Wann Sie sie brauchen</w:t>
            </w:r>
          </w:p>
        </w:tc>
        <w:tc>
          <w:tcPr>
            <w:tcW w:type="dxa" w:w="1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Geprüft</w:t>
            </w:r>
          </w:p>
        </w:tc>
      </w:tr>
      <w:tr>
        <w:trPr>
          <w:cantSplit/>
        </w:trPr>
        <w:tc>
          <w:tcPr>
            <w:tcW w:type="dxa" w:w="2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hyperlink r:id="rIdL1" w:history="1">
              <w:r>
                <w:rPr>
                  <w:rStyle w:val="Hyperlink"/>
                  <w:rFonts w:ascii="Calibri" w:cs="Calibri" w:eastAsia="Calibri" w:hAnsi="Calibri"/>
                  <w:b/>
                  <w:bCs/>
                  <w:color w:val="0563C1"/>
                  <w:u w:val="single"/>
                  <w:sz w:val="20"/>
                  <w:szCs w:val="20"/>
                </w:rPr>
                <w:t xml:space="preserve">travel.state.gov – U.S. Visas</w:t>
              </w:r>
            </w:hyperlink>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Alle Visakategorien, Gebühren, Formulare DS-160/DS-260</w:t>
            </w:r>
          </w:p>
        </w:tc>
        <w:tc>
          <w:tcPr>
            <w:tcW w:type="dxa" w:w="32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Bei der Wahl des Visums und vor jedem Antrag</w:t>
            </w:r>
          </w:p>
        </w:tc>
        <w:tc>
          <w:tcPr>
            <w:tcW w:type="dxa" w:w="1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hyperlink r:id="rIdL2" w:history="1">
              <w:r>
                <w:rPr>
                  <w:rStyle w:val="Hyperlink"/>
                  <w:rFonts w:ascii="Calibri" w:cs="Calibri" w:eastAsia="Calibri" w:hAnsi="Calibri"/>
                  <w:b/>
                  <w:bCs/>
                  <w:color w:val="0563C1"/>
                  <w:u w:val="single"/>
                  <w:sz w:val="20"/>
                  <w:szCs w:val="20"/>
                </w:rPr>
                <w:t xml:space="preserve">travel.state.gov – Arbeitsvisa (Temporary Workers)</w:t>
              </w:r>
            </w:hyperlink>
          </w:p>
        </w:tc>
        <w:tc>
          <w:tcPr>
            <w:tcW w:type="dxa" w:w="3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Arbeitsvisa H, L, O, E, J</w:t>
            </w:r>
          </w:p>
        </w:tc>
        <w:tc>
          <w:tcPr>
            <w:tcW w:type="dxa" w:w="32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Sobald ein Arbeitgeber oder eine Firmengründung im Spiel ist</w:t>
            </w:r>
          </w:p>
        </w:tc>
        <w:tc>
          <w:tcPr>
            <w:tcW w:type="dxa" w:w="1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hyperlink r:id="rIdL3" w:history="1">
              <w:r>
                <w:rPr>
                  <w:rStyle w:val="Hyperlink"/>
                  <w:rFonts w:ascii="Calibri" w:cs="Calibri" w:eastAsia="Calibri" w:hAnsi="Calibri"/>
                  <w:b/>
                  <w:bCs/>
                  <w:color w:val="0563C1"/>
                  <w:u w:val="single"/>
                  <w:sz w:val="20"/>
                  <w:szCs w:val="20"/>
                </w:rPr>
                <w:t xml:space="preserve">US-Botschaft und Konsulate in Deutschland – Visa</w:t>
              </w:r>
            </w:hyperlink>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Antrag aus Deutschland, Wegweiser, Standorte</w:t>
            </w:r>
          </w:p>
        </w:tc>
        <w:tc>
          <w:tcPr>
            <w:tcW w:type="dxa" w:w="32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Vor der Terminbuchung</w:t>
            </w:r>
          </w:p>
        </w:tc>
        <w:tc>
          <w:tcPr>
            <w:tcW w:type="dxa" w:w="1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hyperlink r:id="rIdL4" w:history="1">
              <w:r>
                <w:rPr>
                  <w:rStyle w:val="Hyperlink"/>
                  <w:rFonts w:ascii="Calibri" w:cs="Calibri" w:eastAsia="Calibri" w:hAnsi="Calibri"/>
                  <w:b/>
                  <w:bCs/>
                  <w:color w:val="0563C1"/>
                  <w:u w:val="single"/>
                  <w:sz w:val="20"/>
                  <w:szCs w:val="20"/>
                </w:rPr>
                <w:t xml:space="preserve">U.S. Travel Docs (Deutschland)</w:t>
              </w:r>
            </w:hyperlink>
          </w:p>
        </w:tc>
        <w:tc>
          <w:tcPr>
            <w:tcW w:type="dxa" w:w="3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Offizieller Dienstleister der US-Mission: Termine, Gebührenzahlung, Passrückversand</w:t>
            </w:r>
          </w:p>
        </w:tc>
        <w:tc>
          <w:tcPr>
            <w:tcW w:type="dxa" w:w="32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Nach dem DS-160, zur Terminbuchung</w:t>
            </w:r>
          </w:p>
        </w:tc>
        <w:tc>
          <w:tcPr>
            <w:tcW w:type="dxa" w:w="1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hyperlink r:id="rIdL5" w:history="1">
              <w:r>
                <w:rPr>
                  <w:rStyle w:val="Hyperlink"/>
                  <w:rFonts w:ascii="Calibri" w:cs="Calibri" w:eastAsia="Calibri" w:hAnsi="Calibri"/>
                  <w:b/>
                  <w:bCs/>
                  <w:color w:val="0563C1"/>
                  <w:u w:val="single"/>
                  <w:sz w:val="20"/>
                  <w:szCs w:val="20"/>
                </w:rPr>
                <w:t xml:space="preserve">USCIS</w:t>
              </w:r>
            </w:hyperlink>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Petitionen, Statusänderungen, Arbeitserlaubnis, Green Card innerhalb der USA</w:t>
            </w:r>
          </w:p>
        </w:tc>
        <w:tc>
          <w:tcPr>
            <w:tcW w:type="dxa" w:w="32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Bei Arbeitgeberpetitionen und nach der Einreise</w:t>
            </w:r>
          </w:p>
        </w:tc>
        <w:tc>
          <w:tcPr>
            <w:tcW w:type="dxa" w:w="1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hyperlink r:id="rIdL6" w:history="1">
              <w:r>
                <w:rPr>
                  <w:rStyle w:val="Hyperlink"/>
                  <w:rFonts w:ascii="Calibri" w:cs="Calibri" w:eastAsia="Calibri" w:hAnsi="Calibri"/>
                  <w:b/>
                  <w:bCs/>
                  <w:color w:val="0563C1"/>
                  <w:u w:val="single"/>
                  <w:sz w:val="20"/>
                  <w:szCs w:val="20"/>
                </w:rPr>
                <w:t xml:space="preserve">USCIS – Formular I-765 (EAD)</w:t>
              </w:r>
            </w:hyperlink>
          </w:p>
        </w:tc>
        <w:tc>
          <w:tcPr>
            <w:tcW w:type="dxa" w:w="3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Antrag auf Arbeitserlaubnis (Employment Authorization Document)</w:t>
            </w:r>
          </w:p>
        </w:tc>
        <w:tc>
          <w:tcPr>
            <w:tcW w:type="dxa" w:w="32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Wenn Ihre Kategorie eine EAD verlangt (Kapitel 3)</w:t>
            </w:r>
          </w:p>
        </w:tc>
        <w:tc>
          <w:tcPr>
            <w:tcW w:type="dxa" w:w="1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hyperlink r:id="rIdL7" w:history="1">
              <w:r>
                <w:rPr>
                  <w:rStyle w:val="Hyperlink"/>
                  <w:rFonts w:ascii="Calibri" w:cs="Calibri" w:eastAsia="Calibri" w:hAnsi="Calibri"/>
                  <w:b/>
                  <w:bCs/>
                  <w:color w:val="0563C1"/>
                  <w:u w:val="single"/>
                  <w:sz w:val="20"/>
                  <w:szCs w:val="20"/>
                </w:rPr>
                <w:t xml:space="preserve">CBP – I-94</w:t>
              </w:r>
            </w:hyperlink>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Elektronischer Einreisenachweis mit Status und Aufenthaltsende</w:t>
            </w:r>
          </w:p>
        </w:tc>
        <w:tc>
          <w:tcPr>
            <w:tcW w:type="dxa" w:w="32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Innerhalb weniger Tage nach jeder Einreise abrufen und prüfen</w:t>
            </w:r>
          </w:p>
        </w:tc>
        <w:tc>
          <w:tcPr>
            <w:tcW w:type="dxa" w:w="1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hyperlink r:id="rIdL8" w:history="1">
              <w:r>
                <w:rPr>
                  <w:rStyle w:val="Hyperlink"/>
                  <w:rFonts w:ascii="Calibri" w:cs="Calibri" w:eastAsia="Calibri" w:hAnsi="Calibri"/>
                  <w:b/>
                  <w:bCs/>
                  <w:color w:val="0563C1"/>
                  <w:u w:val="single"/>
                  <w:sz w:val="20"/>
                  <w:szCs w:val="20"/>
                </w:rPr>
                <w:t xml:space="preserve">ESTA</w:t>
              </w:r>
            </w:hyperlink>
          </w:p>
        </w:tc>
        <w:tc>
          <w:tcPr>
            <w:tcW w:type="dxa" w:w="3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Reisegenehmigung für Besuche ohne Visum – kein Arbeiten, kein Umzug</w:t>
            </w:r>
          </w:p>
        </w:tc>
        <w:tc>
          <w:tcPr>
            <w:tcW w:type="dxa" w:w="32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Nur für Erkundungsreisen</w:t>
            </w:r>
          </w:p>
        </w:tc>
        <w:tc>
          <w:tcPr>
            <w:tcW w:type="dxa" w:w="1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bl>
    <w:p>
      <w:pPr>
        <w:spacing w:after="200"/>
      </w:pPr>
    </w:p>
    <w:p>
      <w:pPr>
        <w:pStyle w:val="Heading2"/>
        <w:keepNext/>
        <w:spacing w:after="120" w:before="280"/>
      </w:pPr>
      <w:r>
        <w:rPr>
          <w:rFonts w:ascii="Calibri" w:cs="Calibri" w:eastAsia="Calibri" w:hAnsi="Calibri"/>
          <w:b/>
          <w:bCs/>
          <w:color w:val="0F5C6B"/>
          <w:sz w:val="26"/>
          <w:szCs w:val="26"/>
        </w:rPr>
        <w:t xml:space="preserve">Visa-Stellen in Deutschland</w:t>
      </w:r>
    </w:p>
    <w:p>
      <w:pPr>
        <w:spacing w:after="160" w:before="0" w:line="276"/>
      </w:pPr>
      <w:r>
        <w:rPr>
          <w:rFonts w:ascii="Calibri" w:cs="Calibri" w:eastAsia="Calibri" w:hAnsi="Calibri"/>
          <w:color w:val="222222"/>
          <w:sz w:val="22"/>
          <w:szCs w:val="22"/>
        </w:rPr>
        <w:t xml:space="preserve">Visa werden in Deutschland an drei Orten bearbeitet: in der Botschaft Berlin und in den Generalkonsulaten Frankfurt und München. Die Konsulate in Hamburg, Leipzig und Düsseldorf bieten keine Visadienste an. Berlin und München bearbeiten nur Nichteinwanderungsvisa. Frankfurt bearbeitet alle Kategorien und ist die einzige Stelle für Einwanderungsvisa (Green Card aus dem Ausland), E-1/E-2 und K-Visa.</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2700"/>
        <w:gridCol w:w="2406"/>
      </w:tblGrid>
      <w:tr>
        <w:trPr>
          <w:tblHeader/>
          <w:cantSplit/>
        </w:trPr>
        <w:tc>
          <w:tcPr>
            <w:tcW w:type="dxa" w:w="2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Posten</w:t>
            </w:r>
          </w:p>
        </w:tc>
        <w:tc>
          <w:tcPr>
            <w:tcW w:type="dxa" w:w="3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Adresse / Telefon</w:t>
            </w:r>
          </w:p>
        </w:tc>
        <w:tc>
          <w:tcPr>
            <w:tcW w:type="dxa" w:w="27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Visa-Leistungen</w:t>
            </w:r>
          </w:p>
        </w:tc>
        <w:tc>
          <w:tcPr>
            <w:tcW w:type="dxa" w:w="24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Konsularbezirk (Bürgerdienste)</w:t>
            </w:r>
          </w:p>
        </w:tc>
      </w:tr>
      <w:tr>
        <w:trPr>
          <w:cantSplit/>
        </w:trPr>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US-Botschaft Berlin</w:t>
            </w:r>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Clayallee 170, 14195 Berlin · +49 30 8305-0</w:t>
            </w:r>
          </w:p>
        </w:tc>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Nur Nichteinwanderungsvisa (z. B. H, L, O, F, J)</w:t>
            </w:r>
          </w:p>
        </w:tc>
        <w:tc>
          <w:tcPr>
            <w:tcW w:type="dxa" w:w="24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Berlin, Brandenburg, Bremen, Hamburg, Niedersachsen, Mecklenburg-Vorpommern, Sachsen, Sachsen-Anhalt, Schleswig-Holstein, Thüringen</w:t>
            </w:r>
          </w:p>
        </w:tc>
      </w:tr>
      <w:tr>
        <w:trPr>
          <w:cantSplit/>
        </w:trPr>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Generalkonsulat Frankfurt</w:t>
            </w:r>
          </w:p>
        </w:tc>
        <w:tc>
          <w:tcPr>
            <w:tcW w:type="dxa" w:w="3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Gießener Str. 30, 60435 Frankfurt am Main · +49 69 7535-0</w:t>
            </w:r>
          </w:p>
        </w:tc>
        <w:tc>
          <w:tcPr>
            <w:tcW w:type="dxa" w:w="2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Alle Kategorien; einzige Stelle für Einwanderungsvisa, E-1/E-2 und K-Visa</w:t>
            </w:r>
          </w:p>
        </w:tc>
        <w:tc>
          <w:tcPr>
            <w:tcW w:type="dxa" w:w="24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Baden-Württemberg, Hessen, Nordrhein-Westfalen, Rheinland-Pfalz, Saarland</w:t>
            </w:r>
          </w:p>
        </w:tc>
      </w:tr>
      <w:tr>
        <w:trPr>
          <w:cantSplit/>
        </w:trPr>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Generalkonsulat München</w:t>
            </w:r>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Königinstraße 5, 80539 München · +49 89 2888-0</w:t>
            </w:r>
          </w:p>
        </w:tc>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Nur Nichteinwanderungsvisa</w:t>
            </w:r>
          </w:p>
        </w:tc>
        <w:tc>
          <w:tcPr>
            <w:tcW w:type="dxa" w:w="24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Bayern</w:t>
            </w:r>
          </w:p>
        </w:tc>
      </w:tr>
    </w:tbl>
    <w:p>
      <w:pPr>
        <w:spacing w:after="200"/>
      </w:pPr>
    </w:p>
    <w:p>
      <w:pPr>
        <w:spacing w:after="160" w:before="0" w:line="276"/>
      </w:pPr>
      <w:r>
        <w:rPr>
          <w:rFonts w:ascii="Calibri" w:cs="Calibri" w:eastAsia="Calibri" w:hAnsi="Calibri"/>
          <w:b/>
          <w:bCs/>
          <w:color w:val="222222"/>
          <w:sz w:val="22"/>
          <w:szCs w:val="22"/>
        </w:rPr>
        <w:t xml:space="preserve">So gilt die Zuordnung:</w:t>
      </w:r>
      <w:r>
        <w:rPr>
          <w:rFonts w:ascii="Calibri" w:cs="Calibri" w:eastAsia="Calibri" w:hAnsi="Calibri"/>
          <w:color w:val="222222"/>
          <w:sz w:val="22"/>
          <w:szCs w:val="22"/>
        </w:rPr>
        <w:t xml:space="preserve"> Die Konsularbezirke oben stammen aus der offiziellen Kontaktliste der US-Mission und regeln vor allem Dienste für US-Bürger. Für ein Nichteinwanderungsvisum wählen Sie den Ort bei der Terminbuchung auf U.S. Travel Docs; welcher Standort für Ihre Kategorie Termine anbietet, zeigt das Buchungssystem. Einwanderungs-, E- und K-Visa laufen unabhängig vom Wohnort über Frankfurt.</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F8E8E4"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Seit 2025 geändert: Termin im Wohnsitz- oder Heimatland</w:t>
            </w:r>
          </w:p>
          <w:p>
            <w:pPr>
              <w:spacing w:after="0"/>
            </w:pPr>
            <w:r>
              <w:rPr>
                <w:rFonts w:ascii="Calibri" w:cs="Calibri" w:eastAsia="Calibri" w:hAnsi="Calibri"/>
                <w:color w:val="222222"/>
                <w:sz w:val="21"/>
                <w:szCs w:val="21"/>
              </w:rPr>
              <w:t xml:space="preserve">Das State Department verlangt seit September 2025, dass Antragsteller für Nichteinwanderungsvisa den Termin im Land ihrer Staatsangehörigkeit oder ihres Wohnsitzes buchen. Wer anderswo beantragt, muss dort einen Wohnsitz nachweisen; Gebühren werden nicht erstattet. Seit dem 1. Oktober 2025 ist zudem für fast alle Antragsteller ein persönliches Interview vorgeschrieben, auch für Kinder unter 14 und Personen über 79. Ausnahmen gelten nur eng (u. a. bestimmte Verlängerungen von B-1/B-2 innerhalb von 12 Monaten).</w:t>
            </w:r>
          </w:p>
        </w:tc>
      </w:tr>
    </w:tbl>
    <w:p>
      <w:pPr>
        <w:spacing w:after="200"/>
      </w:pPr>
    </w:p>
    <w:p>
      <w:pPr>
        <w:pStyle w:val="Heading2"/>
        <w:keepNext/>
        <w:spacing w:after="120" w:before="280"/>
      </w:pPr>
      <w:r>
        <w:rPr>
          <w:rFonts w:ascii="Calibri" w:cs="Calibri" w:eastAsia="Calibri" w:hAnsi="Calibri"/>
          <w:b/>
          <w:bCs/>
          <w:color w:val="0F5C6B"/>
          <w:sz w:val="26"/>
          <w:szCs w:val="26"/>
        </w:rPr>
        <w:t xml:space="preserve">Gesundheit, Steuern, Sozialversicherung</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3206"/>
        <w:gridCol w:w="1300"/>
      </w:tblGrid>
      <w:tr>
        <w:trPr>
          <w:tblHeader/>
          <w:cantSplit/>
        </w:trPr>
        <w:tc>
          <w:tcPr>
            <w:tcW w:type="dxa" w:w="29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Offizielle Seite</w:t>
            </w:r>
          </w:p>
        </w:tc>
        <w:tc>
          <w:tcPr>
            <w:tcW w:type="dxa" w:w="3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Wofür</w:t>
            </w:r>
          </w:p>
        </w:tc>
        <w:tc>
          <w:tcPr>
            <w:tcW w:type="dxa" w:w="32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Wann Sie sie brauchen</w:t>
            </w:r>
          </w:p>
        </w:tc>
        <w:tc>
          <w:tcPr>
            <w:tcW w:type="dxa" w:w="1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Geprüft</w:t>
            </w:r>
          </w:p>
        </w:tc>
      </w:tr>
      <w:tr>
        <w:trPr>
          <w:cantSplit/>
        </w:trPr>
        <w:tc>
          <w:tcPr>
            <w:tcW w:type="dxa" w:w="2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hyperlink r:id="rIdL9" w:history="1">
              <w:r>
                <w:rPr>
                  <w:rStyle w:val="Hyperlink"/>
                  <w:rFonts w:ascii="Calibri" w:cs="Calibri" w:eastAsia="Calibri" w:hAnsi="Calibri"/>
                  <w:b/>
                  <w:bCs/>
                  <w:color w:val="0563C1"/>
                  <w:u w:val="single"/>
                  <w:sz w:val="20"/>
                  <w:szCs w:val="20"/>
                </w:rPr>
                <w:t xml:space="preserve">CDC – Travelers’ Health</w:t>
              </w:r>
            </w:hyperlink>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Reiseimpfungen, Gesundheitshinweise</w:t>
            </w:r>
          </w:p>
        </w:tc>
        <w:tc>
          <w:tcPr>
            <w:tcW w:type="dxa" w:w="32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2–3 Monate vor dem Flug (Impfstatus)</w:t>
            </w:r>
          </w:p>
        </w:tc>
        <w:tc>
          <w:tcPr>
            <w:tcW w:type="dxa" w:w="1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hyperlink r:id="rIdL10" w:history="1">
              <w:r>
                <w:rPr>
                  <w:rStyle w:val="Hyperlink"/>
                  <w:rFonts w:ascii="Calibri" w:cs="Calibri" w:eastAsia="Calibri" w:hAnsi="Calibri"/>
                  <w:b/>
                  <w:bCs/>
                  <w:color w:val="0563C1"/>
                  <w:u w:val="single"/>
                  <w:sz w:val="20"/>
                  <w:szCs w:val="20"/>
                </w:rPr>
                <w:t xml:space="preserve">CDC – Hunde einführen</w:t>
              </w:r>
            </w:hyperlink>
          </w:p>
        </w:tc>
        <w:tc>
          <w:tcPr>
            <w:tcW w:type="dxa" w:w="3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Einfuhrregeln für Hunde (CDC Dog Import Form, Mikrochip, Mindestalter 6 Monate)</w:t>
            </w:r>
          </w:p>
        </w:tc>
        <w:tc>
          <w:tcPr>
            <w:tcW w:type="dxa" w:w="32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Sobald feststeht, dass der Hund mitkommt</w:t>
            </w:r>
          </w:p>
        </w:tc>
        <w:tc>
          <w:tcPr>
            <w:tcW w:type="dxa" w:w="1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hyperlink r:id="rIdL11" w:history="1">
              <w:r>
                <w:rPr>
                  <w:rStyle w:val="Hyperlink"/>
                  <w:rFonts w:ascii="Calibri" w:cs="Calibri" w:eastAsia="Calibri" w:hAnsi="Calibri"/>
                  <w:b/>
                  <w:bCs/>
                  <w:color w:val="0563C1"/>
                  <w:u w:val="single"/>
                  <w:sz w:val="20"/>
                  <w:szCs w:val="20"/>
                </w:rPr>
                <w:t xml:space="preserve">HealthCare.gov – Glossar</w:t>
              </w:r>
            </w:hyperlink>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Amtliche Erklärung der Versicherungsbegriffe (Deductible, Copay usw.)</w:t>
            </w:r>
          </w:p>
        </w:tc>
        <w:tc>
          <w:tcPr>
            <w:tcW w:type="dxa" w:w="32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Vor dem Vergleich von Arbeitgeber-Tarifen</w:t>
            </w:r>
          </w:p>
        </w:tc>
        <w:tc>
          <w:tcPr>
            <w:tcW w:type="dxa" w:w="1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hyperlink r:id="rIdL12" w:history="1">
              <w:r>
                <w:rPr>
                  <w:rStyle w:val="Hyperlink"/>
                  <w:rFonts w:ascii="Calibri" w:cs="Calibri" w:eastAsia="Calibri" w:hAnsi="Calibri"/>
                  <w:b/>
                  <w:bCs/>
                  <w:color w:val="0563C1"/>
                  <w:u w:val="single"/>
                  <w:sz w:val="20"/>
                  <w:szCs w:val="20"/>
                </w:rPr>
                <w:t xml:space="preserve">U.S. Department of Labor – COBRA</w:t>
              </w:r>
            </w:hyperlink>
          </w:p>
        </w:tc>
        <w:tc>
          <w:tcPr>
            <w:tcW w:type="dxa" w:w="3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Weiterversicherung nach Jobverlust</w:t>
            </w:r>
          </w:p>
        </w:tc>
        <w:tc>
          <w:tcPr>
            <w:tcW w:type="dxa" w:w="32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Bei Jobwechsel oder Kündigung</w:t>
            </w:r>
          </w:p>
        </w:tc>
        <w:tc>
          <w:tcPr>
            <w:tcW w:type="dxa" w:w="1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hyperlink r:id="rIdL13" w:history="1">
              <w:r>
                <w:rPr>
                  <w:rStyle w:val="Hyperlink"/>
                  <w:rFonts w:ascii="Calibri" w:cs="Calibri" w:eastAsia="Calibri" w:hAnsi="Calibri"/>
                  <w:b/>
                  <w:bCs/>
                  <w:color w:val="0563C1"/>
                  <w:u w:val="single"/>
                  <w:sz w:val="20"/>
                  <w:szCs w:val="20"/>
                </w:rPr>
                <w:t xml:space="preserve">IRS</w:t>
              </w:r>
            </w:hyperlink>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US-Bundessteuern, Formulare</w:t>
            </w:r>
          </w:p>
        </w:tc>
        <w:tc>
          <w:tcPr>
            <w:tcW w:type="dxa" w:w="32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Ab dem ersten US-Einkommen</w:t>
            </w:r>
          </w:p>
        </w:tc>
        <w:tc>
          <w:tcPr>
            <w:tcW w:type="dxa" w:w="1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hyperlink r:id="rIdL14" w:history="1">
              <w:r>
                <w:rPr>
                  <w:rStyle w:val="Hyperlink"/>
                  <w:rFonts w:ascii="Calibri" w:cs="Calibri" w:eastAsia="Calibri" w:hAnsi="Calibri"/>
                  <w:b/>
                  <w:bCs/>
                  <w:color w:val="0563C1"/>
                  <w:u w:val="single"/>
                  <w:sz w:val="20"/>
                  <w:szCs w:val="20"/>
                </w:rPr>
                <w:t xml:space="preserve">IRS – DBA Deutschland/USA</w:t>
              </w:r>
            </w:hyperlink>
          </w:p>
        </w:tc>
        <w:tc>
          <w:tcPr>
            <w:tcW w:type="dxa" w:w="3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Text des Doppelbesteuerungsabkommens (1989) und Protokoll (2006)</w:t>
            </w:r>
          </w:p>
        </w:tc>
        <w:tc>
          <w:tcPr>
            <w:tcW w:type="dxa" w:w="32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Bei Einkünften in beiden Ländern</w:t>
            </w:r>
          </w:p>
        </w:tc>
        <w:tc>
          <w:tcPr>
            <w:tcW w:type="dxa" w:w="1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hyperlink r:id="rIdL15" w:history="1">
              <w:r>
                <w:rPr>
                  <w:rStyle w:val="Hyperlink"/>
                  <w:rFonts w:ascii="Calibri" w:cs="Calibri" w:eastAsia="Calibri" w:hAnsi="Calibri"/>
                  <w:b/>
                  <w:bCs/>
                  <w:color w:val="0563C1"/>
                  <w:u w:val="single"/>
                  <w:sz w:val="20"/>
                  <w:szCs w:val="20"/>
                </w:rPr>
                <w:t xml:space="preserve">Bundeszentralamt für Steuern</w:t>
              </w:r>
            </w:hyperlink>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Erstattung deutscher Quellensteuer nach DBA, Steuer-ID</w:t>
            </w:r>
          </w:p>
        </w:tc>
        <w:tc>
          <w:tcPr>
            <w:tcW w:type="dxa" w:w="32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Wenn nach dem Wegzug deutsche Dividenden oder Lizenzen fließen</w:t>
            </w:r>
          </w:p>
        </w:tc>
        <w:tc>
          <w:tcPr>
            <w:tcW w:type="dxa" w:w="1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hyperlink r:id="rIdL16" w:history="1">
              <w:r>
                <w:rPr>
                  <w:rStyle w:val="Hyperlink"/>
                  <w:rFonts w:ascii="Calibri" w:cs="Calibri" w:eastAsia="Calibri" w:hAnsi="Calibri"/>
                  <w:b/>
                  <w:bCs/>
                  <w:color w:val="0563C1"/>
                  <w:u w:val="single"/>
                  <w:sz w:val="20"/>
                  <w:szCs w:val="20"/>
                </w:rPr>
                <w:t xml:space="preserve">Social Security Administration</w:t>
              </w:r>
            </w:hyperlink>
          </w:p>
        </w:tc>
        <w:tc>
          <w:tcPr>
            <w:tcW w:type="dxa" w:w="3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Social Security Number (SSN)</w:t>
            </w:r>
          </w:p>
        </w:tc>
        <w:tc>
          <w:tcPr>
            <w:tcW w:type="dxa" w:w="32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Frühestens rund 10 Tage nach der Einreise, falls nicht schon beim Visum beantragt</w:t>
            </w:r>
          </w:p>
        </w:tc>
        <w:tc>
          <w:tcPr>
            <w:tcW w:type="dxa" w:w="1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hyperlink r:id="rIdL17" w:history="1">
              <w:r>
                <w:rPr>
                  <w:rStyle w:val="Hyperlink"/>
                  <w:rFonts w:ascii="Calibri" w:cs="Calibri" w:eastAsia="Calibri" w:hAnsi="Calibri"/>
                  <w:b/>
                  <w:bCs/>
                  <w:color w:val="0563C1"/>
                  <w:u w:val="single"/>
                  <w:sz w:val="20"/>
                  <w:szCs w:val="20"/>
                </w:rPr>
                <w:t xml:space="preserve">SSA – Abkommen USA/Deutschland</w:t>
              </w:r>
            </w:hyperlink>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Sozialversicherungsabkommen (Totalisierungsabkommen) aus US-Sicht</w:t>
            </w:r>
          </w:p>
        </w:tc>
        <w:tc>
          <w:tcPr>
            <w:tcW w:type="dxa" w:w="32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Bei Entsendung und für die spätere Rente</w:t>
            </w:r>
          </w:p>
        </w:tc>
        <w:tc>
          <w:tcPr>
            <w:tcW w:type="dxa" w:w="1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hyperlink r:id="rIdL18" w:history="1">
              <w:r>
                <w:rPr>
                  <w:rStyle w:val="Hyperlink"/>
                  <w:rFonts w:ascii="Calibri" w:cs="Calibri" w:eastAsia="Calibri" w:hAnsi="Calibri"/>
                  <w:b/>
                  <w:bCs/>
                  <w:color w:val="0563C1"/>
                  <w:u w:val="single"/>
                  <w:sz w:val="20"/>
                  <w:szCs w:val="20"/>
                </w:rPr>
                <w:t xml:space="preserve">Deutsche Rentenversicherung – Arbeiten in DE und USA</w:t>
              </w:r>
            </w:hyperlink>
          </w:p>
        </w:tc>
        <w:tc>
          <w:tcPr>
            <w:tcW w:type="dxa" w:w="3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Abkommen aus deutscher Sicht, Zusammenrechnung der Zeiten</w:t>
            </w:r>
          </w:p>
        </w:tc>
        <w:tc>
          <w:tcPr>
            <w:tcW w:type="dxa" w:w="32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Vor dem Wegzug und vor Rentenbeginn</w:t>
            </w:r>
          </w:p>
        </w:tc>
        <w:tc>
          <w:tcPr>
            <w:tcW w:type="dxa" w:w="1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hyperlink r:id="rIdL19" w:history="1">
              <w:r>
                <w:rPr>
                  <w:rStyle w:val="Hyperlink"/>
                  <w:rFonts w:ascii="Calibri" w:cs="Calibri" w:eastAsia="Calibri" w:hAnsi="Calibri"/>
                  <w:b/>
                  <w:bCs/>
                  <w:color w:val="0563C1"/>
                  <w:u w:val="single"/>
                  <w:sz w:val="20"/>
                  <w:szCs w:val="20"/>
                </w:rPr>
                <w:t xml:space="preserve">DVKA – Entsendung in die USA</w:t>
              </w:r>
            </w:hyperlink>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Entsendebescheinigung D/USA 101</w:t>
            </w:r>
          </w:p>
        </w:tc>
        <w:tc>
          <w:tcPr>
            <w:tcW w:type="dxa" w:w="32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Wenn Ihr deutscher Arbeitgeber Sie befristet entsendet</w:t>
            </w:r>
          </w:p>
        </w:tc>
        <w:tc>
          <w:tcPr>
            <w:tcW w:type="dxa" w:w="1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hyperlink r:id="rIdL20" w:history="1">
              <w:r>
                <w:rPr>
                  <w:rStyle w:val="Hyperlink"/>
                  <w:rFonts w:ascii="Calibri" w:cs="Calibri" w:eastAsia="Calibri" w:hAnsi="Calibri"/>
                  <w:b/>
                  <w:bCs/>
                  <w:color w:val="0563C1"/>
                  <w:u w:val="single"/>
                  <w:sz w:val="20"/>
                  <w:szCs w:val="20"/>
                </w:rPr>
                <w:t xml:space="preserve">Familienkasse – Kindergeld bei Auslandsbezug</w:t>
              </w:r>
            </w:hyperlink>
          </w:p>
        </w:tc>
        <w:tc>
          <w:tcPr>
            <w:tcW w:type="dxa" w:w="3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Kindergeld und Wegzug</w:t>
            </w:r>
          </w:p>
        </w:tc>
        <w:tc>
          <w:tcPr>
            <w:tcW w:type="dxa" w:w="32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Vor dem Wegzug (Meldepflicht)</w:t>
            </w:r>
          </w:p>
        </w:tc>
        <w:tc>
          <w:tcPr>
            <w:tcW w:type="dxa" w:w="1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hyperlink r:id="rIdL21" w:history="1">
              <w:r>
                <w:rPr>
                  <w:rStyle w:val="Hyperlink"/>
                  <w:rFonts w:ascii="Calibri" w:cs="Calibri" w:eastAsia="Calibri" w:hAnsi="Calibri"/>
                  <w:b/>
                  <w:bCs/>
                  <w:color w:val="0563C1"/>
                  <w:u w:val="single"/>
                  <w:sz w:val="20"/>
                  <w:szCs w:val="20"/>
                </w:rPr>
                <w:t xml:space="preserve">AnnualCreditReport.com</w:t>
              </w:r>
            </w:hyperlink>
          </w:p>
        </w:tc>
        <w:tc>
          <w:tcPr>
            <w:tcW w:type="dxa" w:w="3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Einzige bundesrechtlich autorisierte Stelle für kostenlose Kreditauskünfte (wöchentlich)</w:t>
            </w:r>
          </w:p>
        </w:tc>
        <w:tc>
          <w:tcPr>
            <w:tcW w:type="dxa" w:w="32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Ab dem dritten Monat, dann regelmäßig</w:t>
            </w:r>
          </w:p>
        </w:tc>
        <w:tc>
          <w:tcPr>
            <w:tcW w:type="dxa" w:w="1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r>
        <w:trPr>
          <w:cantSplit/>
        </w:trPr>
        <w:tc>
          <w:tcPr>
            <w:tcW w:type="dxa" w:w="2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hyperlink r:id="rIdL22" w:history="1">
              <w:r>
                <w:rPr>
                  <w:rStyle w:val="Hyperlink"/>
                  <w:rFonts w:ascii="Calibri" w:cs="Calibri" w:eastAsia="Calibri" w:hAnsi="Calibri"/>
                  <w:b/>
                  <w:bCs/>
                  <w:color w:val="0563C1"/>
                  <w:u w:val="single"/>
                  <w:sz w:val="20"/>
                  <w:szCs w:val="20"/>
                </w:rPr>
                <w:t xml:space="preserve">NCES – Public School Search</w:t>
              </w:r>
            </w:hyperlink>
          </w:p>
        </w:tc>
        <w:tc>
          <w:tcPr>
            <w:tcW w:type="dxa" w:w="3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Amtliche Schuldaten des US-Bildungsministeriums</w:t>
            </w:r>
          </w:p>
        </w:tc>
        <w:tc>
          <w:tcPr>
            <w:tcW w:type="dxa" w:w="32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Vor der Wohnungswahl</w:t>
            </w:r>
          </w:p>
        </w:tc>
        <w:tc>
          <w:tcPr>
            <w:tcW w:type="dxa" w:w="1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Okt. 2026</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travel.state.gov, de.usembassy.gov, uscis.gov, cbp.gov, irs.gov, ssa.gov, bzst.de, deutsche-rentenversicherung.de. Alle Links wurden im Oktober 2026 auf Erreichbarkeit geprüft.</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3" w:name="k03"/>
      <w:r>
        <w:rPr>
          <w:rFonts w:ascii="Calibri" w:cs="Calibri" w:eastAsia="Calibri" w:hAnsi="Calibri"/>
          <w:b/>
          <w:bCs/>
          <w:color w:val="1B365D"/>
          <w:sz w:val="32"/>
          <w:szCs w:val="32"/>
        </w:rPr>
        <w:t xml:space="preserve">3. Visum wählen – realistisch</w:t>
      </w:r>
      <w:bookmarkEnd w:id="3"/>
    </w:p>
    <w:p>
      <w:pPr>
        <w:spacing w:after="160" w:before="0" w:line="276"/>
      </w:pPr>
      <w:r>
        <w:rPr>
          <w:rFonts w:ascii="Calibri" w:cs="Calibri" w:eastAsia="Calibri" w:hAnsi="Calibri"/>
          <w:color w:val="222222"/>
          <w:sz w:val="22"/>
          <w:szCs w:val="22"/>
        </w:rPr>
        <w:t xml:space="preserve">Ohne passendes Visum ist alles andere Theorie. ESTA und B-1/B-2 sind kein Einwanderungsweg; Arbeiten auf Besucherstatus ist illegal und kann spätere Anträge dauerhaft belasten. Die Tabelle zeigt, für wen ein Weg realistisch ist, wo er typischerweise scheitert und welcher amtliche Schritt als Nächstes kommt. Sie ersetzt keine Prüfung Ihres Einzelfalls.</w:t>
      </w:r>
    </w:p>
    <w:p>
      <w:pPr>
        <w:pStyle w:val="Heading2"/>
        <w:keepNext/>
        <w:spacing w:after="120" w:before="280"/>
      </w:pPr>
      <w:r>
        <w:rPr>
          <w:rFonts w:ascii="Calibri" w:cs="Calibri" w:eastAsia="Calibri" w:hAnsi="Calibri"/>
          <w:b/>
          <w:bCs/>
          <w:color w:val="0F5C6B"/>
          <w:sz w:val="26"/>
          <w:szCs w:val="26"/>
        </w:rPr>
        <w:t xml:space="preserve">Die gängigen Wege für Deutsche</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250"/>
        <w:gridCol w:w="2300"/>
        <w:gridCol w:w="2050"/>
        <w:gridCol w:w="1950"/>
        <w:gridCol w:w="1450"/>
        <w:gridCol w:w="1706"/>
      </w:tblGrid>
      <w:tr>
        <w:trPr>
          <w:tblHeader/>
          <w:cantSplit/>
        </w:trPr>
        <w:tc>
          <w:tcPr>
            <w:tcW w:type="dxa" w:w="125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7"/>
                <w:szCs w:val="17"/>
              </w:rPr>
              <w:t xml:space="preserve">Visum</w:t>
            </w:r>
          </w:p>
        </w:tc>
        <w:tc>
          <w:tcPr>
            <w:tcW w:type="dxa" w:w="2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7"/>
                <w:szCs w:val="17"/>
              </w:rPr>
              <w:t xml:space="preserve">Kernbedingung · für wen realistisch · Green Card?</w:t>
            </w:r>
          </w:p>
        </w:tc>
        <w:tc>
          <w:tcPr>
            <w:tcW w:type="dxa" w:w="205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7"/>
                <w:szCs w:val="17"/>
              </w:rPr>
              <w:t xml:space="preserve">Typische Hürde</w:t>
            </w:r>
          </w:p>
        </w:tc>
        <w:tc>
          <w:tcPr>
            <w:tcW w:type="dxa" w:w="195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7"/>
                <w:szCs w:val="17"/>
              </w:rPr>
              <w:t xml:space="preserve">Partner / Kinder</w:t>
            </w:r>
          </w:p>
        </w:tc>
        <w:tc>
          <w:tcPr>
            <w:tcW w:type="dxa" w:w="145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7"/>
                <w:szCs w:val="17"/>
              </w:rPr>
              <w:t xml:space="preserve">Zeitrisiko</w:t>
            </w:r>
          </w:p>
        </w:tc>
        <w:tc>
          <w:tcPr>
            <w:tcW w:type="dxa" w:w="17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7"/>
                <w:szCs w:val="17"/>
              </w:rPr>
              <w:t xml:space="preserve">Nächster offizieller Schritt</w:t>
            </w:r>
          </w:p>
        </w:tc>
      </w:tr>
      <w:tr>
        <w:trPr>
          <w:cantSplit/>
        </w:trPr>
        <w:tc>
          <w:tcPr>
            <w:tcW w:type="dxa" w:w="12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7"/>
                <w:szCs w:val="17"/>
              </w:rPr>
              <w:t xml:space="preserve">H-1B</w:t>
            </w:r>
          </w:p>
        </w:tc>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US-Arbeitgeber, Tätigkeit mit Hochschulabschluss im Fach (Specialty Occupation). Realistisch für Fachkräfte mit konkretem Jobangebot. Green Card möglich, nicht automatisch.</w:t>
            </w:r>
          </w:p>
        </w:tc>
        <w:tc>
          <w:tcPr>
            <w:tcW w:type="dxa" w:w="20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Jährliche Lotterie; seit dem Jahrgang 2027 nach Lohnstufe gewichtet. Neue Petitionen: 100.000-USD-Zahlung per Proklamation, derzeit gerichtlich gestoppt – Stand vor Vertragsunterschrift prüfen. Ausnahmen vom Kontingent: u. a. Hochschulen.</w:t>
            </w:r>
          </w:p>
        </w:tc>
        <w:tc>
          <w:tcPr>
            <w:tcW w:type="dxa" w:w="19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H-4. Partner arbeitet nur mit EAD und nur in zwei Konstellationen (siehe unten). Kinder: keine Arbeit.</w:t>
            </w:r>
          </w:p>
        </w:tc>
        <w:tc>
          <w:tcPr>
            <w:tcW w:type="dxa" w:w="14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Hoch: Registrierung einmal jährlich (März), Arbeitsbeginn frühestens 1. Oktober.</w:t>
            </w:r>
          </w:p>
        </w:tc>
        <w:tc>
          <w:tcPr>
            <w:tcW w:type="dxa" w:w="17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Arbeitgeber registriert über USCIS; Kostenübernahme schriftlich bestätigen lassen.</w:t>
            </w:r>
          </w:p>
        </w:tc>
      </w:tr>
      <w:tr>
        <w:trPr>
          <w:cantSplit/>
        </w:trPr>
        <w:tc>
          <w:tcPr>
            <w:tcW w:type="dxa" w:w="12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7"/>
                <w:szCs w:val="17"/>
              </w:rPr>
              <w:t xml:space="preserve">L-1A / L-1B</w:t>
            </w:r>
          </w:p>
        </w:tc>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Versetzung innerhalb eines Konzerns; mindestens ein Jahr ununterbrochen in den letzten drei Jahren bei der verbundenen Gesellschaft im Ausland. L-1A: Führungskraft, L-1B: Spezialwissen. Green Card bei L-1A oft über EB-1C.</w:t>
            </w:r>
          </w:p>
        </w:tc>
        <w:tc>
          <w:tcPr>
            <w:tcW w:type="dxa" w:w="20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Nachweis des Konzernverbunds und – bei L-1B – des „Spezialwissens“; neue US-Niederlassung zunächst nur für ein Jahr.</w:t>
            </w:r>
          </w:p>
        </w:tc>
        <w:tc>
          <w:tcPr>
            <w:tcW w:type="dxa" w:w="19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L-2. Ehepartner arbeitsberechtigt kraft Status (I-94 mit „L-2S“). Kinder: keine Arbeit.</w:t>
            </w:r>
          </w:p>
        </w:tc>
        <w:tc>
          <w:tcPr>
            <w:tcW w:type="dxa" w:w="14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Mittel. Große Firmen mit Blanket-L beantragen direkt beim Konsulat.</w:t>
            </w:r>
          </w:p>
        </w:tc>
        <w:tc>
          <w:tcPr>
            <w:tcW w:type="dxa" w:w="17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Personalabteilung bzw. Firmenanwalt reicht I-129 ein oder nutzt die Blanket-Petition.</w:t>
            </w:r>
          </w:p>
        </w:tc>
      </w:tr>
      <w:tr>
        <w:trPr>
          <w:cantSplit/>
        </w:trPr>
        <w:tc>
          <w:tcPr>
            <w:tcW w:type="dxa" w:w="12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7"/>
                <w:szCs w:val="17"/>
              </w:rPr>
              <w:t xml:space="preserve">E-2</w:t>
            </w:r>
          </w:p>
        </w:tc>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Deutsche Staatsangehörigkeit (Unternehmen mindestens zur Hälfte in deutscher Hand), substanzielle Investition, die bereits gebunden ist, aktive Führung. Auch für wichtige deutsche Mitarbeiter eines E-2-Unternehmens. Keine Green Card, kein „dual intent“.</w:t>
            </w:r>
          </w:p>
        </w:tc>
        <w:tc>
          <w:tcPr>
            <w:tcW w:type="dxa" w:w="20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Geschäftsplan, lückenloser Mittelherkunftsnachweis, „Marginalität“: Das Geschäft muss mehr als den eigenen Lebensunterhalt tragen.</w:t>
            </w:r>
          </w:p>
        </w:tc>
        <w:tc>
          <w:tcPr>
            <w:tcW w:type="dxa" w:w="19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E-2. Ehepartner arbeitsberechtigt kraft Status (I-94 mit „E-2S“). Kinder: keine Arbeit.</w:t>
            </w:r>
          </w:p>
        </w:tc>
        <w:tc>
          <w:tcPr>
            <w:tcW w:type="dxa" w:w="14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Hoch für das Kapital: Geld muss vor dem Interview gebunden sein.</w:t>
            </w:r>
          </w:p>
        </w:tc>
        <w:tc>
          <w:tcPr>
            <w:tcW w:type="dxa" w:w="17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E-Visa nur über Frankfurt; Anleitung auf U.S. Travel Docs. Vorher Anwalt prüfen lassen.</w:t>
            </w:r>
          </w:p>
        </w:tc>
      </w:tr>
      <w:tr>
        <w:trPr>
          <w:cantSplit/>
        </w:trPr>
        <w:tc>
          <w:tcPr>
            <w:tcW w:type="dxa" w:w="12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7"/>
                <w:szCs w:val="17"/>
              </w:rPr>
              <w:t xml:space="preserve">O-1</w:t>
            </w:r>
          </w:p>
        </w:tc>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Herausragende Fähigkeiten in Wissenschaft, Kunst, Wirtschaft, Sport – belegt durch Preise, Publikationen, Presse, hohe Vergütung. US-Arbeitgeber oder Agent. Green Card über andere Wege (z. B. EB-1A) möglich.</w:t>
            </w:r>
          </w:p>
        </w:tc>
        <w:tc>
          <w:tcPr>
            <w:tcW w:type="dxa" w:w="20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Belege müssen die hohe Schwelle erreichen; ein guter Lebenslauf reicht nicht.</w:t>
            </w:r>
          </w:p>
        </w:tc>
        <w:tc>
          <w:tcPr>
            <w:tcW w:type="dxa" w:w="19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O-3. Partner und Kinder dürfen nicht arbeiten.</w:t>
            </w:r>
          </w:p>
        </w:tc>
        <w:tc>
          <w:tcPr>
            <w:tcW w:type="dxa" w:w="14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Mittel; Beweissammlung dauert oft Monate.</w:t>
            </w:r>
          </w:p>
        </w:tc>
        <w:tc>
          <w:tcPr>
            <w:tcW w:type="dxa" w:w="17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Arbeitgeber oder Agent reicht I-129 bei USCIS ein.</w:t>
            </w:r>
          </w:p>
        </w:tc>
      </w:tr>
      <w:tr>
        <w:trPr>
          <w:cantSplit/>
        </w:trPr>
        <w:tc>
          <w:tcPr>
            <w:tcW w:type="dxa" w:w="12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7"/>
                <w:szCs w:val="17"/>
              </w:rPr>
              <w:t xml:space="preserve">EB-5</w:t>
            </w:r>
          </w:p>
        </w:tc>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Investition von 800.000 USD (Fördergebiet TEA oder Infrastruktur) bzw. 1.050.000 USD, zehn Vollzeitstellen, Kapital im Risiko. Für Vermögende mit dokumentierbarer Mittelherkunft. Führt direkt zur (zunächst bedingten) Green Card.</w:t>
            </w:r>
          </w:p>
        </w:tc>
        <w:tc>
          <w:tcPr>
            <w:tcW w:type="dxa" w:w="20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Herkunft jedes Dollars belegen; Projektrisiko bei Regionalzentren; lange Bearbeitung.</w:t>
            </w:r>
          </w:p>
        </w:tc>
        <w:tc>
          <w:tcPr>
            <w:tcW w:type="dxa" w:w="19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Ehepartner und unverheiratete Kinder unter 21 erhalten eine abgeleitete Green Card.</w:t>
            </w:r>
          </w:p>
        </w:tc>
        <w:tc>
          <w:tcPr>
            <w:tcW w:type="dxa" w:w="14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Sehr hoch: Kapital für Jahre gebunden.</w:t>
            </w:r>
          </w:p>
        </w:tc>
        <w:tc>
          <w:tcPr>
            <w:tcW w:type="dxa" w:w="17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Formular I-526E bzw. I-526 bei USCIS; aktuelle Beträge vor Antragstellung bei USCIS prüfen.</w:t>
            </w:r>
          </w:p>
        </w:tc>
      </w:tr>
      <w:tr>
        <w:trPr>
          <w:cantSplit/>
        </w:trPr>
        <w:tc>
          <w:tcPr>
            <w:tcW w:type="dxa" w:w="12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7"/>
                <w:szCs w:val="17"/>
              </w:rPr>
              <w:t xml:space="preserve">K-1</w:t>
            </w:r>
          </w:p>
        </w:tc>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Verlobung mit US-Bürger; Heirat innerhalb von 90 Tagen nach Einreise, danach Antrag auf Green Card in den USA (Adjustment of Status).</w:t>
            </w:r>
          </w:p>
        </w:tc>
        <w:tc>
          <w:tcPr>
            <w:tcW w:type="dxa" w:w="20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Nachweis einer echten Beziehung; persönliches Treffen in den letzten zwei Jahren.</w:t>
            </w:r>
          </w:p>
        </w:tc>
        <w:tc>
          <w:tcPr>
            <w:tcW w:type="dxa" w:w="19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K-2 für Kinder. Arbeit erst mit EAD.</w:t>
            </w:r>
          </w:p>
        </w:tc>
        <w:tc>
          <w:tcPr>
            <w:tcW w:type="dxa" w:w="14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Mittel bis hoch; Monate ohne Arbeitserlaubnis einplanen.</w:t>
            </w:r>
          </w:p>
        </w:tc>
        <w:tc>
          <w:tcPr>
            <w:tcW w:type="dxa" w:w="17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US-Partner reicht I-129F bei USCIS ein; Interview in Frankfurt.</w:t>
            </w:r>
          </w:p>
        </w:tc>
      </w:tr>
      <w:tr>
        <w:trPr>
          <w:cantSplit/>
        </w:trPr>
        <w:tc>
          <w:tcPr>
            <w:tcW w:type="dxa" w:w="12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7"/>
                <w:szCs w:val="17"/>
              </w:rPr>
              <w:t xml:space="preserve">CR-1 / IR-1</w:t>
            </w:r>
          </w:p>
        </w:tc>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Ehe mit US-Bürger, Einwanderungsvisum vor der Einreise. Green Card mit der Einreise (CR-1 zunächst bedingt, bei Ehe unter zwei Jahren).</w:t>
            </w:r>
          </w:p>
        </w:tc>
        <w:tc>
          <w:tcPr>
            <w:tcW w:type="dxa" w:w="20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Unterhaltsverpflichtung I-864 mit Einkommensnachweis; ärztliche Untersuchung bei einem zugelassenen Panel-Arzt.</w:t>
            </w:r>
          </w:p>
        </w:tc>
        <w:tc>
          <w:tcPr>
            <w:tcW w:type="dxa" w:w="19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Stiefkinder, wenn die Ehe vor ihrem 18. Geburtstag geschlossen wurde. Arbeit sofort erlaubt.</w:t>
            </w:r>
          </w:p>
        </w:tc>
        <w:tc>
          <w:tcPr>
            <w:tcW w:type="dxa" w:w="14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Mittel; mehrere Monate bis über ein Jahr.</w:t>
            </w:r>
          </w:p>
        </w:tc>
        <w:tc>
          <w:tcPr>
            <w:tcW w:type="dxa" w:w="17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US-Partner reicht I-130 ein; Interview in Frankfurt.</w:t>
            </w:r>
          </w:p>
        </w:tc>
      </w:tr>
      <w:tr>
        <w:trPr>
          <w:cantSplit/>
        </w:trPr>
        <w:tc>
          <w:tcPr>
            <w:tcW w:type="dxa" w:w="12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7"/>
                <w:szCs w:val="17"/>
              </w:rPr>
              <w:t xml:space="preserve">J-1</w:t>
            </w:r>
          </w:p>
        </w:tc>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Austauschprogramm (Forschung, Praktikum, Trainee, Au-pair) über einen zugelassenen Sponsor. Green Card eingeschränkt, wenn die Zwei-Jahres-Heimatregel greift.</w:t>
            </w:r>
          </w:p>
        </w:tc>
        <w:tc>
          <w:tcPr>
            <w:tcW w:type="dxa" w:w="20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Zwei-Jahres-Heimatregel 212(e), u. a. bei staatlicher Förderung; befristet.</w:t>
            </w:r>
          </w:p>
        </w:tc>
        <w:tc>
          <w:tcPr>
            <w:tcW w:type="dxa" w:w="19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J-2. Partner kann EAD beantragen.</w:t>
            </w:r>
          </w:p>
        </w:tc>
        <w:tc>
          <w:tcPr>
            <w:tcW w:type="dxa" w:w="14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Niedrig bis mittel.</w:t>
            </w:r>
          </w:p>
        </w:tc>
        <w:tc>
          <w:tcPr>
            <w:tcW w:type="dxa" w:w="17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Sponsor stellt Formular DS-2019 aus.</w:t>
            </w:r>
          </w:p>
        </w:tc>
      </w:tr>
      <w:tr>
        <w:trPr>
          <w:cantSplit/>
        </w:trPr>
        <w:tc>
          <w:tcPr>
            <w:tcW w:type="dxa" w:w="12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7"/>
                <w:szCs w:val="17"/>
              </w:rPr>
              <w:t xml:space="preserve">F-1</w:t>
            </w:r>
          </w:p>
        </w:tc>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Studium an einer zertifizierten Hochschule; Arbeit nur eng begrenzt, danach OPT. Keine direkte Green Card.</w:t>
            </w:r>
          </w:p>
        </w:tc>
        <w:tc>
          <w:tcPr>
            <w:tcW w:type="dxa" w:w="20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Finanzierungsnachweis; Arbeitsverbot außerhalb der Ausnahmen.</w:t>
            </w:r>
          </w:p>
        </w:tc>
        <w:tc>
          <w:tcPr>
            <w:tcW w:type="dxa" w:w="19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F-2. Partner darf nicht arbeiten.</w:t>
            </w:r>
          </w:p>
        </w:tc>
        <w:tc>
          <w:tcPr>
            <w:tcW w:type="dxa" w:w="145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Niedrig.</w:t>
            </w:r>
          </w:p>
        </w:tc>
        <w:tc>
          <w:tcPr>
            <w:tcW w:type="dxa" w:w="17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Zulassung, Formular I-20, SEVIS-Gebühr.</w:t>
            </w:r>
          </w:p>
        </w:tc>
      </w:tr>
      <w:tr>
        <w:trPr>
          <w:cantSplit/>
        </w:trPr>
        <w:tc>
          <w:tcPr>
            <w:tcW w:type="dxa" w:w="12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7"/>
                <w:szCs w:val="17"/>
              </w:rPr>
              <w:t xml:space="preserve">DV-Lotterie</w:t>
            </w:r>
          </w:p>
        </w:tc>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Gewinn in der Diversity-Visa-Lotterie; Schulabschluss auf High-School-Niveau oder zwei Jahre Berufserfahrung in einem qualifizierenden Beruf. Deutschland war für DV-2026 teilnahmeberechtigt. Führt zur Green Card.</w:t>
            </w:r>
          </w:p>
        </w:tc>
        <w:tc>
          <w:tcPr>
            <w:tcW w:type="dxa" w:w="20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Reiner Zufall, geringe Chance. Registrierung für DV-2027 war im Oktober 2026 noch nicht eröffnet.</w:t>
            </w:r>
          </w:p>
        </w:tc>
        <w:tc>
          <w:tcPr>
            <w:tcW w:type="dxa" w:w="19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Ehepartner und Kinder unter 21 können mit einwandern.</w:t>
            </w:r>
          </w:p>
        </w:tc>
        <w:tc>
          <w:tcPr>
            <w:tcW w:type="dxa" w:w="145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Hoch: Visum muss im jeweiligen Fiskaljahr erteilt werden.</w:t>
            </w:r>
          </w:p>
        </w:tc>
        <w:tc>
          <w:tcPr>
            <w:tcW w:type="dxa" w:w="17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7"/>
                <w:szCs w:val="17"/>
              </w:rPr>
              <w:t xml:space="preserve">Nur über die offizielle State-Department-Seite im angekündigten Zeitraum; Teilnahme kostenlos.</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F8E8E4"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Aktuelle Sonderregeln (Stand Oktober 2026)</w:t>
            </w:r>
          </w:p>
          <w:p>
            <w:pPr>
              <w:spacing w:after="60"/>
            </w:pP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Interview:</w:t>
            </w:r>
            <w:r>
              <w:rPr>
                <w:rFonts w:ascii="Calibri" w:cs="Calibri" w:eastAsia="Calibri" w:hAnsi="Calibri"/>
                <w:color w:val="222222"/>
                <w:sz w:val="21"/>
                <w:szCs w:val="21"/>
              </w:rPr>
              <w:t xml:space="preserve"> Seit 1. Oktober 2025 für fast alle Antragsteller Pflicht, auch für Kinder. Termin im Land der Staatsangehörigkeit oder des Wohnsitzes buchen.</w:t>
            </w:r>
          </w:p>
          <w:p>
            <w:pPr>
              <w:spacing w:after="60"/>
            </w:pP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H-1B-Zahlung von 100.000 USD:</w:t>
            </w:r>
            <w:r>
              <w:rPr>
                <w:rFonts w:ascii="Calibri" w:cs="Calibri" w:eastAsia="Calibri" w:hAnsi="Calibri"/>
                <w:color w:val="222222"/>
                <w:sz w:val="21"/>
                <w:szCs w:val="21"/>
              </w:rPr>
              <w:t xml:space="preserve"> Proklamation vom 19. September 2025 für neue Petitionen; ein Bundesgericht hat die Umsetzung im Juni 2026 gestoppt, das Berufungsgericht hat die Aussetzung im Juli 2026 nicht aufgehoben. USCIS erhebt die Zahlung derzeit nicht, will sie aber erheben, falls das Urteil fällt.</w:t>
            </w:r>
          </w:p>
          <w:p>
            <w:pPr>
              <w:spacing w:after="60"/>
            </w:pP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H-1B-Lotterie:</w:t>
            </w:r>
            <w:r>
              <w:rPr>
                <w:rFonts w:ascii="Calibri" w:cs="Calibri" w:eastAsia="Calibri" w:hAnsi="Calibri"/>
                <w:color w:val="222222"/>
                <w:sz w:val="21"/>
                <w:szCs w:val="21"/>
              </w:rPr>
              <w:t xml:space="preserve"> Seit dem Jahrgang 2027 gewichtet: Höhere Lohnstufen erhalten mehr Lose.</w:t>
            </w:r>
          </w:p>
          <w:p>
            <w:pPr>
              <w:spacing w:after="60"/>
            </w:pP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EAD-Verlängerung:</w:t>
            </w:r>
            <w:r>
              <w:rPr>
                <w:rFonts w:ascii="Calibri" w:cs="Calibri" w:eastAsia="Calibri" w:hAnsi="Calibri"/>
                <w:color w:val="222222"/>
                <w:sz w:val="21"/>
                <w:szCs w:val="21"/>
              </w:rPr>
              <w:t xml:space="preserve"> Für Folgeanträge ab 30. Oktober 2025 gibt es keine automatische Verlängerung mehr. Folgeantrag bis zu 180 Tage vor Ablauf stellen.</w:t>
            </w:r>
          </w:p>
          <w:p>
            <w:pPr>
              <w:spacing w:after="60"/>
            </w:pP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Visa Integrity Fee (250 USD):</w:t>
            </w:r>
            <w:r>
              <w:rPr>
                <w:rFonts w:ascii="Calibri" w:cs="Calibri" w:eastAsia="Calibri" w:hAnsi="Calibri"/>
                <w:color w:val="222222"/>
                <w:sz w:val="21"/>
                <w:szCs w:val="21"/>
              </w:rPr>
              <w:t xml:space="preserve"> 2025 gesetzlich eingeführt, fällig bei Visumserteilung. Ob und seit wann das Konsulat sie erhebt, vor dem Termin auf U.S. Travel Docs prüfen.</w:t>
            </w:r>
          </w:p>
          <w:p>
            <w:pPr>
              <w:spacing w:after="0"/>
            </w:pP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Diversity-Visa 2027:</w:t>
            </w:r>
            <w:r>
              <w:rPr>
                <w:rFonts w:ascii="Calibri" w:cs="Calibri" w:eastAsia="Calibri" w:hAnsi="Calibri"/>
                <w:color w:val="222222"/>
                <w:sz w:val="21"/>
                <w:szCs w:val="21"/>
              </w:rPr>
              <w:t xml:space="preserve"> Registrierungszeitraum war im Oktober 2026 noch nicht angekündigt.</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F4F1EA"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EB-5-Beträge: vor Antragstellung bei USCIS prüfen</w:t>
            </w:r>
          </w:p>
          <w:p>
            <w:pPr>
              <w:spacing w:after="0"/>
            </w:pPr>
            <w:r>
              <w:rPr>
                <w:rFonts w:ascii="Calibri" w:cs="Calibri" w:eastAsia="Calibri" w:hAnsi="Calibri"/>
                <w:color w:val="222222"/>
                <w:sz w:val="21"/>
                <w:szCs w:val="21"/>
              </w:rPr>
              <w:t xml:space="preserve">Aktuell gelten 800.000 USD (TEA oder Infrastruktur) und 1.050.000 USD (Standard). Das Gesetz von 2022 (EB-5 Reform and Integrity Act) sieht eine Inflationsanpassung zum 1. Januar 2027 und danach alle fünf Jahre vor. Konkrete neue Beträge waren bei Redaktionsschluss nicht amtlich veröffentlicht. Maßgeblich ist der Betrag am Tag der Einreichung: Prüfen Sie ihn unmittelbar vorher auf uscis.gov. Kapital muss im Risiko stehen und Arbeitsplätze schaffen. Kein Do-it-yourself-Projekt.</w:t>
            </w:r>
          </w:p>
        </w:tc>
      </w:tr>
    </w:tbl>
    <w:p>
      <w:pPr>
        <w:spacing w:after="200"/>
      </w:pPr>
    </w:p>
    <w:p>
      <w:pPr>
        <w:pStyle w:val="Heading2"/>
        <w:keepNext/>
        <w:spacing w:after="120" w:before="280"/>
      </w:pPr>
      <w:r>
        <w:rPr>
          <w:rFonts w:ascii="Calibri" w:cs="Calibri" w:eastAsia="Calibri" w:hAnsi="Calibri"/>
          <w:b/>
          <w:bCs/>
          <w:color w:val="0F5C6B"/>
          <w:sz w:val="26"/>
          <w:szCs w:val="26"/>
        </w:rPr>
        <w:t xml:space="preserve">E-2 kurz erklärt</w:t>
      </w:r>
    </w:p>
    <w:p>
      <w:pPr>
        <w:spacing w:after="160" w:before="0" w:line="276"/>
      </w:pPr>
      <w:r>
        <w:rPr>
          <w:rFonts w:ascii="Calibri" w:cs="Calibri" w:eastAsia="Calibri" w:hAnsi="Calibri"/>
          <w:color w:val="222222"/>
          <w:sz w:val="22"/>
          <w:szCs w:val="22"/>
        </w:rPr>
        <w:t xml:space="preserve">Es gibt keinen gesetzlichen Mindestbetrag: Die Investition muss im Verhältnis zu den Gesamtkosten des Betriebs substanziell, unwiderruflich gebunden und auf Gewinn ausgerichtet sein, und Sie müssen das Unternehmen aktiv führen (typisch mindestens 50 % Eigentum oder operative Kontrolle). Passive Beteiligung reicht nicht. Der Status endet, wenn das Geschäft endet oder an Nicht-Deutsche verkauft wird.</w:t>
      </w:r>
    </w:p>
    <w:p>
      <w:pPr>
        <w:spacing w:after="160" w:before="0" w:line="276"/>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Eine Unternehmerin kauft einen bestehenden Handwerksbetrieb mit drei Angestellten. Der Kaufvertrag liegt unterschrieben beim Treuhänder (Escrow) und wird nur bei Visumserteilung wirksam. So ist das Geld gebunden, aber bei Ablehnung nicht verloren. Ob eine solche Klausel im Einzelfall genügt, entscheidet der Konsularbeamte – der Anwalt muss sie vorher prüfen.</w:t>
      </w:r>
    </w:p>
    <w:p>
      <w:pPr>
        <w:pStyle w:val="Heading2"/>
        <w:keepNext/>
        <w:spacing w:after="120" w:before="280"/>
      </w:pPr>
      <w:r>
        <w:rPr>
          <w:rFonts w:ascii="Calibri" w:cs="Calibri" w:eastAsia="Calibri" w:hAnsi="Calibri"/>
          <w:b/>
          <w:bCs/>
          <w:color w:val="0F5C6B"/>
          <w:sz w:val="26"/>
          <w:szCs w:val="26"/>
        </w:rPr>
        <w:t xml:space="preserve">Begleitpersonen: wer darf arbeiten?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2600"/>
        <w:gridCol w:w="2106"/>
      </w:tblGrid>
      <w:tr>
        <w:trPr>
          <w:tblHeader/>
          <w:cantSplit/>
        </w:trPr>
        <w:tc>
          <w:tcPr>
            <w:tcW w:type="dxa" w:w="17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Status</w:t>
            </w:r>
          </w:p>
        </w:tc>
        <w:tc>
          <w:tcPr>
            <w:tcW w:type="dxa" w:w="4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Arbeit für Ehepartner (Stand Okt. 2026)</w:t>
            </w:r>
          </w:p>
        </w:tc>
        <w:tc>
          <w:tcPr>
            <w:tcW w:type="dxa" w:w="26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Nachweis</w:t>
            </w:r>
          </w:p>
        </w:tc>
        <w:tc>
          <w:tcPr>
            <w:tcW w:type="dxa" w:w="21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Kinder</w:t>
            </w:r>
          </w:p>
        </w:tc>
      </w:tr>
      <w:tr>
        <w:trPr>
          <w:cantSplit/>
        </w:trPr>
        <w:tc>
          <w:tcPr>
            <w:tcW w:type="dxa" w:w="1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H-4</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Nur mit eigener EAD (Formular I-765), wenn der H-1B-Partner eine genehmigte I-140 hat oder seinen H-1B-Status über sechs Jahre hinaus nach AC21 §106(a)/(b) verlängert bekam. Arbeiten erst ab Erhalt der Karte. DHS führt eine mögliche Abschaffung auf der langfristigen Regulierungsagenda; ein Entwurf ist nicht veröffentlicht.</w:t>
            </w:r>
          </w:p>
        </w:tc>
        <w:tc>
          <w:tcPr>
            <w:tcW w:type="dxa" w:w="2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EAD-Karte</w:t>
            </w:r>
          </w:p>
        </w:tc>
        <w:tc>
          <w:tcPr>
            <w:tcW w:type="dxa" w:w="21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 Arbeit</w:t>
            </w:r>
          </w:p>
        </w:tc>
      </w:tr>
      <w:tr>
        <w:trPr>
          <w:cantSplit/>
        </w:trPr>
        <w:tc>
          <w:tcPr>
            <w:tcW w:type="dxa" w:w="1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L-2</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Arbeitsberechtigt kraft Status (seit November 2021). EAD optional.</w:t>
            </w:r>
          </w:p>
        </w:tc>
        <w:tc>
          <w:tcPr>
            <w:tcW w:type="dxa" w:w="2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I-94 mit „L-2S“ (seit 30. Januar 2022) als Nachweis für Formular I-9</w:t>
            </w:r>
          </w:p>
        </w:tc>
        <w:tc>
          <w:tcPr>
            <w:tcW w:type="dxa" w:w="21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 Arbeit</w:t>
            </w:r>
          </w:p>
        </w:tc>
      </w:tr>
      <w:tr>
        <w:trPr>
          <w:cantSplit/>
        </w:trPr>
        <w:tc>
          <w:tcPr>
            <w:tcW w:type="dxa" w:w="1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E-1 / E-2</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Arbeitsberechtigt kraft Status. EAD optional.</w:t>
            </w:r>
          </w:p>
        </w:tc>
        <w:tc>
          <w:tcPr>
            <w:tcW w:type="dxa" w:w="2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I-94 mit „E-1S“ bzw. „E-2S“</w:t>
            </w:r>
          </w:p>
        </w:tc>
        <w:tc>
          <w:tcPr>
            <w:tcW w:type="dxa" w:w="21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 Arbeit</w:t>
            </w:r>
          </w:p>
        </w:tc>
      </w:tr>
      <w:tr>
        <w:trPr>
          <w:cantSplit/>
        </w:trPr>
        <w:tc>
          <w:tcPr>
            <w:tcW w:type="dxa" w:w="1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O-3, F-2</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 Arbeit erlaubt</w:t>
            </w:r>
          </w:p>
        </w:tc>
        <w:tc>
          <w:tcPr>
            <w:tcW w:type="dxa" w:w="2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1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 Arbeit</w:t>
            </w:r>
          </w:p>
        </w:tc>
      </w:tr>
      <w:tr>
        <w:trPr>
          <w:cantSplit/>
        </w:trPr>
        <w:tc>
          <w:tcPr>
            <w:tcW w:type="dxa" w:w="1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J-2</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EAD über Formular I-765 möglich; das Einkommen darf nicht den J-1-Aufenthalt finanzieren</w:t>
            </w:r>
          </w:p>
        </w:tc>
        <w:tc>
          <w:tcPr>
            <w:tcW w:type="dxa" w:w="2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EAD-Karte</w:t>
            </w:r>
          </w:p>
        </w:tc>
        <w:tc>
          <w:tcPr>
            <w:tcW w:type="dxa" w:w="21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 Arbeit ohne eigene EAD</w:t>
            </w:r>
          </w:p>
        </w:tc>
      </w:tr>
      <w:tr>
        <w:trPr>
          <w:cantSplit/>
        </w:trPr>
        <w:tc>
          <w:tcPr>
            <w:tcW w:type="dxa" w:w="1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Green Card (CR-1, IR-1, EB-5-Familie)</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Sofort ab Einreise mit Einwanderungsvisum</w:t>
            </w:r>
          </w:p>
        </w:tc>
        <w:tc>
          <w:tcPr>
            <w:tcW w:type="dxa" w:w="2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Green Card bzw. gestempeltes Einwanderungsvisum</w:t>
            </w:r>
          </w:p>
        </w:tc>
        <w:tc>
          <w:tcPr>
            <w:tcW w:type="dxa" w:w="21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Ebenfalls</w:t>
            </w:r>
          </w:p>
        </w:tc>
      </w:tr>
      <w:tr>
        <w:trPr>
          <w:cantSplit/>
        </w:trPr>
        <w:tc>
          <w:tcPr>
            <w:tcW w:type="dxa" w:w="1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K-1</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Erst mit EAD (nach Einreise oder mit dem Green-Card-Antrag)</w:t>
            </w:r>
          </w:p>
        </w:tc>
        <w:tc>
          <w:tcPr>
            <w:tcW w:type="dxa" w:w="2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EAD-Karte</w:t>
            </w:r>
          </w:p>
        </w:tc>
        <w:tc>
          <w:tcPr>
            <w:tcW w:type="dxa" w:w="21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K-2: ebenso</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Nach jeder Einreise das I-94 auf i94.cbp.dhs.gov abrufen. Steht beim Ehepartner nur „L-2“ oder „E-2“ statt „L-2S“ oder „E-2S“, gilt das I-94 nicht als Arbeitsnachweis. Korrektur bei CBP (Deferred Inspection) beantragen, bevor ein Arbeitsvertrag beginnt.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Bei H-4: EAD-Antrag erst stellen, wenn die Voraussetzung (genehmigte I-140 oder AC21-Verlängerung) erfüllt ist; vorher nicht arbeiten, auch nicht „probeweise“.</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EAD-Folgeantrag spätestens 180 Tage vor Ablauf stellen; eine automatische Verlängerung gibt es seit Oktober 2025 nicht mehr.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Unverheiratete Partner: Es gibt keinen abgeleiteten Status. Ein Partner ohne eigenes Visum bleibt Besucher ohne Arbeitsrecht. Heirat, eigenes Visum oder Pendeln vorab entscheiden.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Gleichgeschlechtliche Ehen werden im US-Einwanderungsrecht wie jede Ehe behandelt. Eingetragene Partnerschaften, die keine Ehe sind, vom Anwalt einordnen lassen.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Was Sie entscheiden, bevor Geld fließt</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Visumskategorie und Plan B schriftlich festhalten (Kapitel 1, Frage 1).</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Klären, wer Antragsteller ist (Arbeitgeber, Sie selbst, US-Partner) und wer Anwalts- und Behördengebühren zahlt.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Keine Wohnung kündigen, kein Haus verkaufen, keinen Container buchen, bevor das Visum im Pass ist oder die Petition genehmigt ist. Ausnahme: Rücktrittsrecht ist vertraglich gesichert.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Bei E-2 und EB-5: Mittelherkunft lückenlos dokumentieren (Kontoauszüge, Verkaufsverträge, Erbschaftsnachweise, Steuerbescheide), bevor Geld bewegt wird.</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Erstberatung bei einem zugelassenen US-Einwanderungsanwalt mit konkreten Fragen: Erfolgsaussicht, Zeitrahmen, Kosten, typische Ablehnungsgründe in Ihrer Kategorie.</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Zweitmeinung einholen, wenn ein Anwalt eine Erfolgsgarantie gibt. Seriöse Anwälte geben keine.</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1" w:history="1">
              <w:r>
                <w:rPr>
                  <w:rStyle w:val="Hyperlink"/>
                  <w:rFonts w:ascii="Calibri" w:cs="Calibri" w:eastAsia="Calibri" w:hAnsi="Calibri"/>
                  <w:color w:val="0563C1"/>
                  <w:u w:val="single"/>
                  <w:sz w:val="21"/>
                  <w:szCs w:val="21"/>
                </w:rPr>
                <w:t xml:space="preserve">travel.state.gov – Visa</w:t>
              </w:r>
            </w:hyperlink>
            <w:r>
              <w:rPr>
                <w:rFonts w:ascii="Calibri" w:cs="Calibri" w:eastAsia="Calibri" w:hAnsi="Calibri"/>
                <w:color w:val="222222"/>
                <w:sz w:val="21"/>
                <w:szCs w:val="21"/>
              </w:rPr>
              <w:t xml:space="preserve">, </w:t>
            </w:r>
            <w:hyperlink r:id="rIdL23" w:history="1">
              <w:r>
                <w:rPr>
                  <w:rStyle w:val="Hyperlink"/>
                  <w:rFonts w:ascii="Calibri" w:cs="Calibri" w:eastAsia="Calibri" w:hAnsi="Calibri"/>
                  <w:color w:val="0563C1"/>
                  <w:u w:val="single"/>
                  <w:sz w:val="21"/>
                  <w:szCs w:val="21"/>
                </w:rPr>
                <w:t xml:space="preserve">Interview-Regeln Sept. 2025</w:t>
              </w:r>
            </w:hyperlink>
            <w:r>
              <w:rPr>
                <w:rFonts w:ascii="Calibri" w:cs="Calibri" w:eastAsia="Calibri" w:hAnsi="Calibri"/>
                <w:color w:val="222222"/>
                <w:sz w:val="21"/>
                <w:szCs w:val="21"/>
              </w:rPr>
              <w:t xml:space="preserve">, </w:t>
            </w:r>
            <w:hyperlink r:id="rIdL24" w:history="1">
              <w:r>
                <w:rPr>
                  <w:rStyle w:val="Hyperlink"/>
                  <w:rFonts w:ascii="Calibri" w:cs="Calibri" w:eastAsia="Calibri" w:hAnsi="Calibri"/>
                  <w:color w:val="0563C1"/>
                  <w:u w:val="single"/>
                  <w:sz w:val="21"/>
                  <w:szCs w:val="21"/>
                </w:rPr>
                <w:t xml:space="preserve">Antrag im Wohnsitzland</w:t>
              </w:r>
            </w:hyperlink>
            <w:r>
              <w:rPr>
                <w:rFonts w:ascii="Calibri" w:cs="Calibri" w:eastAsia="Calibri" w:hAnsi="Calibri"/>
                <w:color w:val="222222"/>
                <w:sz w:val="21"/>
                <w:szCs w:val="21"/>
              </w:rPr>
              <w:t xml:space="preserve">, </w:t>
            </w:r>
            <w:hyperlink r:id="rIdL25" w:history="1">
              <w:r>
                <w:rPr>
                  <w:rStyle w:val="Hyperlink"/>
                  <w:rFonts w:ascii="Calibri" w:cs="Calibri" w:eastAsia="Calibri" w:hAnsi="Calibri"/>
                  <w:color w:val="0563C1"/>
                  <w:u w:val="single"/>
                  <w:sz w:val="21"/>
                  <w:szCs w:val="21"/>
                </w:rPr>
                <w:t xml:space="preserve">USCIS H-1B-FAQ</w:t>
              </w:r>
            </w:hyperlink>
            <w:r>
              <w:rPr>
                <w:rFonts w:ascii="Calibri" w:cs="Calibri" w:eastAsia="Calibri" w:hAnsi="Calibri"/>
                <w:color w:val="222222"/>
                <w:sz w:val="21"/>
                <w:szCs w:val="21"/>
              </w:rPr>
              <w:t xml:space="preserve">, </w:t>
            </w:r>
            <w:hyperlink r:id="rIdL26" w:history="1">
              <w:r>
                <w:rPr>
                  <w:rStyle w:val="Hyperlink"/>
                  <w:rFonts w:ascii="Calibri" w:cs="Calibri" w:eastAsia="Calibri" w:hAnsi="Calibri"/>
                  <w:color w:val="0563C1"/>
                  <w:u w:val="single"/>
                  <w:sz w:val="21"/>
                  <w:szCs w:val="21"/>
                </w:rPr>
                <w:t xml:space="preserve">USCIS H-4-EAD</w:t>
              </w:r>
            </w:hyperlink>
            <w:r>
              <w:rPr>
                <w:rFonts w:ascii="Calibri" w:cs="Calibri" w:eastAsia="Calibri" w:hAnsi="Calibri"/>
                <w:color w:val="222222"/>
                <w:sz w:val="21"/>
                <w:szCs w:val="21"/>
              </w:rPr>
              <w:t xml:space="preserve">, </w:t>
            </w:r>
            <w:hyperlink r:id="rIdL27" w:history="1">
              <w:r>
                <w:rPr>
                  <w:rStyle w:val="Hyperlink"/>
                  <w:rFonts w:ascii="Calibri" w:cs="Calibri" w:eastAsia="Calibri" w:hAnsi="Calibri"/>
                  <w:color w:val="0563C1"/>
                  <w:u w:val="single"/>
                  <w:sz w:val="21"/>
                  <w:szCs w:val="21"/>
                </w:rPr>
                <w:t xml:space="preserve">USCIS Policy Manual: E- und L-Ehepartner</w:t>
              </w:r>
            </w:hyperlink>
            <w:r>
              <w:rPr>
                <w:rFonts w:ascii="Calibri" w:cs="Calibri" w:eastAsia="Calibri" w:hAnsi="Calibri"/>
                <w:color w:val="222222"/>
                <w:sz w:val="21"/>
                <w:szCs w:val="21"/>
              </w:rPr>
              <w:t xml:space="preserve">, </w:t>
            </w:r>
            <w:hyperlink r:id="rIdL28" w:history="1">
              <w:r>
                <w:rPr>
                  <w:rStyle w:val="Hyperlink"/>
                  <w:rFonts w:ascii="Calibri" w:cs="Calibri" w:eastAsia="Calibri" w:hAnsi="Calibri"/>
                  <w:color w:val="0563C1"/>
                  <w:u w:val="single"/>
                  <w:sz w:val="21"/>
                  <w:szCs w:val="21"/>
                </w:rPr>
                <w:t xml:space="preserve">USCIS EB-5</w:t>
              </w:r>
            </w:hyperlink>
            <w:r>
              <w:rPr>
                <w:rFonts w:ascii="Calibri" w:cs="Calibri" w:eastAsia="Calibri" w:hAnsi="Calibri"/>
                <w:color w:val="222222"/>
                <w:sz w:val="21"/>
                <w:szCs w:val="21"/>
              </w:rPr>
              <w:t xml:space="preserve">, </w:t>
            </w:r>
            <w:hyperlink r:id="rIdL29" w:history="1">
              <w:r>
                <w:rPr>
                  <w:rStyle w:val="Hyperlink"/>
                  <w:rFonts w:ascii="Calibri" w:cs="Calibri" w:eastAsia="Calibri" w:hAnsi="Calibri"/>
                  <w:color w:val="0563C1"/>
                  <w:u w:val="single"/>
                  <w:sz w:val="21"/>
                  <w:szCs w:val="21"/>
                </w:rPr>
                <w:t xml:space="preserve">DV-2027</w:t>
              </w:r>
            </w:hyperlink>
            <w:r>
              <w:rPr>
                <w:rFonts w:ascii="Calibri" w:cs="Calibri" w:eastAsia="Calibri" w:hAnsi="Calibri"/>
                <w:color w:val="222222"/>
                <w:sz w:val="21"/>
                <w:szCs w:val="21"/>
              </w:rPr>
              <w:t xml:space="preserve">.</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4" w:name="k04"/>
      <w:r>
        <w:rPr>
          <w:rFonts w:ascii="Calibri" w:cs="Calibri" w:eastAsia="Calibri" w:hAnsi="Calibri"/>
          <w:b/>
          <w:bCs/>
          <w:color w:val="1B365D"/>
          <w:sz w:val="32"/>
          <w:szCs w:val="32"/>
        </w:rPr>
        <w:t xml:space="preserve">4. Sechs-Monats-Zeitplan</w:t>
      </w:r>
      <w:bookmarkEnd w:id="4"/>
    </w:p>
    <w:p>
      <w:pPr>
        <w:spacing w:after="160" w:before="0" w:line="276"/>
      </w:pPr>
      <w:r>
        <w:rPr>
          <w:rFonts w:ascii="Calibri" w:cs="Calibri" w:eastAsia="Calibri" w:hAnsi="Calibri"/>
          <w:color w:val="222222"/>
          <w:sz w:val="22"/>
          <w:szCs w:val="22"/>
        </w:rPr>
        <w:t xml:space="preserve">Der Plan geht von sechs Monaten zwischen Entscheidung und Abflug aus. Bei Lotterie- oder Einwanderungsvisa beginnt „Sofort“ oft ein bis zwei Jahre früher; dann verschieben Sie alle Punkte entsprechend. Jede Aufgabe steht genau einmal im Plan, und zwar zu dem Zeitpunkt, an dem sie spätestens angestoßen werden muss.</w:t>
      </w:r>
    </w:p>
    <w:p>
      <w:pPr>
        <w:pStyle w:val="Heading2"/>
        <w:keepNext/>
        <w:spacing w:after="120" w:before="280"/>
      </w:pPr>
      <w:r>
        <w:rPr>
          <w:rFonts w:ascii="Calibri" w:cs="Calibri" w:eastAsia="Calibri" w:hAnsi="Calibri"/>
          <w:b/>
          <w:bCs/>
          <w:color w:val="0F5C6B"/>
          <w:sz w:val="26"/>
          <w:szCs w:val="26"/>
        </w:rPr>
        <w:t xml:space="preserve">Sofort nach der Entscheidung (etwa 6 Monate vorher)</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Visumsweg festlegen und Antragsteller bestimmen (Kapitel 3). Ohne diese Entscheidung keine Kündigungen.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Reisepässe aller Familienmitglieder prüfen: gültig bis mindestens zum geplanten Ende des ersten Aufenthalts, besser zwei Jahre länger. Kinder brauchen einen eigenen Reisepass; Kinderreisepässe werden seit 2024 nicht mehr ausgestellt. Neuen Pass jetzt beantragen, die Herstellung dauert mehrere Wochen.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Arbeitgeberpaket schriftlich: Gehalt, Startdatum, Visakosten, Umzug, Flüge, temporäre Wohnung, Krankenversicherung ab Tag 1, Steuerberatung, Rückführung bei Kündigung. Unklare Punkte vor Unterschrift nachverhandeln (Kapitel 18).</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Budget und Rückkehrplan aufstellen (Kapitel 8): Notfallreserve, Rückkehrauslöser, wer in Deutschland was verwaltet.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Erstberatung bei einem US-Einwanderungsanwalt und einem Steuerberater mit Erfahrung im deutsch-amerikanischen Steuerrecht buchen (Kapitel 10: Wegzugsbesteuerung, Depot, Immobilien).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Kündigungsfristen aller Verträge in einer Liste sammeln: Miete (gesetzlich drei Monate für Mieter), Arbeitsvertrag, Versicherungen, Mobilfunk, Strom, Internet, Vereine, Abos. Noch nichts kündigen.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Erkundungsreise planen (ESTA reicht dafür): Stadtteile, Schulen, Pendelwege ansehen.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Fünf Monate vorher</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Urkunden bestellen: internationale (mehrsprachige) Geburts- und Eheurkunden beim Standesamt, Scheidungsurteile, Sorgerechtsnachweise. Welche Unterlagen das Konsulat verlangt, steht in der Länderliste des State Department für Deutschland.</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Klären, wo Apostillen nötig sind. Für das Visum selbst meist nicht; US-Behörden der Bundesstaaten (Berufszulassung, manche Schulbehörden) verlangen sie oft. Zuständig ist je nach Urkunde eine Landesbehörde oder das Landgericht. Beglaubigte Übersetzungen nur dort machen lassen, wo sie verlangt werden.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Krankenversicherung planen (Kapitel 9): Ab wann gilt die US-Police? Brückenversicherung für die Lücke anfragen. Private Krankenversicherung in Deutschland: Anwartschaft prüfen.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Bank- und Steuerstrategie festlegen: Welches deutsche Konto bleibt? Fragt die Bank nach US-Wohnsitz? Was passiert mit dem Depot? (Kapitel 10 und 15)</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Drei Angebote von Umzugsfirmen mit Besichtigung einholen; Versicherungswert und Lieferfenster schriftlich.</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Haustier: Einfuhrregeln prüfen. Hunde brauchen u. a. Mikrochip, ein Mindestalter von sechs Monaten und die CDC Dog Import Form; Fluggesellschaft nach Transportbedingungen fragen.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Vier Monate vorher</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Bei Einwanderungsvisa: Führungszeugnis beim Bundesamt für Justiz beantragen (laut Länderliste ab 16 Jahren) und ärztliche Untersuchung bei einem vom Konsulat benannten Arzt planen.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DS-160 (Nichteinwanderungsvisum) bzw. DS-260 (Einwanderungsvisum) ausfüllen, sobald die Petition genehmigt ist oder der Weg es erlaubt; Gebühr zahlen; Interviewtermin buchen.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Schulunterlagen anfordern: Zeugnisse der letzten zwei bis drei Jahre, Impfpass, Bescheinigung über die Klassenstufe, bei Förderbedarf Gutachten. Englische Übersetzung der aktuellsten Zeugnisse.</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Patientenakten: Arztbriefe, Befunde, Röntgenbilder, Medikamentenplan mit Wirkstoffnamen (nicht nur Handelsnamen) anfordern; Impfpass kopieren; Zahnarztbefund.</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Wohnungssuche online beginnen: Lagen und Preise anhand aktueller Inserate vergleichen, nicht anhand von Forenbeiträgen.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Drei Monate vorher</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Mietvertrag in Deutschland fristgerecht kündigen, sobald das Visum feststeht (bei Visum im Pass oder genehmigter Petition).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Arbeitsvertrag kündigen bzw. Entsendungsvereinbarung unterschreiben; bei Entsendung Entsendebescheinigung D/USA 101 über den Arbeitgeber.</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Umzugsfirma beauftragen, Termin für Verpackung und Abholung festlegen; Inventarliste für den Zoll erstellen.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Temporäre Unterkunft für die ersten 30–60 Tage buchen (möblierte Wohnung, Extended-Stay-Hotel); stornierbar.</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Vollmachten erteilen: Bankvollmacht, Vorsorgevollmacht, Postvollmacht für eine Vertrauensperson in Deutschland. Bei Immobilien notarielle Vollmacht prüfen.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Kreditkarten ohne Auslandseinsatzgebühr beschaffen; prüfen, ob die deutsche Bank die Karte nach Wegzug weiterführt.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Impfungen auffrischen (u. a. MMR); viele Schulen verlangen Nachweise nach dem Impfplan des Bundesstaats.</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Zwei Monate vorher</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Verträge kündigen, die nicht weiterlaufen sollen – aber vorher die Regel „Nicht alles kündigen“ aus Kapitel 15 anwenden.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US-Adresse festlegen, die in den ersten Monaten stabil ist (temporäre Unterkunft, Arbeitgeber, Bekannte). Sie wird für Bank, SSN-Karte und Führerschein gebraucht.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Mobilfunk: deutsche Nummer in einen günstigen Tarif umwandeln oder zu einer Prepaid-Nummer portieren (für TANs und Zwei-Faktor-Codes). US-eSIM oder SIM für die Ankunft auswählen.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Notfallmappe anlegen (Kapitel 16): Originale ins Handgepäck, Scans in einen verschlüsselten Cloud-Ordner, Kopie bei einer Vertrauensperson.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I-94-Plan: Wer prüft nach der Einreise die I-94 jedes Familienmitglieds (Status, Aufenthaltsende, bei Ehepartnern „S“-Zusatz)? Termin in den Kalender eintragen.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Führerschein: internationalen Führerschein beantragen; Regeln des Ziel-Bundesstaats für Einwohner prüfen.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Letzter Monat</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Abmeldung beim Bürgeramt: frühestens eine Woche vor dem Auszug, spätestens zwei Wochen danach (§ 17 Bundesmeldegesetz). Abmeldebestätigung im Original mitnehmen.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Familienkasse über den Wegzug informieren (Kindergeld); die Abmeldung beim Bürgeramt reicht nicht.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Rundfunkbeitrag abmelden (mit Abmeldebestätigung).</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Zahlungsmittel für die ersten Wochen: zwei Kreditkarten verschiedener Netze, Debitkarte, etwas Bargeld in USD. Bank über Reise informieren, falls nötig.</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Nachsendeauftrag bei der Deutschen Post oder eine feste deutsche Zustelladresse (Familie, Postscan-Dienst) einrichten.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Medikamentenvorrat für die Überbrückung in Originalverpackung mit Rezept bzw. Arztbrief auf Englisch.</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Wohnungsübergabe mit Protokoll; Kaution und Nebenkostenabrechnung auf ein Konto überweisen lassen, das bestehen bleibt.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Abschiedstermine bewusst früh legen; die letzte Woche gehört Papieren und Schlaf.</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Abflugwoche</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Handgepäck-Mappe vollständig (Kapitel 16), Pässe mit Visum, Petitionsbescheid (I-797) und Arbeitsvertrag im Handgepäck – nie im Container.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Ankunft planen: Transfer vom Flughafen, Schlüsselübergabe der temporären Unterkunft, erste Mahlzeit, Telefon mit funktionierender US-Datenverbindung.</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Kontakt- und Notfallliste auf Papier: Arbeitgeber, Vermieter, Versicherer, deutsches Konsulat im Zielgebiet.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30" w:history="1">
              <w:r>
                <w:rPr>
                  <w:rStyle w:val="Hyperlink"/>
                  <w:rFonts w:ascii="Calibri" w:cs="Calibri" w:eastAsia="Calibri" w:hAnsi="Calibri"/>
                  <w:color w:val="0563C1"/>
                  <w:u w:val="single"/>
                  <w:sz w:val="21"/>
                  <w:szCs w:val="21"/>
                </w:rPr>
                <w:t xml:space="preserve">travel.state.gov – Länderliste Deutschland</w:t>
              </w:r>
            </w:hyperlink>
            <w:r>
              <w:rPr>
                <w:rFonts w:ascii="Calibri" w:cs="Calibri" w:eastAsia="Calibri" w:hAnsi="Calibri"/>
                <w:color w:val="222222"/>
                <w:sz w:val="21"/>
                <w:szCs w:val="21"/>
              </w:rPr>
              <w:t xml:space="preserve">, </w:t>
            </w:r>
            <w:hyperlink r:id="rIdL31" w:history="1">
              <w:r>
                <w:rPr>
                  <w:rStyle w:val="Hyperlink"/>
                  <w:rFonts w:ascii="Calibri" w:cs="Calibri" w:eastAsia="Calibri" w:hAnsi="Calibri"/>
                  <w:color w:val="0563C1"/>
                  <w:u w:val="single"/>
                  <w:sz w:val="21"/>
                  <w:szCs w:val="21"/>
                </w:rPr>
                <w:t xml:space="preserve">§ 17 Bundesmeldegesetz</w:t>
              </w:r>
            </w:hyperlink>
            <w:r>
              <w:rPr>
                <w:rFonts w:ascii="Calibri" w:cs="Calibri" w:eastAsia="Calibri" w:hAnsi="Calibri"/>
                <w:color w:val="222222"/>
                <w:sz w:val="21"/>
                <w:szCs w:val="21"/>
              </w:rPr>
              <w:t xml:space="preserve">, </w:t>
            </w:r>
            <w:hyperlink r:id="rIdL10" w:history="1">
              <w:r>
                <w:rPr>
                  <w:rStyle w:val="Hyperlink"/>
                  <w:rFonts w:ascii="Calibri" w:cs="Calibri" w:eastAsia="Calibri" w:hAnsi="Calibri"/>
                  <w:color w:val="0563C1"/>
                  <w:u w:val="single"/>
                  <w:sz w:val="21"/>
                  <w:szCs w:val="21"/>
                </w:rPr>
                <w:t xml:space="preserve">CDC – Hunde</w:t>
              </w:r>
            </w:hyperlink>
            <w:r>
              <w:rPr>
                <w:rFonts w:ascii="Calibri" w:cs="Calibri" w:eastAsia="Calibri" w:hAnsi="Calibri"/>
                <w:color w:val="222222"/>
                <w:sz w:val="21"/>
                <w:szCs w:val="21"/>
              </w:rPr>
              <w:t xml:space="preserve">, </w:t>
            </w:r>
            <w:hyperlink r:id="rIdL19" w:history="1">
              <w:r>
                <w:rPr>
                  <w:rStyle w:val="Hyperlink"/>
                  <w:rFonts w:ascii="Calibri" w:cs="Calibri" w:eastAsia="Calibri" w:hAnsi="Calibri"/>
                  <w:color w:val="0563C1"/>
                  <w:u w:val="single"/>
                  <w:sz w:val="21"/>
                  <w:szCs w:val="21"/>
                </w:rPr>
                <w:t xml:space="preserve">DVKA – Entsendung USA</w:t>
              </w:r>
            </w:hyperlink>
            <w:r>
              <w:rPr>
                <w:rFonts w:ascii="Calibri" w:cs="Calibri" w:eastAsia="Calibri" w:hAnsi="Calibri"/>
                <w:color w:val="222222"/>
                <w:sz w:val="21"/>
                <w:szCs w:val="21"/>
              </w:rPr>
              <w:t xml:space="preserve">, </w:t>
            </w:r>
            <w:hyperlink r:id="rIdL20" w:history="1">
              <w:r>
                <w:rPr>
                  <w:rStyle w:val="Hyperlink"/>
                  <w:rFonts w:ascii="Calibri" w:cs="Calibri" w:eastAsia="Calibri" w:hAnsi="Calibri"/>
                  <w:color w:val="0563C1"/>
                  <w:u w:val="single"/>
                  <w:sz w:val="21"/>
                  <w:szCs w:val="21"/>
                </w:rPr>
                <w:t xml:space="preserve">Familienkasse</w:t>
              </w:r>
            </w:hyperlink>
            <w:r>
              <w:rPr>
                <w:rFonts w:ascii="Calibri" w:cs="Calibri" w:eastAsia="Calibri" w:hAnsi="Calibri"/>
                <w:color w:val="222222"/>
                <w:sz w:val="21"/>
                <w:szCs w:val="21"/>
              </w:rPr>
              <w:t xml:space="preserve">.</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5" w:name="k05"/>
      <w:r>
        <w:rPr>
          <w:rFonts w:ascii="Calibri" w:cs="Calibri" w:eastAsia="Calibri" w:hAnsi="Calibri"/>
          <w:b/>
          <w:bCs/>
          <w:color w:val="1B365D"/>
          <w:sz w:val="32"/>
          <w:szCs w:val="32"/>
        </w:rPr>
        <w:t xml:space="preserve">5. Bundesstaat und Stadt wählen</w:t>
      </w:r>
      <w:bookmarkEnd w:id="5"/>
    </w:p>
    <w:p>
      <w:pPr>
        <w:spacing w:after="160" w:before="0" w:line="276"/>
      </w:pPr>
      <w:r>
        <w:rPr>
          <w:rFonts w:ascii="Calibri" w:cs="Calibri" w:eastAsia="Calibri" w:hAnsi="Calibri"/>
          <w:color w:val="222222"/>
          <w:sz w:val="22"/>
          <w:szCs w:val="22"/>
        </w:rPr>
        <w:t xml:space="preserve">Die USA sind kein einheitlicher Lebensraum. Mit der Adresse wählen Sie faktisch ein Steuersystem, einen Schulbezirk, ein Klima, ein Gesundheitsnetz und einen Arbeitsmarkt. Wer durch Arbeitgeber oder Partner an einen Ort gebunden ist, wählt wenigstens den Stadtteil mit derselben Sorgfalt.</w:t>
      </w:r>
    </w:p>
    <w:p>
      <w:pPr>
        <w:pStyle w:val="Heading2"/>
        <w:keepNext/>
        <w:spacing w:after="120" w:before="280"/>
      </w:pPr>
      <w:r>
        <w:rPr>
          <w:rFonts w:ascii="Calibri" w:cs="Calibri" w:eastAsia="Calibri" w:hAnsi="Calibri"/>
          <w:b/>
          <w:bCs/>
          <w:color w:val="0F5C6B"/>
          <w:sz w:val="26"/>
          <w:szCs w:val="26"/>
        </w:rPr>
        <w:t xml:space="preserve">Pflichtfragen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Erlaubt Ihr Visum diesen Ort? Bei H-1B und L-1 ist der Arbeitsort Teil der Petition; ein Umzug in eine andere Metropolregion kann eine neue oder geänderte Petition erfordern.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Wie viele realistische Arbeitgeber gibt es in Ihrem Feld im Umkreis von einer Stunde – und für den Partner?</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Welche Schule ist der Adresse zugeordnet? In den meisten Bezirken bestimmt die Adresse die öffentliche Schule (Kapitel 13).</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Wie lang ist der Arbeitsweg zur Hauptverkehrszeit? Testen Sie die Route mit einem Kartendienst zur Uhrzeit Ihres Arbeitsbeginns, nicht am Sonntag.</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Gesamtsteuerlast statt nur Einkommensteuer: State Income Tax, örtliche Einkommensteuer (in einigen Städten), Sales Tax, Grundsteuer (steckt auch in der Miete), Kfz-Steuer.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Naturrisiken und Versicherbarkeit: Hurrikan, Waldbrand, Überschwemmung, Erdbeben, Tornado. Fragen Sie vor dem Mietvertrag nach den Kosten einer Hausratversicherung (Renters Insurance) für genau diese Adresse.</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Liegen Krankenhaus, Notaufnahme und Kinderarzt im Netzwerk Ihrer künftigen Krankenversicherung erreichbar?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Flugverbindung nach Deutschland: direkt oder mit einem Umstieg? Das entscheidet, wie oft Familie besucht wird.</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Klima und Gesundheit: Hitze, Luftfeuchtigkeit, Pollen, Höhenlage.</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Orientierung, keine Rangfolge</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600"/>
        <w:gridCol w:w="4053"/>
        <w:gridCol w:w="4053"/>
      </w:tblGrid>
      <w:tr>
        <w:trPr>
          <w:tblHeader/>
          <w:cantSplit/>
        </w:trPr>
        <w:tc>
          <w:tcPr>
            <w:tcW w:type="dxa" w:w="26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Region</w:t>
            </w:r>
          </w:p>
        </w:tc>
        <w:tc>
          <w:tcPr>
            <w:tcW w:type="dxa" w:w="40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Typische Stärken</w:t>
            </w:r>
          </w:p>
        </w:tc>
        <w:tc>
          <w:tcPr>
            <w:tcW w:type="dxa" w:w="40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Typische Härten</w:t>
            </w:r>
          </w:p>
        </w:tc>
      </w:tr>
      <w:tr>
        <w:trPr>
          <w:cantSplit/>
        </w:trPr>
        <w:tc>
          <w:tcPr>
            <w:tcW w:type="dxa" w:w="2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Florida</w:t>
            </w:r>
          </w:p>
        </w:tc>
        <w:tc>
          <w:tcPr>
            <w:tcW w:type="dxa" w:w="40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Klima, keine State Income Tax, deutsche Community in einigen Regionen</w:t>
            </w:r>
          </w:p>
        </w:tc>
        <w:tc>
          <w:tcPr>
            <w:tcW w:type="dxa" w:w="40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Auto nötig, Hurrikane, stark steigende Versicherungskosten, Hitze</w:t>
            </w:r>
          </w:p>
        </w:tc>
      </w:tr>
      <w:tr>
        <w:trPr>
          <w:cantSplit/>
        </w:trPr>
        <w:tc>
          <w:tcPr>
            <w:tcW w:type="dxa" w:w="2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Kalifornien</w:t>
            </w:r>
          </w:p>
        </w:tc>
        <w:tc>
          <w:tcPr>
            <w:tcW w:type="dxa" w:w="40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Tech, Universitäten, Vielfalt</w:t>
            </w:r>
          </w:p>
        </w:tc>
        <w:tc>
          <w:tcPr>
            <w:tcW w:type="dxa" w:w="40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Mieten, hohe State Income Tax (auch auf Kapitalgewinne), Verkehr, Waldbrandrisiko</w:t>
            </w:r>
          </w:p>
        </w:tc>
      </w:tr>
      <w:tr>
        <w:trPr>
          <w:cantSplit/>
        </w:trPr>
        <w:tc>
          <w:tcPr>
            <w:tcW w:type="dxa" w:w="2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Texas</w:t>
            </w:r>
          </w:p>
        </w:tc>
        <w:tc>
          <w:tcPr>
            <w:tcW w:type="dxa" w:w="40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Jobs, keine State Income Tax, Platz</w:t>
            </w:r>
          </w:p>
        </w:tc>
        <w:tc>
          <w:tcPr>
            <w:tcW w:type="dxa" w:w="40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Hitze, hohe Grundsteuer, Auto nötig</w:t>
            </w:r>
          </w:p>
        </w:tc>
      </w:tr>
      <w:tr>
        <w:trPr>
          <w:cantSplit/>
        </w:trPr>
        <w:tc>
          <w:tcPr>
            <w:tcW w:type="dxa" w:w="2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Nordosten (NY/NJ/MA)</w:t>
            </w:r>
          </w:p>
        </w:tc>
        <w:tc>
          <w:tcPr>
            <w:tcW w:type="dxa" w:w="40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Jobs, Nahverkehr in den Kernstädten, Universitäten</w:t>
            </w:r>
          </w:p>
        </w:tc>
        <w:tc>
          <w:tcPr>
            <w:tcW w:type="dxa" w:w="40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Kosten, Winter, Tempo; in New York City zusätzlich städtische Einkommensteuer</w:t>
            </w:r>
          </w:p>
        </w:tc>
      </w:tr>
      <w:tr>
        <w:trPr>
          <w:cantSplit/>
        </w:trPr>
        <w:tc>
          <w:tcPr>
            <w:tcW w:type="dxa" w:w="2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Colorado / North Carolina / Georgia</w:t>
            </w:r>
          </w:p>
        </w:tc>
        <w:tc>
          <w:tcPr>
            <w:tcW w:type="dxa" w:w="40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Wachstum, Lebensqualität je nach Metropolregion</w:t>
            </w:r>
          </w:p>
        </w:tc>
        <w:tc>
          <w:tcPr>
            <w:tcW w:type="dxa" w:w="40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Große Unterschiede zwischen Counties</w:t>
            </w:r>
          </w:p>
        </w:tc>
      </w:tr>
    </w:tbl>
    <w:p>
      <w:pPr>
        <w:spacing w:after="200"/>
      </w:pPr>
    </w:p>
    <w:p>
      <w:pPr>
        <w:pStyle w:val="Heading2"/>
        <w:keepNext/>
        <w:spacing w:after="120" w:before="280"/>
      </w:pPr>
      <w:r>
        <w:rPr>
          <w:rFonts w:ascii="Calibri" w:cs="Calibri" w:eastAsia="Calibri" w:hAnsi="Calibri"/>
          <w:b/>
          <w:bCs/>
          <w:color w:val="0F5C6B"/>
          <w:sz w:val="26"/>
          <w:szCs w:val="26"/>
        </w:rPr>
        <w:t xml:space="preserve">Staaten ohne Einkommensteuer auf Löhne</w:t>
      </w:r>
    </w:p>
    <w:p>
      <w:pPr>
        <w:spacing w:after="160" w:before="0" w:line="276"/>
      </w:pPr>
      <w:r>
        <w:rPr>
          <w:rFonts w:ascii="Calibri" w:cs="Calibri" w:eastAsia="Calibri" w:hAnsi="Calibri"/>
          <w:color w:val="222222"/>
          <w:sz w:val="22"/>
          <w:szCs w:val="22"/>
        </w:rPr>
        <w:t xml:space="preserve">Neun Staaten erheben 2026 keine Einkommensteuer auf Löhne. Das heißt nicht, dass dort gar keine Einkommensteuer anfällt, und auch nicht, dass die Gesamtbelastung niedrig ist.</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500"/>
        <w:gridCol w:w="3306"/>
      </w:tblGrid>
      <w:tr>
        <w:trPr>
          <w:tblHeader/>
          <w:cantSplit/>
        </w:trPr>
        <w:tc>
          <w:tcPr>
            <w:tcW w:type="dxa" w:w="19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Staat</w:t>
            </w:r>
          </w:p>
        </w:tc>
        <w:tc>
          <w:tcPr>
            <w:tcW w:type="dxa" w:w="20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Steuer auf Löhne</w:t>
            </w:r>
          </w:p>
        </w:tc>
        <w:tc>
          <w:tcPr>
            <w:tcW w:type="dxa" w:w="35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Kapitalgewinne, Zinsen, Dividenden</w:t>
            </w:r>
          </w:p>
        </w:tc>
        <w:tc>
          <w:tcPr>
            <w:tcW w:type="dxa" w:w="33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Besonderheit</w:t>
            </w:r>
          </w:p>
        </w:tc>
      </w:tr>
      <w:tr>
        <w:trPr>
          <w:cantSplit/>
        </w:trPr>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Alaska</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3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 Sales Tax des Staates; Gemeinden können sie erheben</w:t>
            </w:r>
          </w:p>
        </w:tc>
      </w:tr>
      <w:tr>
        <w:trPr>
          <w:cantSplit/>
        </w:trPr>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Florida</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3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Hohe Kosten für Gebäude- und Hausratversicherung in Küstenlagen</w:t>
            </w:r>
          </w:p>
        </w:tc>
      </w:tr>
      <w:tr>
        <w:trPr>
          <w:cantSplit/>
        </w:trPr>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Nevada</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3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r>
      <w:tr>
        <w:trPr>
          <w:cantSplit/>
        </w:trPr>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New Hampshire</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 seit 1. Januar 2025 (Zins- und Dividendensteuer abgeschafft)</w:t>
            </w:r>
          </w:p>
        </w:tc>
        <w:tc>
          <w:tcPr>
            <w:tcW w:type="dxa" w:w="33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 allgemeine Sales Tax; Grundsteuer vergleichsweise hoch</w:t>
            </w:r>
          </w:p>
        </w:tc>
      </w:tr>
      <w:tr>
        <w:trPr>
          <w:cantSplit/>
        </w:trPr>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South Dakota</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3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r>
      <w:tr>
        <w:trPr>
          <w:cantSplit/>
        </w:trPr>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Tennessee</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 (frühere Steuer auf Zinsen und Dividenden seit 2021 abgeschafft)</w:t>
            </w:r>
          </w:p>
        </w:tc>
        <w:tc>
          <w:tcPr>
            <w:tcW w:type="dxa" w:w="33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Hohe kombinierte Sales Tax</w:t>
            </w:r>
          </w:p>
        </w:tc>
      </w:tr>
      <w:tr>
        <w:trPr>
          <w:cantSplit/>
        </w:trPr>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Texas</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3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Hohe Grundsteuer</w:t>
            </w:r>
          </w:p>
        </w:tc>
      </w:tr>
      <w:tr>
        <w:trPr>
          <w:cantSplit/>
        </w:trPr>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Washington</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7 % auf langfristige Kapitalgewinne oberhalb eines Freibetrags (2025: 278.000 USD), 9,9 % auf den Teil über 1 Mio. USD</w:t>
            </w:r>
          </w:p>
        </w:tc>
        <w:tc>
          <w:tcPr>
            <w:tcW w:type="dxa" w:w="33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Gesetz von 2026 (ESSB 6346): ab Steuerjahr 2028 9,9 % auf Einkommen über 1 Mio. USD</w:t>
            </w:r>
          </w:p>
        </w:tc>
      </w:tr>
      <w:tr>
        <w:trPr>
          <w:cantSplit/>
        </w:trPr>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Wyoming</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keine</w:t>
            </w:r>
          </w:p>
        </w:tc>
        <w:tc>
          <w:tcPr>
            <w:tcW w:type="dxa" w:w="33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r>
    </w:tbl>
    <w:p>
      <w:pPr>
        <w:spacing w:after="200"/>
      </w:pPr>
    </w:p>
    <w:p>
      <w:pPr>
        <w:spacing w:after="160" w:before="0" w:line="276"/>
      </w:pPr>
      <w:r>
        <w:rPr>
          <w:rFonts w:ascii="Calibri" w:cs="Calibri" w:eastAsia="Calibri" w:hAnsi="Calibri"/>
          <w:b/>
          <w:bCs/>
          <w:color w:val="222222"/>
          <w:sz w:val="22"/>
          <w:szCs w:val="22"/>
        </w:rPr>
        <w:t xml:space="preserve">Merksatz:</w:t>
      </w:r>
      <w:r>
        <w:rPr>
          <w:rFonts w:ascii="Calibri" w:cs="Calibri" w:eastAsia="Calibri" w:hAnsi="Calibri"/>
          <w:color w:val="222222"/>
          <w:sz w:val="22"/>
          <w:szCs w:val="22"/>
        </w:rPr>
        <w:t xml:space="preserve"> Die Bundessteuer (Federal Income Tax) zahlen Sie überall. Bei Löhnen bis zum mittleren sechsstelligen Bereich macht die State Income Tax oft weniger aus als der Unterschied bei Miete und Versicherungen zwischen zwei Städten. Rechnen Sie mit Ihren eigenen Zahlen, nicht mit der Tabelle.</w:t>
      </w:r>
    </w:p>
    <w:p>
      <w:pPr>
        <w:pStyle w:val="Heading2"/>
        <w:keepNext/>
        <w:spacing w:after="120" w:before="280"/>
      </w:pPr>
      <w:r>
        <w:rPr>
          <w:rFonts w:ascii="Calibri" w:cs="Calibri" w:eastAsia="Calibri" w:hAnsi="Calibri"/>
          <w:b/>
          <w:bCs/>
          <w:color w:val="0F5C6B"/>
          <w:sz w:val="26"/>
          <w:szCs w:val="26"/>
        </w:rPr>
        <w:t xml:space="preserve">Nachbarschaftstest, bevor der Mietvertrag fällt</w:t>
      </w:r>
    </w:p>
    <w:p>
      <w:pPr>
        <w:spacing w:after="160" w:before="0" w:line="276"/>
      </w:pPr>
      <w:r>
        <w:rPr>
          <w:rFonts w:ascii="Calibri" w:cs="Calibri" w:eastAsia="Calibri" w:hAnsi="Calibri"/>
          <w:color w:val="222222"/>
          <w:sz w:val="22"/>
          <w:szCs w:val="22"/>
        </w:rPr>
        <w:t xml:space="preserve">Ein Inserat zeigt die Wohnung, nicht die Straße. Prüfen Sie jede Adresse in der engeren Wahl vor Ort oder mit einer Vertrauensperson per Videoanruf.</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Zweimal hinfahren: an einem Werktag um 8 Uhr (Verkehr, Schulweg) und an einem Freitag- oder Samstagabend (Lärm, Licht, Parken).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Zu Fuß 15 Minuten um den Block: Gehwege, Beleuchtung, leere Ladenlokale, gepflegte Vorgärten, Spielplätze.</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Kriminalitätsstatistik der örtlichen Polizei (Crime Map der Stadt oder des County) für die konkrete Straße ansehen, nicht nur für die Stadt.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Hochwasser- und Brandrisiko: </w:t>
            </w:r>
            <w:hyperlink r:id="rIdL32" w:history="1">
              <w:r>
                <w:rPr>
                  <w:rStyle w:val="Hyperlink"/>
                  <w:rFonts w:ascii="Calibri" w:cs="Calibri" w:eastAsia="Calibri" w:hAnsi="Calibri"/>
                  <w:color w:val="0563C1"/>
                  <w:u w:val="single"/>
                  <w:sz w:val="20"/>
                  <w:szCs w:val="20"/>
                </w:rPr>
                <w:t xml:space="preserve">FEMA-Hochwasserkarte</w:t>
              </w:r>
            </w:hyperlink>
            <w:r>
              <w:rPr>
                <w:rFonts w:ascii="Calibri" w:cs="Calibri" w:eastAsia="Calibri" w:hAnsi="Calibri"/>
                <w:color w:val="222222"/>
                <w:sz w:val="20"/>
                <w:szCs w:val="20"/>
              </w:rPr>
              <w:t xml:space="preserve"> bzw. die Gefahrenkarten des Bundesstaats für die Adresse prüfen.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Mit zwei Nachbarn sprechen: „How long have you lived here? What do you like, what would you change?“ (weitere Sätze in Kapitel 14).</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Lebensmittelladen, Apotheke und Urgent Care in 10 Minuten erreichbar?</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Mobilfunkempfang und Internetanbieter für die Adresse prüfen; nicht jede Straße hat Glasfaser.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33" w:history="1">
              <w:r>
                <w:rPr>
                  <w:rStyle w:val="Hyperlink"/>
                  <w:rFonts w:ascii="Calibri" w:cs="Calibri" w:eastAsia="Calibri" w:hAnsi="Calibri"/>
                  <w:color w:val="0563C1"/>
                  <w:u w:val="single"/>
                  <w:sz w:val="21"/>
                  <w:szCs w:val="21"/>
                </w:rPr>
                <w:t xml:space="preserve">Washington Department of Revenue – Capital Gains Tax</w:t>
              </w:r>
            </w:hyperlink>
            <w:r>
              <w:rPr>
                <w:rFonts w:ascii="Calibri" w:cs="Calibri" w:eastAsia="Calibri" w:hAnsi="Calibri"/>
                <w:color w:val="222222"/>
                <w:sz w:val="21"/>
                <w:szCs w:val="21"/>
              </w:rPr>
              <w:t xml:space="preserve">, </w:t>
            </w:r>
            <w:hyperlink r:id="rIdL34" w:history="1">
              <w:r>
                <w:rPr>
                  <w:rStyle w:val="Hyperlink"/>
                  <w:rFonts w:ascii="Calibri" w:cs="Calibri" w:eastAsia="Calibri" w:hAnsi="Calibri"/>
                  <w:color w:val="0563C1"/>
                  <w:u w:val="single"/>
                  <w:sz w:val="21"/>
                  <w:szCs w:val="21"/>
                </w:rPr>
                <w:t xml:space="preserve">Washington ESSB 6346 (Gesetzestext)</w:t>
              </w:r>
            </w:hyperlink>
            <w:r>
              <w:rPr>
                <w:rFonts w:ascii="Calibri" w:cs="Calibri" w:eastAsia="Calibri" w:hAnsi="Calibri"/>
                <w:color w:val="222222"/>
                <w:sz w:val="21"/>
                <w:szCs w:val="21"/>
              </w:rPr>
              <w:t xml:space="preserve">, </w:t>
            </w:r>
            <w:hyperlink r:id="rIdL35" w:history="1">
              <w:r>
                <w:rPr>
                  <w:rStyle w:val="Hyperlink"/>
                  <w:rFonts w:ascii="Calibri" w:cs="Calibri" w:eastAsia="Calibri" w:hAnsi="Calibri"/>
                  <w:color w:val="0563C1"/>
                  <w:u w:val="single"/>
                  <w:sz w:val="21"/>
                  <w:szCs w:val="21"/>
                </w:rPr>
                <w:t xml:space="preserve">New Hampshire – Interest &amp; Dividends Tax</w:t>
              </w:r>
            </w:hyperlink>
            <w:r>
              <w:rPr>
                <w:rFonts w:ascii="Calibri" w:cs="Calibri" w:eastAsia="Calibri" w:hAnsi="Calibri"/>
                <w:color w:val="222222"/>
                <w:sz w:val="21"/>
                <w:szCs w:val="21"/>
              </w:rPr>
              <w:t xml:space="preserve">, Steuerbehörde (Department of Revenue) des jeweiligen Bundesstaats.</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6" w:name="k06"/>
      <w:r>
        <w:rPr>
          <w:rFonts w:ascii="Calibri" w:cs="Calibri" w:eastAsia="Calibri" w:hAnsi="Calibri"/>
          <w:b/>
          <w:bCs/>
          <w:color w:val="1B365D"/>
          <w:sz w:val="32"/>
          <w:szCs w:val="32"/>
        </w:rPr>
        <w:t xml:space="preserve">6. Packen nach Priorität</w:t>
      </w:r>
      <w:bookmarkEnd w:id="6"/>
    </w:p>
    <w:p>
      <w:pPr>
        <w:spacing w:after="160" w:before="0" w:line="276"/>
      </w:pPr>
      <w:r>
        <w:rPr>
          <w:rFonts w:ascii="Calibri" w:cs="Calibri" w:eastAsia="Calibri" w:hAnsi="Calibri"/>
          <w:color w:val="222222"/>
          <w:sz w:val="22"/>
          <w:szCs w:val="22"/>
        </w:rPr>
        <w:t xml:space="preserve">Ziel ist nicht „alles kommt an“, sondern: Die ersten Wochen sind lebbar. Was Stress senkt und den Alltag ermöglicht, fliegt mit Ihnen – nicht der Keller. Rechnen Sie bei Seefracht mit sechs bis zwölf Wochen ab Abholung bis zur Lieferung, je nach Route, Zoll und Zustellung; das genaue Fenster nennt die Umzugsfirma schriftlich.</w:t>
      </w:r>
    </w:p>
    <w:p>
      <w:pPr>
        <w:pStyle w:val="Heading2"/>
        <w:keepNext/>
        <w:spacing w:after="120" w:before="280"/>
      </w:pPr>
      <w:r>
        <w:rPr>
          <w:rFonts w:ascii="Calibri" w:cs="Calibri" w:eastAsia="Calibri" w:hAnsi="Calibri"/>
          <w:b/>
          <w:bCs/>
          <w:color w:val="0F5C6B"/>
          <w:sz w:val="26"/>
          <w:szCs w:val="26"/>
        </w:rPr>
        <w:t xml:space="preserve">Handgepäck – niemals der Spedition überlassen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Reisepässe mit Visum, Petitionsbescheid (I-797), Arbeitsvertrag bzw. Einladung; bei Einwanderungsvisa der versiegelte Umschlag des Konsulats, falls ausgehändigt.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Handgepäck-Mappe mit allen Originalen (Kapitel 16).</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Medikamente für mindestens vier Wochen in Originalverpackung, Rezept bzw. Arztbrief auf Englisch mit Wirkstoffnamen.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Laptop, Telefon, Ladegeräte (fast alle sind für 100–240 Volt ausgelegt; Aufdruck prüfen), US-Steckeradapter Typ A/B.</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Zwei Kreditkarten, Debitkarte, etwas Bargeld in USD. Bargeld über 10.000 USD pro Familie ist bei der Einreise meldepflichtig.</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Brille, Ersatzbrille, Kontaktlinsen, Hörgeräte samt Zubehör.</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Für Kinder: ein Lieblingsspielzeug, Kopfhörer, Snacks, die keine Fleischprodukte enthalten.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Aufgabegepäck</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Kleidung für zwei Klimazonen und vier bis sechs Wochen, inklusive Kleidung für Vorstellungstermine.</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Kopien der wichtigsten Dokumente (getrennt von den Originalen).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Kleine Hausapotheke (Kapitel 9) – ohne Flüssigkeiten über den Handgepäckgrenzen.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Bettwäsche und Handtücher für die temporäre Unterkunft, falls sie nicht möbliert ist.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 paar vertraute Dinge, die den ersten Monat erleichtern: Fotos, Kaffeemühle, Kinderbücher.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Luftfracht oder Übergepäck, wenn möglich</w:t>
      </w:r>
    </w:p>
    <w:p>
      <w:pPr>
        <w:spacing w:after="160" w:before="0" w:line="276"/>
      </w:pPr>
      <w:r>
        <w:rPr>
          <w:rFonts w:ascii="Calibri" w:cs="Calibri" w:eastAsia="Calibri" w:hAnsi="Calibri"/>
          <w:color w:val="222222"/>
          <w:sz w:val="22"/>
          <w:szCs w:val="22"/>
        </w:rPr>
        <w:t xml:space="preserve">Luftfracht ist teurer, kommt aber meist innerhalb von ein bis drei Wochen. Sinnvoll für das, was Sie vor der Seefracht brauchen.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Arbeitsunterlagen, Fachbücher, Schulsachen der Kinder.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Küchengrundausstattung: zwei Töpfe, eine Pfanne, gute Messer, Schneidbrett.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Saisonkleidung für den kommenden Winter oder Sommer.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Sportausrüstung, die vor Ort teuer oder schwer zu bekommen ist.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Seefracht</w:t>
      </w:r>
    </w:p>
    <w:p>
      <w:pPr>
        <w:spacing w:after="160" w:before="0" w:line="276"/>
      </w:pPr>
      <w:r>
        <w:rPr>
          <w:rFonts w:ascii="Calibri" w:cs="Calibri" w:eastAsia="Calibri" w:hAnsi="Calibri"/>
          <w:color w:val="222222"/>
          <w:sz w:val="22"/>
          <w:szCs w:val="22"/>
        </w:rPr>
        <w:t xml:space="preserve">Nur was Sie in sechs bis zwölf Monaten wirklich brauchen. Transformatoren sind schwer und brandgefährlich bei falscher Nutzung; das US-Netz hat 120 Volt und 60 Hertz. Große 230-Volt-Wärmegeräte (Wasserkocher, Föhn, Backofen) und Geräte mit Motor besser nicht mitnehmen. Fernseher empfangen das US-Antennensignal mit deutschem Tuner nicht; DVDs und Blu-rays haben andere Ländercodes. Wertgegenstände voll versichern oder bei Familie lassen.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Inventarliste mit Wertangaben für Zoll und Versicherung; die Umzugsfirma reicht in der Regel das CBP-Formular 3299 für Umzugsgut ein.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Möbel, die Sie behalten wollen, mit Maßen dokumentieren; US-Wohnungen haben andere Raumzuschnitte und oft Einbauschränke.</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Fotos, Erinnerungsstücke, Kunst: fotografieren, einzeln versichern.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Fahrräder, Werkzeug (nur Handwerkzeug; Elektrowerkzeuge mit 230 Volt lohnen selten).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Bleibt in Deutschland</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Originale, die Sie nur selten brauchen und die unersetzlich sind (z. B. Grundbuchauszüge, Erbschaftsunterlagen): bei einer Vertrauensperson oder im Bankschließfach, Scans in der Cloud.</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Möbel und Erinnerungsstücke für eine mögliche Rückkehr: Lagerraum oder Familie. Lagerkosten über zwei Jahre mit den Kosten eines Neukaufs vergleichen.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Nicht mitnehmen</w:t>
      </w:r>
    </w:p>
    <w:p>
      <w:pPr>
        <w:pStyle w:val="ListParagraph"/>
        <w:numPr>
          <w:ilvl w:val="0"/>
          <w:numId w:val="2"/>
        </w:numPr>
        <w:spacing w:after="60"/>
      </w:pPr>
      <w:r>
        <w:rPr>
          <w:rFonts w:ascii="Calibri" w:cs="Calibri" w:eastAsia="Calibri" w:hAnsi="Calibri"/>
          <w:color w:val="222222"/>
          <w:sz w:val="22"/>
          <w:szCs w:val="22"/>
        </w:rPr>
        <w:t xml:space="preserve">Fleisch, Wurst und viele andere tierische Lebensmittel: Einfuhr meist verboten. Alles Essbare bei der Einreise angeben.</w:t>
      </w:r>
    </w:p>
    <w:p>
      <w:pPr>
        <w:pStyle w:val="ListParagraph"/>
        <w:numPr>
          <w:ilvl w:val="0"/>
          <w:numId w:val="2"/>
        </w:numPr>
        <w:spacing w:after="60"/>
      </w:pPr>
      <w:r>
        <w:rPr>
          <w:rFonts w:ascii="Calibri" w:cs="Calibri" w:eastAsia="Calibri" w:hAnsi="Calibri"/>
          <w:color w:val="222222"/>
          <w:sz w:val="22"/>
          <w:szCs w:val="22"/>
        </w:rPr>
        <w:t xml:space="preserve">Pflanzen, Erde, Samen ohne Genehmigung.</w:t>
      </w:r>
    </w:p>
    <w:p>
      <w:pPr>
        <w:pStyle w:val="ListParagraph"/>
        <w:numPr>
          <w:ilvl w:val="0"/>
          <w:numId w:val="2"/>
        </w:numPr>
        <w:spacing w:after="60"/>
      </w:pPr>
      <w:r>
        <w:rPr>
          <w:rFonts w:ascii="Calibri" w:cs="Calibri" w:eastAsia="Calibri" w:hAnsi="Calibri"/>
          <w:color w:val="222222"/>
          <w:sz w:val="22"/>
          <w:szCs w:val="22"/>
        </w:rPr>
        <w:t xml:space="preserve">Waffen, Munition, Pfefferspray (auch nicht im Container ohne Klärung).</w:t>
      </w:r>
    </w:p>
    <w:p>
      <w:pPr>
        <w:pStyle w:val="ListParagraph"/>
        <w:numPr>
          <w:ilvl w:val="0"/>
          <w:numId w:val="2"/>
        </w:numPr>
        <w:spacing w:after="60"/>
      </w:pPr>
      <w:r>
        <w:rPr>
          <w:rFonts w:ascii="Calibri" w:cs="Calibri" w:eastAsia="Calibri" w:hAnsi="Calibri"/>
          <w:color w:val="222222"/>
          <w:sz w:val="22"/>
          <w:szCs w:val="22"/>
        </w:rPr>
        <w:t xml:space="preserve">Große Mengen Medikamente ohne Rezept; verschreibungspflichtige Mittel nur für den Eigenbedarf mit Nachweis.</w:t>
      </w:r>
    </w:p>
    <w:p>
      <w:pPr>
        <w:pStyle w:val="ListParagraph"/>
        <w:numPr>
          <w:ilvl w:val="0"/>
          <w:numId w:val="2"/>
        </w:numPr>
        <w:spacing w:after="60"/>
      </w:pPr>
      <w:r>
        <w:rPr>
          <w:rFonts w:ascii="Calibri" w:cs="Calibri" w:eastAsia="Calibri" w:hAnsi="Calibri"/>
          <w:color w:val="222222"/>
          <w:sz w:val="22"/>
          <w:szCs w:val="22"/>
        </w:rPr>
        <w:t xml:space="preserve">Elektrogeräte mit 230 Volt, die Sie nur über einen Transformator betreiben könnten.</w:t>
      </w:r>
    </w:p>
    <w:p>
      <w:pPr>
        <w:pStyle w:val="ListParagraph"/>
        <w:numPr>
          <w:ilvl w:val="0"/>
          <w:numId w:val="2"/>
        </w:numPr>
        <w:spacing w:after="60"/>
      </w:pPr>
      <w:r>
        <w:rPr>
          <w:rFonts w:ascii="Calibri" w:cs="Calibri" w:eastAsia="Calibri" w:hAnsi="Calibri"/>
          <w:color w:val="222222"/>
          <w:sz w:val="22"/>
          <w:szCs w:val="22"/>
        </w:rPr>
        <w:t xml:space="preserve">Ein Auto, solange nicht geprüft ist, ob es die US-Zulassungsregeln (EPA und Verkehrsministerium) erfüllt. Meist ist Verkaufen und Neukaufen günstiger.</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36" w:history="1">
              <w:r>
                <w:rPr>
                  <w:rStyle w:val="Hyperlink"/>
                  <w:rFonts w:ascii="Calibri" w:cs="Calibri" w:eastAsia="Calibri" w:hAnsi="Calibri"/>
                  <w:color w:val="0563C1"/>
                  <w:u w:val="single"/>
                  <w:sz w:val="21"/>
                  <w:szCs w:val="21"/>
                </w:rPr>
                <w:t xml:space="preserve">CBP – Was Reisende mitbringen dürfen</w:t>
              </w:r>
            </w:hyperlink>
            <w:r>
              <w:rPr>
                <w:rFonts w:ascii="Calibri" w:cs="Calibri" w:eastAsia="Calibri" w:hAnsi="Calibri"/>
                <w:color w:val="222222"/>
                <w:sz w:val="21"/>
                <w:szCs w:val="21"/>
              </w:rPr>
              <w:t xml:space="preserve">, </w:t>
            </w:r>
            <w:hyperlink r:id="rIdL37" w:history="1">
              <w:r>
                <w:rPr>
                  <w:rStyle w:val="Hyperlink"/>
                  <w:rFonts w:ascii="Calibri" w:cs="Calibri" w:eastAsia="Calibri" w:hAnsi="Calibri"/>
                  <w:color w:val="0563C1"/>
                  <w:u w:val="single"/>
                  <w:sz w:val="21"/>
                  <w:szCs w:val="21"/>
                </w:rPr>
                <w:t xml:space="preserve">CBP – Bargeld über 10.000 USD</w:t>
              </w:r>
            </w:hyperlink>
            <w:r>
              <w:rPr>
                <w:rFonts w:ascii="Calibri" w:cs="Calibri" w:eastAsia="Calibri" w:hAnsi="Calibri"/>
                <w:color w:val="222222"/>
                <w:sz w:val="21"/>
                <w:szCs w:val="21"/>
              </w:rPr>
              <w:t xml:space="preserve">, </w:t>
            </w:r>
            <w:hyperlink r:id="rIdL10" w:history="1">
              <w:r>
                <w:rPr>
                  <w:rStyle w:val="Hyperlink"/>
                  <w:rFonts w:ascii="Calibri" w:cs="Calibri" w:eastAsia="Calibri" w:hAnsi="Calibri"/>
                  <w:color w:val="0563C1"/>
                  <w:u w:val="single"/>
                  <w:sz w:val="21"/>
                  <w:szCs w:val="21"/>
                </w:rPr>
                <w:t xml:space="preserve">CDC – Hunde</w:t>
              </w:r>
            </w:hyperlink>
            <w:r>
              <w:rPr>
                <w:rFonts w:ascii="Calibri" w:cs="Calibri" w:eastAsia="Calibri" w:hAnsi="Calibri"/>
                <w:color w:val="222222"/>
                <w:sz w:val="21"/>
                <w:szCs w:val="21"/>
              </w:rPr>
              <w:t xml:space="preserve">.</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7" w:name="k07"/>
      <w:r>
        <w:rPr>
          <w:rFonts w:ascii="Calibri" w:cs="Calibri" w:eastAsia="Calibri" w:hAnsi="Calibri"/>
          <w:b/>
          <w:bCs/>
          <w:color w:val="1B365D"/>
          <w:sz w:val="32"/>
          <w:szCs w:val="32"/>
        </w:rPr>
        <w:t xml:space="preserve">7. Ankunft – die ersten 30 Tage</w:t>
      </w:r>
      <w:bookmarkEnd w:id="7"/>
    </w:p>
    <w:p>
      <w:pPr>
        <w:spacing w:after="160" w:before="0" w:line="276"/>
      </w:pPr>
      <w:r>
        <w:rPr>
          <w:rFonts w:ascii="Calibri" w:cs="Calibri" w:eastAsia="Calibri" w:hAnsi="Calibri"/>
          <w:color w:val="222222"/>
          <w:sz w:val="22"/>
          <w:szCs w:val="22"/>
        </w:rPr>
        <w:t xml:space="preserve">Die Reihenfolge ist wichtiger als das Tempo: Erst Status und Erreichbarkeit, dann Nummern und Konten, dann Wohnung, Auto und Schule. Viele Schritte bauen aufeinander auf – ohne stabile Adresse keine SSN-Karte per Post, ohne SSN schwieriger ein Mietvertrag.</w:t>
      </w:r>
    </w:p>
    <w:p>
      <w:pPr>
        <w:pStyle w:val="Heading2"/>
        <w:keepNext/>
        <w:spacing w:after="120" w:before="280"/>
      </w:pPr>
      <w:r>
        <w:rPr>
          <w:rFonts w:ascii="Calibri" w:cs="Calibri" w:eastAsia="Calibri" w:hAnsi="Calibri"/>
          <w:b/>
          <w:bCs/>
          <w:color w:val="0F5C6B"/>
          <w:sz w:val="26"/>
          <w:szCs w:val="26"/>
        </w:rPr>
        <w:t xml:space="preserve">Tag 1–3</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I-94 jedes Familienmitglieds auf i94.cbp.dhs.gov abrufen, ausdrucken und prüfen: Name, Geburtsdatum, Status (bei Ehepartnern „L-2S“ oder „E-2S“), Aufenthaltsende. Fehler sofort bei CBP korrigieren lassen.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US-Telefonnummer aktivieren (eSIM oder SIM). Ohne US-Nummer scheitern viele Anmeldungen.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Lebensmittel, Medikamente, Basisausstattung für die Unterkunft. Nicht mehr.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Arbeitgeber und Ansprechpartner wissen lassen, dass Sie angekommen sind; Notfallkontakte im Telefon speichern.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Eintrag in die Krisenvorsorgeliste des Auswärtigen Amts (ELEFAND).</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Woche 1</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Arbeitsbeginn: Formular I-9 beim Arbeitgeber; die Nachweise (z. B. Pass mit I-94) spätestens am dritten Arbeitstag vorlegen. Formular W-4 für den Lohnsteuerabzug ausfüllen.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Krankenversicherung beim Arbeitgeber wählen; die Anmeldefrist ist oft auf 30 Tage ab Arbeitsbeginn begrenzt, danach meist erst zur jährlichen Open Enrollment. Prüfen, ab welchem Tag die Deckung gilt (Kapitel 9).</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Bankkonto eröffnen. Manche Banken eröffnen mit Pass und Visum auch ohne SSN; vorher telefonisch fragen, welche Dokumente verlangt werden.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Social Security Number: Wer sie beim Einwanderungsvisum (DS-260) beantragt hat, bekommt die Karte per Post. Alle anderen beantragen sie etwa zehn Tage nach der Einreise, wenn die Einreisedaten im System sind.</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Bibliotheksausweis holen: kostenloses WLAN, Kinderprogramme, oft Sprachkurse – ein guter erster sozialer Ort.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Woche 2</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Wohnungsbesichtigungen nach dem Nachbarschaftstest (Kapitel 5); Unterlagen für den Mietantrag bereithalten (Arbeitsvertrag, Gehaltsnachweise, Kontoauszüge, ggf. Bürgschaft des Arbeitgebers).</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Schule: Kontakt mit dem Schulbezirk aufnehmen, Anmeldetermin vereinbaren, Impfnachweise und Zeugnisse vorlegen (Kapitel 13).</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Führerschein: Termin bei der Kfz-Behörde (DMV) des Bundesstaats buchen; Wartezeiten von mehreren Wochen sind üblich. Unterlagenliste der Behörde genau befolgen.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Mietwagen oder Carsharing für die Übergangszeit, statt in Woche 1 ein Auto zu kaufen (Kapitel 18).</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Woche 3–4</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Nach dem Umzug in die feste Wohnung: Adressänderung innerhalb von zehn Tagen bei USCIS melden (Formular AR-11, online). Das gilt für alle Nicht-US-Bürger mit wenigen Ausnahmen.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Erste gesicherte Kreditkarte (Secured Card) beantragen, sobald SSN oder ITIN vorliegt (Kapitel 11).</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Hausarzt (Primary Care Physician) im Netzwerk wählen und Ersttermin vereinbaren, solange niemand krank ist. Wartezeiten von Wochen bis Monaten sind normal.</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Hausratversicherung (Renters Insurance) abschließen; viele Vermieter verlangen den Nachweis vor der Schlüsselübergabe.</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 wiederkehrender Termin pro Woche, der nichts mit Arbeit zu tun hat: Sportverein, Kirchengemeinde, Elternrunde, Laufgruppe (Kapitel 14).</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6F2EA"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Sponsor-Regel</w:t>
            </w:r>
          </w:p>
          <w:p>
            <w:pPr>
              <w:spacing w:after="0"/>
            </w:pPr>
            <w:r>
              <w:rPr>
                <w:rFonts w:ascii="Calibri" w:cs="Calibri" w:eastAsia="Calibri" w:hAnsi="Calibri"/>
                <w:color w:val="222222"/>
                <w:sz w:val="21"/>
                <w:szCs w:val="21"/>
              </w:rPr>
              <w:t xml:space="preserve">Eine Person vor Ort, die einkauft, den Flughafentransfer erklärt und in der ersten Woche ansprechbar ist, verhindert mehr Abbrüche als jedes Motivationsbuch. Wenn der Arbeitgeber niemanden stellt: Expat-Gruppe, Relocation-Dienst oder bezahlte lokale Hilfe für zwei bis drei Tage.</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7" w:history="1">
              <w:r>
                <w:rPr>
                  <w:rStyle w:val="Hyperlink"/>
                  <w:rFonts w:ascii="Calibri" w:cs="Calibri" w:eastAsia="Calibri" w:hAnsi="Calibri"/>
                  <w:color w:val="0563C1"/>
                  <w:u w:val="single"/>
                  <w:sz w:val="21"/>
                  <w:szCs w:val="21"/>
                </w:rPr>
                <w:t xml:space="preserve">CBP – I-94</w:t>
              </w:r>
            </w:hyperlink>
            <w:r>
              <w:rPr>
                <w:rFonts w:ascii="Calibri" w:cs="Calibri" w:eastAsia="Calibri" w:hAnsi="Calibri"/>
                <w:color w:val="222222"/>
                <w:sz w:val="21"/>
                <w:szCs w:val="21"/>
              </w:rPr>
              <w:t xml:space="preserve">, </w:t>
            </w:r>
            <w:hyperlink r:id="rIdL38" w:history="1">
              <w:r>
                <w:rPr>
                  <w:rStyle w:val="Hyperlink"/>
                  <w:rFonts w:ascii="Calibri" w:cs="Calibri" w:eastAsia="Calibri" w:hAnsi="Calibri"/>
                  <w:color w:val="0563C1"/>
                  <w:u w:val="single"/>
                  <w:sz w:val="21"/>
                  <w:szCs w:val="21"/>
                </w:rPr>
                <w:t xml:space="preserve">SSA – Sozialversicherungsnummer für Nicht-US-Bürger (PDF)</w:t>
              </w:r>
            </w:hyperlink>
            <w:r>
              <w:rPr>
                <w:rFonts w:ascii="Calibri" w:cs="Calibri" w:eastAsia="Calibri" w:hAnsi="Calibri"/>
                <w:color w:val="222222"/>
                <w:sz w:val="21"/>
                <w:szCs w:val="21"/>
              </w:rPr>
              <w:t xml:space="preserve">, </w:t>
            </w:r>
            <w:hyperlink r:id="rIdL39" w:history="1">
              <w:r>
                <w:rPr>
                  <w:rStyle w:val="Hyperlink"/>
                  <w:rFonts w:ascii="Calibri" w:cs="Calibri" w:eastAsia="Calibri" w:hAnsi="Calibri"/>
                  <w:color w:val="0563C1"/>
                  <w:u w:val="single"/>
                  <w:sz w:val="21"/>
                  <w:szCs w:val="21"/>
                </w:rPr>
                <w:t xml:space="preserve">USCIS – Adressänderung</w:t>
              </w:r>
            </w:hyperlink>
            <w:r>
              <w:rPr>
                <w:rFonts w:ascii="Calibri" w:cs="Calibri" w:eastAsia="Calibri" w:hAnsi="Calibri"/>
                <w:color w:val="222222"/>
                <w:sz w:val="21"/>
                <w:szCs w:val="21"/>
              </w:rPr>
              <w:t xml:space="preserve">, </w:t>
            </w:r>
            <w:hyperlink r:id="rIdL40" w:history="1">
              <w:r>
                <w:rPr>
                  <w:rStyle w:val="Hyperlink"/>
                  <w:rFonts w:ascii="Calibri" w:cs="Calibri" w:eastAsia="Calibri" w:hAnsi="Calibri"/>
                  <w:color w:val="0563C1"/>
                  <w:u w:val="single"/>
                  <w:sz w:val="21"/>
                  <w:szCs w:val="21"/>
                </w:rPr>
                <w:t xml:space="preserve">USCIS – Formular I-9</w:t>
              </w:r>
            </w:hyperlink>
            <w:r>
              <w:rPr>
                <w:rFonts w:ascii="Calibri" w:cs="Calibri" w:eastAsia="Calibri" w:hAnsi="Calibri"/>
                <w:color w:val="222222"/>
                <w:sz w:val="21"/>
                <w:szCs w:val="21"/>
              </w:rPr>
              <w:t xml:space="preserve">, </w:t>
            </w:r>
            <w:hyperlink r:id="rIdL41" w:history="1">
              <w:r>
                <w:rPr>
                  <w:rStyle w:val="Hyperlink"/>
                  <w:rFonts w:ascii="Calibri" w:cs="Calibri" w:eastAsia="Calibri" w:hAnsi="Calibri"/>
                  <w:color w:val="0563C1"/>
                  <w:u w:val="single"/>
                  <w:sz w:val="21"/>
                  <w:szCs w:val="21"/>
                </w:rPr>
                <w:t xml:space="preserve">Krisenvorsorgeliste ELEFAND</w:t>
              </w:r>
            </w:hyperlink>
            <w:r>
              <w:rPr>
                <w:rFonts w:ascii="Calibri" w:cs="Calibri" w:eastAsia="Calibri" w:hAnsi="Calibri"/>
                <w:color w:val="222222"/>
                <w:sz w:val="21"/>
                <w:szCs w:val="21"/>
              </w:rPr>
              <w:t xml:space="preserve">.</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8" w:name="k08"/>
      <w:r>
        <w:rPr>
          <w:rFonts w:ascii="Calibri" w:cs="Calibri" w:eastAsia="Calibri" w:hAnsi="Calibri"/>
          <w:b/>
          <w:bCs/>
          <w:color w:val="1B365D"/>
          <w:sz w:val="32"/>
          <w:szCs w:val="32"/>
        </w:rPr>
        <w:t xml:space="preserve">8. Geld und Budget</w:t>
      </w:r>
      <w:bookmarkEnd w:id="8"/>
    </w:p>
    <w:p>
      <w:pPr>
        <w:spacing w:after="160" w:before="0" w:line="276"/>
      </w:pPr>
      <w:r>
        <w:rPr>
          <w:rFonts w:ascii="Calibri" w:cs="Calibri" w:eastAsia="Calibri" w:hAnsi="Calibri"/>
          <w:color w:val="222222"/>
          <w:sz w:val="22"/>
          <w:szCs w:val="22"/>
        </w:rPr>
        <w:t xml:space="preserve">Ein US-Umzug scheitert selten an einem einzelnen großen Posten, sondern an vielen mittleren, die gleichzeitig fällig werden: Kaution, Auto, Möbel, Selbstbeteiligung, Heimflug. Dieses Kapitel gibt die Struktur vor; die Zahlen tragen Sie selbst ein – aus Angeboten, Inseraten und Ihrem Arbeitsvertrag, nicht aus Foren.</w:t>
      </w:r>
    </w:p>
    <w:p>
      <w:pPr>
        <w:pStyle w:val="Heading2"/>
        <w:keepNext/>
        <w:spacing w:after="120" w:before="280"/>
      </w:pPr>
      <w:r>
        <w:rPr>
          <w:rFonts w:ascii="Calibri" w:cs="Calibri" w:eastAsia="Calibri" w:hAnsi="Calibri"/>
          <w:b/>
          <w:bCs/>
          <w:color w:val="0F5C6B"/>
          <w:sz w:val="26"/>
          <w:szCs w:val="26"/>
        </w:rPr>
        <w:t xml:space="preserve">Polster: wie viel Reserve?</w:t>
      </w:r>
    </w:p>
    <w:p>
      <w:pPr>
        <w:spacing w:after="160" w:before="0" w:line="276"/>
      </w:pPr>
      <w:r>
        <w:rPr>
          <w:rFonts w:ascii="Calibri" w:cs="Calibri" w:eastAsia="Calibri" w:hAnsi="Calibri"/>
          <w:color w:val="222222"/>
          <w:sz w:val="22"/>
          <w:szCs w:val="22"/>
        </w:rPr>
        <w:t xml:space="preserve">Rechnen Sie Ihre monatlichen Fixkosten in den USA (Miete, Nebenkosten, Internet, Mobilfunk, Auto, Versicherungen, Lebensmittel, Kinderbetreuung, laufende Kosten in Deutschland) und multiplizieren Sie je nach Szenario:</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4506"/>
      </w:tblGrid>
      <w:tr>
        <w:trPr>
          <w:tblHeader/>
          <w:cantSplit/>
        </w:trPr>
        <w:tc>
          <w:tcPr>
            <w:tcW w:type="dxa" w:w="30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Szenario</w:t>
            </w:r>
          </w:p>
        </w:tc>
        <w:tc>
          <w:tcPr>
            <w:tcW w:type="dxa" w:w="32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Mindestreserve</w:t>
            </w:r>
          </w:p>
        </w:tc>
        <w:tc>
          <w:tcPr>
            <w:tcW w:type="dxa" w:w="45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Warum</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A: US-Arbeitsvertrag mit Relocation-Paket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6 Monatsausgaben plus Rückkehrkosten</w:t>
            </w:r>
          </w:p>
        </w:tc>
        <w:tc>
          <w:tcPr>
            <w:tcW w:type="dxa" w:w="45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Bei Jobverlust bleibt H-1B-, L-1-, E- und O-1-Inhabern eine Schonfrist von bis zu 60 Tagen (höchstens bis zum Ende des I-94), um einen neuen Arbeitgeber, einen anderen Status oder die Ausreise zu organisieren.</w:t>
            </w:r>
          </w:p>
        </w:tc>
      </w:tr>
      <w:tr>
        <w:trPr>
          <w:cantSplit/>
        </w:trPr>
        <w:tc>
          <w:tcPr>
            <w:tcW w:type="dxa" w:w="3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B: E-2 oder Selbstständigkeit</w:t>
            </w:r>
          </w:p>
        </w:tc>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18–24 Monatsausgaben privat, getrennt vom Geschäftskapital</w:t>
            </w:r>
          </w:p>
        </w:tc>
        <w:tc>
          <w:tcPr>
            <w:tcW w:type="dxa" w:w="45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Neue Geschäfte brauchen oft länger als geplant bis zum Gewinn; das gebundene E-2-Kapital ist nicht Ihre Reserve.</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C: Familie, nur ein Partner arbeitet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9–12 Monatsausgaben plus Rückkehrkosten</w:t>
            </w:r>
          </w:p>
        </w:tc>
        <w:tc>
          <w:tcPr>
            <w:tcW w:type="dxa" w:w="45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 Einkommen trägt alles; der Partner darf je nach Status nicht arbeiten (Kapitel 3), und Kinderbetreuung, Ferien und Arztkosten treffen ein einziges Gehalt.</w:t>
            </w:r>
          </w:p>
        </w:tc>
      </w:tr>
    </w:tbl>
    <w:p>
      <w:pPr>
        <w:spacing w:after="200"/>
      </w:pPr>
    </w:p>
    <w:p>
      <w:pPr>
        <w:spacing w:after="160" w:before="0" w:line="276"/>
      </w:pPr>
      <w:r>
        <w:rPr>
          <w:rFonts w:ascii="Calibri" w:cs="Calibri" w:eastAsia="Calibri" w:hAnsi="Calibri"/>
          <w:b/>
          <w:bCs/>
          <w:color w:val="222222"/>
          <w:sz w:val="22"/>
          <w:szCs w:val="22"/>
        </w:rPr>
        <w:t xml:space="preserve">Rechenbeispiel (Methode, keine Marktpreise):</w:t>
      </w:r>
      <w:r>
        <w:rPr>
          <w:rFonts w:ascii="Calibri" w:cs="Calibri" w:eastAsia="Calibri" w:hAnsi="Calibri"/>
          <w:color w:val="222222"/>
          <w:sz w:val="22"/>
          <w:szCs w:val="22"/>
        </w:rPr>
        <w:t xml:space="preserve"> Eine Familie ermittelt aus aktuellen Inseraten und Angeboten Fixkosten von 7.000 USD im Monat. Szenario C verlangt 9 × 7.000 = 63.000 USD plus Rückkehrkosten von geschätzt 15.000 USD (vier Flüge, kleiner Rücktransport, zwei Monate Überbrückung in Deutschland). Mindestreserve: 78.000 USD auf Konten, die innerhalb einer Woche verfügbar sind.</w:t>
      </w:r>
    </w:p>
    <w:p>
      <w:pPr>
        <w:pStyle w:val="Heading2"/>
        <w:keepNext/>
        <w:spacing w:after="120" w:before="280"/>
      </w:pPr>
      <w:r>
        <w:rPr>
          <w:rFonts w:ascii="Calibri" w:cs="Calibri" w:eastAsia="Calibri" w:hAnsi="Calibri"/>
          <w:b/>
          <w:bCs/>
          <w:color w:val="0F5C6B"/>
          <w:sz w:val="26"/>
          <w:szCs w:val="26"/>
        </w:rPr>
        <w:t xml:space="preserve">Budgettabelle: einmalig, monatlich, Reserve</w:t>
      </w:r>
    </w:p>
    <w:p>
      <w:pPr>
        <w:spacing w:after="160" w:before="0" w:line="276"/>
      </w:pPr>
      <w:r>
        <w:rPr>
          <w:rFonts w:ascii="Calibri" w:cs="Calibri" w:eastAsia="Calibri" w:hAnsi="Calibri"/>
          <w:color w:val="222222"/>
          <w:sz w:val="22"/>
          <w:szCs w:val="22"/>
        </w:rPr>
        <w:t xml:space="preserve">Spalte „Arbeitgeber?“ gilt für Szenario A. In Szenario B und C zahlen Sie in der Regel alles selbst. Zahlungen des Arbeitgebers für den Umzug sind in den USA grundsätzlich steuerpflichtiges Einkommen – fragen Sie, ob er die Steuer übernimmt („Gross-up“).</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1900"/>
        <w:gridCol w:w="2106"/>
        <w:gridCol w:w="2000"/>
      </w:tblGrid>
      <w:tr>
        <w:trPr>
          <w:tblHeader/>
          <w:cantSplit/>
        </w:trPr>
        <w:tc>
          <w:tcPr>
            <w:tcW w:type="dxa" w:w="27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Posten</w:t>
            </w:r>
          </w:p>
        </w:tc>
        <w:tc>
          <w:tcPr>
            <w:tcW w:type="dxa" w:w="20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Einmalig</w:t>
            </w:r>
          </w:p>
        </w:tc>
        <w:tc>
          <w:tcPr>
            <w:tcW w:type="dxa" w:w="19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Monatlich</w:t>
            </w:r>
          </w:p>
        </w:tc>
        <w:tc>
          <w:tcPr>
            <w:tcW w:type="dxa" w:w="21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Notfallreserve</w:t>
            </w:r>
          </w:p>
        </w:tc>
        <w:tc>
          <w:tcPr>
            <w:tcW w:type="dxa" w:w="20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8"/>
                <w:szCs w:val="18"/>
              </w:rPr>
              <w:t xml:space="preserve">Vom Arbeitgeber gedeckt?</w:t>
            </w:r>
          </w:p>
        </w:tc>
      </w:tr>
      <w:tr>
        <w:trPr>
          <w:cantSplit/>
        </w:trPr>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Visum, Anwalt, Übersetzungen, Urkunden</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Behördengebühren laut State Department (z. B. 205 USD für H/L, 315 USD für E pro Antragsteller) plus Anwalt</w:t>
            </w:r>
          </w:p>
        </w:tc>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1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Puffer für Nachforderungen (RFE)</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Bei H-1B muss der Arbeitgeber die Petitionskosten tragen; Gebühren für Angehörige oft nicht</w:t>
            </w:r>
          </w:p>
        </w:tc>
      </w:tr>
      <w:tr>
        <w:trPr>
          <w:cantSplit/>
        </w:trPr>
        <w:tc>
          <w:tcPr>
            <w:tcW w:type="dxa" w:w="2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Flüge zur Ausreise</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____</w:t>
            </w:r>
          </w:p>
        </w:tc>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1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Ein Rückflug je Person</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Oft ja</w:t>
            </w:r>
          </w:p>
        </w:tc>
      </w:tr>
      <w:tr>
        <w:trPr>
          <w:cantSplit/>
        </w:trPr>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Umzug See- und Luftfracht, Versicherung</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____</w:t>
            </w:r>
          </w:p>
        </w:tc>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1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Oft ja, mit Obergrenze in kg oder USD</w:t>
            </w:r>
          </w:p>
        </w:tc>
      </w:tr>
      <w:tr>
        <w:trPr>
          <w:cantSplit/>
        </w:trPr>
        <w:tc>
          <w:tcPr>
            <w:tcW w:type="dxa" w:w="2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Temporäre Wohnung (30–90 Tage)</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____</w:t>
            </w:r>
          </w:p>
        </w:tc>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1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30 Tage zusätzlich</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Oft ja, befristet</w:t>
            </w:r>
          </w:p>
        </w:tc>
      </w:tr>
      <w:tr>
        <w:trPr>
          <w:cantSplit/>
        </w:trPr>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Kaution, erste Miete, Antragsgebühren</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____</w:t>
            </w:r>
          </w:p>
        </w:tc>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Miete ____</w:t>
            </w:r>
          </w:p>
        </w:tc>
        <w:tc>
          <w:tcPr>
            <w:tcW w:type="dxa" w:w="21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Zwei Monatsmieten</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Selten</w:t>
            </w:r>
          </w:p>
        </w:tc>
      </w:tr>
      <w:tr>
        <w:trPr>
          <w:cantSplit/>
        </w:trPr>
        <w:tc>
          <w:tcPr>
            <w:tcW w:type="dxa" w:w="2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Möbel, Küche, Elektrogeräte</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____</w:t>
            </w:r>
          </w:p>
        </w:tc>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1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Manchmal als Pauschale (Lump Sum)</w:t>
            </w:r>
          </w:p>
        </w:tc>
      </w:tr>
      <w:tr>
        <w:trPr>
          <w:cantSplit/>
        </w:trPr>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Auto: Kauf oder Leasing, Zulassung</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Anzahlung ____</w:t>
            </w:r>
          </w:p>
        </w:tc>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Rate, Versicherung, Benzin ____</w:t>
            </w:r>
          </w:p>
        </w:tc>
        <w:tc>
          <w:tcPr>
            <w:tcW w:type="dxa" w:w="21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Eine große Reparatur</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Selten</w:t>
            </w:r>
          </w:p>
        </w:tc>
      </w:tr>
      <w:tr>
        <w:trPr>
          <w:cantSplit/>
        </w:trPr>
        <w:tc>
          <w:tcPr>
            <w:tcW w:type="dxa" w:w="2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Krankenversicherung</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Brückenversicherung ____</w:t>
            </w:r>
          </w:p>
        </w:tc>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Arbeitnehmeranteil der Prämie ____</w:t>
            </w:r>
          </w:p>
        </w:tc>
        <w:tc>
          <w:tcPr>
            <w:tcW w:type="dxa" w:w="21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Out-of-Pocket-Maximum der Familie</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Arbeitgeber zahlt meist einen Teil der Prämie</w:t>
            </w:r>
          </w:p>
        </w:tc>
      </w:tr>
      <w:tr>
        <w:trPr>
          <w:cantSplit/>
        </w:trPr>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Strom, Gas, Wasser, Internet, Mobilfunk</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Anschluss, ggf. Kaution ohne US-Bonität</w:t>
            </w:r>
          </w:p>
        </w:tc>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____</w:t>
            </w:r>
          </w:p>
        </w:tc>
        <w:tc>
          <w:tcPr>
            <w:tcW w:type="dxa" w:w="21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Nein</w:t>
            </w:r>
          </w:p>
        </w:tc>
      </w:tr>
      <w:tr>
        <w:trPr>
          <w:cantSplit/>
        </w:trPr>
        <w:tc>
          <w:tcPr>
            <w:tcW w:type="dxa" w:w="2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Lebensmittel, Haushalt, Kleidung</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____</w:t>
            </w:r>
          </w:p>
        </w:tc>
        <w:tc>
          <w:tcPr>
            <w:tcW w:type="dxa" w:w="21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Nein</w:t>
            </w:r>
          </w:p>
        </w:tc>
      </w:tr>
      <w:tr>
        <w:trPr>
          <w:cantSplit/>
        </w:trPr>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Kinderbetreuung, Schulmaterial, Sommercamps</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____</w:t>
            </w:r>
          </w:p>
        </w:tc>
        <w:tc>
          <w:tcPr>
            <w:tcW w:type="dxa" w:w="21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Zwei Wochen Ferienbetreuung</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Selten</w:t>
            </w:r>
          </w:p>
        </w:tc>
      </w:tr>
      <w:tr>
        <w:trPr>
          <w:cantSplit/>
        </w:trPr>
        <w:tc>
          <w:tcPr>
            <w:tcW w:type="dxa" w:w="2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Steuerberatung USA und Deutschland</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Erstjahr ____</w:t>
            </w:r>
          </w:p>
        </w:tc>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1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Oft für ein bis zwei Jahre im Paket</w:t>
            </w:r>
          </w:p>
        </w:tc>
      </w:tr>
      <w:tr>
        <w:trPr>
          <w:cantSplit/>
        </w:trPr>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Heimflüge</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Jahresbudget ÷ 12 ____</w:t>
            </w:r>
          </w:p>
        </w:tc>
        <w:tc>
          <w:tcPr>
            <w:tcW w:type="dxa" w:w="21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Ein kurzfristiger Flug je Erwachsenem</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Selten (Home Leave bei Entsendungen)</w:t>
            </w:r>
          </w:p>
        </w:tc>
      </w:tr>
      <w:tr>
        <w:trPr>
          <w:cantSplit/>
        </w:trPr>
        <w:tc>
          <w:tcPr>
            <w:tcW w:type="dxa" w:w="2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Laufende Kosten in Deutschland</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Lager, Konto, Versicherungen ____</w:t>
            </w:r>
          </w:p>
        </w:tc>
        <w:tc>
          <w:tcPr>
            <w:tcW w:type="dxa" w:w="21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Nein</w:t>
            </w:r>
          </w:p>
        </w:tc>
      </w:tr>
      <w:tr>
        <w:trPr>
          <w:cantSplit/>
        </w:trPr>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8"/>
                <w:szCs w:val="18"/>
              </w:rPr>
              <w:t xml:space="preserve">Rückkehr nach Deutschland</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w:t>
            </w:r>
          </w:p>
        </w:tc>
        <w:tc>
          <w:tcPr>
            <w:tcW w:type="dxa" w:w="21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Volle Summe (Teil der Mindestreserve)</w:t>
            </w:r>
          </w:p>
        </w:tc>
        <w:tc>
          <w:tcPr>
            <w:tcW w:type="dxa" w:w="2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8"/>
                <w:szCs w:val="18"/>
              </w:rPr>
              <w:t xml:space="preserve">Nur bei schriftlicher Repatriation-Klausel</w:t>
            </w:r>
          </w:p>
        </w:tc>
      </w:tr>
    </w:tbl>
    <w:p>
      <w:pPr>
        <w:spacing w:after="200"/>
      </w:pPr>
    </w:p>
    <w:p>
      <w:pPr>
        <w:pStyle w:val="Heading2"/>
        <w:keepNext/>
        <w:spacing w:after="120" w:before="280"/>
      </w:pPr>
      <w:r>
        <w:rPr>
          <w:rFonts w:ascii="Calibri" w:cs="Calibri" w:eastAsia="Calibri" w:hAnsi="Calibri"/>
          <w:b/>
          <w:bCs/>
          <w:color w:val="0F5C6B"/>
          <w:sz w:val="26"/>
          <w:szCs w:val="26"/>
        </w:rPr>
        <w:t xml:space="preserve">Die ersten 12 Monate</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900"/>
        <w:gridCol w:w="4900"/>
        <w:gridCol w:w="3906"/>
      </w:tblGrid>
      <w:tr>
        <w:trPr>
          <w:tblHeader/>
          <w:cantSplit/>
        </w:trPr>
        <w:tc>
          <w:tcPr>
            <w:tcW w:type="dxa" w:w="19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Zeitraum</w:t>
            </w:r>
          </w:p>
        </w:tc>
        <w:tc>
          <w:tcPr>
            <w:tcW w:type="dxa" w:w="49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Typische Kostenspitzen</w:t>
            </w:r>
          </w:p>
        </w:tc>
        <w:tc>
          <w:tcPr>
            <w:tcW w:type="dxa" w:w="39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Was Sie vorher erledigen</w:t>
            </w:r>
          </w:p>
        </w:tc>
      </w:tr>
      <w:tr>
        <w:trPr>
          <w:cantSplit/>
        </w:trPr>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Vor dem Abflug</w:t>
            </w:r>
          </w:p>
        </w:tc>
        <w:tc>
          <w:tcPr>
            <w:tcW w:type="dxa" w:w="4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Visum, Anwalt, Flüge, Umzug, Brückenversicherung, doppelte Miete im Kündigungsmonat</w:t>
            </w:r>
          </w:p>
        </w:tc>
        <w:tc>
          <w:tcPr>
            <w:tcW w:type="dxa" w:w="39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Angebote einholen; Zusagen des Arbeitgebers schriftlich</w:t>
            </w:r>
          </w:p>
        </w:tc>
      </w:tr>
      <w:tr>
        <w:trPr>
          <w:cantSplit/>
        </w:trPr>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Monat 1–3</w:t>
            </w:r>
          </w:p>
        </w:tc>
        <w:tc>
          <w:tcPr>
            <w:tcW w:type="dxa" w:w="4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Temporäre Wohnung, Kaution und erste Miete, Möbel, Auto, Kautionen bei Versorgern ohne Bonität, erste Arztbesuche bis zur Selbstbeteiligung</w:t>
            </w:r>
          </w:p>
        </w:tc>
        <w:tc>
          <w:tcPr>
            <w:tcW w:type="dxa" w:w="39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Reserve auf schnell verfügbarem Konto; Kreditkarte mit ausreichendem Rahmen aus Deutschland</w:t>
            </w:r>
          </w:p>
        </w:tc>
      </w:tr>
      <w:tr>
        <w:trPr>
          <w:cantSplit/>
        </w:trPr>
        <w:tc>
          <w:tcPr>
            <w:tcW w:type="dxa" w:w="1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Monat 4–6</w:t>
            </w:r>
          </w:p>
        </w:tc>
        <w:tc>
          <w:tcPr>
            <w:tcW w:type="dxa" w:w="49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Selbstbeteiligung der Krankenversicherung, Schulsachen, erste Reparaturen, Steuerberater</w:t>
            </w:r>
          </w:p>
        </w:tc>
        <w:tc>
          <w:tcPr>
            <w:tcW w:type="dxa" w:w="39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Monatsbudget mit echten Ausgaben der ersten drei Monate neu rechnen</w:t>
            </w:r>
          </w:p>
        </w:tc>
      </w:tr>
      <w:tr>
        <w:trPr>
          <w:cantSplit/>
        </w:trPr>
        <w:tc>
          <w:tcPr>
            <w:tcW w:type="dxa" w:w="1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Monat 7–12</w:t>
            </w:r>
          </w:p>
        </w:tc>
        <w:tc>
          <w:tcPr>
            <w:tcW w:type="dxa" w:w="49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US-Steuererklärung für das Ankunftsjahr (Frist in der Regel 15. April), deutsche Steuererklärung für das Wegzugsjahr, Heimflug, Feiertage, Verlängerung von Mietvertrag und Kfz-Versicherung</w:t>
            </w:r>
          </w:p>
        </w:tc>
        <w:tc>
          <w:tcPr>
            <w:tcW w:type="dxa" w:w="39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90-Tage-Check (Kapitel 17) wiederholen; Reserve wieder auffüllen</w:t>
            </w:r>
          </w:p>
        </w:tc>
      </w:tr>
    </w:tbl>
    <w:p>
      <w:pPr>
        <w:spacing w:after="200"/>
      </w:pPr>
    </w:p>
    <w:p>
      <w:pPr>
        <w:pStyle w:val="Heading2"/>
        <w:keepNext/>
        <w:spacing w:after="120" w:before="280"/>
      </w:pPr>
      <w:r>
        <w:rPr>
          <w:rFonts w:ascii="Calibri" w:cs="Calibri" w:eastAsia="Calibri" w:hAnsi="Calibri"/>
          <w:b/>
          <w:bCs/>
          <w:color w:val="0F5C6B"/>
          <w:sz w:val="26"/>
          <w:szCs w:val="26"/>
        </w:rPr>
        <w:t xml:space="preserve">Miete als Start</w:t>
      </w:r>
    </w:p>
    <w:p>
      <w:pPr>
        <w:spacing w:after="160" w:before="0" w:line="276"/>
      </w:pPr>
      <w:r>
        <w:rPr>
          <w:rFonts w:ascii="Calibri" w:cs="Calibri" w:eastAsia="Calibri" w:hAnsi="Calibri"/>
          <w:color w:val="222222"/>
          <w:sz w:val="22"/>
          <w:szCs w:val="22"/>
        </w:rPr>
        <w:t xml:space="preserve">Für Neuankömmlinge fast immer besser als Kauf (Kapitel 18). Viele Vermieter wollen Credit Score, SSN, Gehaltsnachweis und eine Kaution. Wie hoch die Kaution sein darf, regelt jeder Bundesstaat selbst: Kalifornien etwa begrenzt sie seit 1. Juli 2024 grundsätzlich auf eine Monatsmiete, mit Ausnahmen für kleine private Vermieter. Ohne Score helfen eine möblierte Kurzzeitmiete, eine Bürgschaft des Arbeitgebers oder eine höhere Vorauszahlung (Kapitel 11). Mietpreise nur aus aktuellen Inseraten der konkreten Gegend ableiten; Pauschalwerte wie „2.500 USD für eine vierköpfige Familie“ sind in vielen Metropolen viel zu niedrig.</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42" w:history="1">
              <w:r>
                <w:rPr>
                  <w:rStyle w:val="Hyperlink"/>
                  <w:rFonts w:ascii="Calibri" w:cs="Calibri" w:eastAsia="Calibri" w:hAnsi="Calibri"/>
                  <w:color w:val="0563C1"/>
                  <w:u w:val="single"/>
                  <w:sz w:val="21"/>
                  <w:szCs w:val="21"/>
                </w:rPr>
                <w:t xml:space="preserve">State Department – Visagebühren</w:t>
              </w:r>
            </w:hyperlink>
            <w:r>
              <w:rPr>
                <w:rFonts w:ascii="Calibri" w:cs="Calibri" w:eastAsia="Calibri" w:hAnsi="Calibri"/>
                <w:color w:val="222222"/>
                <w:sz w:val="21"/>
                <w:szCs w:val="21"/>
              </w:rPr>
              <w:t xml:space="preserve">, </w:t>
            </w:r>
            <w:hyperlink r:id="rIdL43" w:history="1">
              <w:r>
                <w:rPr>
                  <w:rStyle w:val="Hyperlink"/>
                  <w:rFonts w:ascii="Calibri" w:cs="Calibri" w:eastAsia="Calibri" w:hAnsi="Calibri"/>
                  <w:color w:val="0563C1"/>
                  <w:u w:val="single"/>
                  <w:sz w:val="21"/>
                  <w:szCs w:val="21"/>
                </w:rPr>
                <w:t xml:space="preserve">8 CFR 214.1(l)(2) – Schonfrist bis zu 60 Tage</w:t>
              </w:r>
            </w:hyperlink>
            <w:r>
              <w:rPr>
                <w:rFonts w:ascii="Calibri" w:cs="Calibri" w:eastAsia="Calibri" w:hAnsi="Calibri"/>
                <w:color w:val="222222"/>
                <w:sz w:val="21"/>
                <w:szCs w:val="21"/>
              </w:rPr>
              <w:t xml:space="preserve">, </w:t>
            </w:r>
            <w:hyperlink r:id="rIdL44" w:history="1">
              <w:r>
                <w:rPr>
                  <w:rStyle w:val="Hyperlink"/>
                  <w:rFonts w:ascii="Calibri" w:cs="Calibri" w:eastAsia="Calibri" w:hAnsi="Calibri"/>
                  <w:color w:val="0563C1"/>
                  <w:u w:val="single"/>
                  <w:sz w:val="21"/>
                  <w:szCs w:val="21"/>
                </w:rPr>
                <w:t xml:space="preserve">IRS Publication 15-B – Umzugskostenerstattung</w:t>
              </w:r>
            </w:hyperlink>
            <w:r>
              <w:rPr>
                <w:rFonts w:ascii="Calibri" w:cs="Calibri" w:eastAsia="Calibri" w:hAnsi="Calibri"/>
                <w:color w:val="222222"/>
                <w:sz w:val="21"/>
                <w:szCs w:val="21"/>
              </w:rPr>
              <w:t xml:space="preserve">, </w:t>
            </w:r>
            <w:hyperlink r:id="rIdL45" w:history="1">
              <w:r>
                <w:rPr>
                  <w:rStyle w:val="Hyperlink"/>
                  <w:rFonts w:ascii="Calibri" w:cs="Calibri" w:eastAsia="Calibri" w:hAnsi="Calibri"/>
                  <w:color w:val="0563C1"/>
                  <w:u w:val="single"/>
                  <w:sz w:val="21"/>
                  <w:szCs w:val="21"/>
                </w:rPr>
                <w:t xml:space="preserve">Kalifornien – Kaution (AB 12)</w:t>
              </w:r>
            </w:hyperlink>
            <w:r>
              <w:rPr>
                <w:rFonts w:ascii="Calibri" w:cs="Calibri" w:eastAsia="Calibri" w:hAnsi="Calibri"/>
                <w:color w:val="222222"/>
                <w:sz w:val="21"/>
                <w:szCs w:val="21"/>
              </w:rPr>
              <w:t xml:space="preserve">.</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9" w:name="k09"/>
      <w:r>
        <w:rPr>
          <w:rFonts w:ascii="Calibri" w:cs="Calibri" w:eastAsia="Calibri" w:hAnsi="Calibri"/>
          <w:b/>
          <w:bCs/>
          <w:color w:val="1B365D"/>
          <w:sz w:val="32"/>
          <w:szCs w:val="32"/>
        </w:rPr>
        <w:t xml:space="preserve">9. Krankenversicherung und Gesundheit</w:t>
      </w:r>
      <w:bookmarkEnd w:id="9"/>
    </w:p>
    <w:p>
      <w:pPr>
        <w:spacing w:after="160" w:before="0" w:line="276"/>
      </w:pPr>
      <w:r>
        <w:rPr>
          <w:rFonts w:ascii="Calibri" w:cs="Calibri" w:eastAsia="Calibri" w:hAnsi="Calibri"/>
          <w:color w:val="222222"/>
          <w:sz w:val="22"/>
          <w:szCs w:val="22"/>
        </w:rPr>
        <w:t xml:space="preserve">Das US-System ist teuer und zersplittert. Ohne Deckung kann ein einziger Aufenthalt in der Notaufnahme den Umzug finanziell beenden. Fast alle Missverständnisse entstehen an denselben zehn Begriffen – lernen Sie sie, bevor Sie einen Tarif wählen.</w:t>
      </w:r>
    </w:p>
    <w:p>
      <w:pPr>
        <w:pStyle w:val="Heading2"/>
        <w:keepNext/>
        <w:spacing w:after="120" w:before="280"/>
      </w:pPr>
      <w:r>
        <w:rPr>
          <w:rFonts w:ascii="Calibri" w:cs="Calibri" w:eastAsia="Calibri" w:hAnsi="Calibri"/>
          <w:b/>
          <w:bCs/>
          <w:color w:val="0F5C6B"/>
          <w:sz w:val="26"/>
          <w:szCs w:val="26"/>
        </w:rPr>
        <w:t xml:space="preserve">Die Begriffe, die Sie kennen müssen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gridCol w:w="3806"/>
      </w:tblGrid>
      <w:tr>
        <w:trPr>
          <w:tblHeader/>
          <w:cantSplit/>
        </w:trPr>
        <w:tc>
          <w:tcPr>
            <w:tcW w:type="dxa" w:w="2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Begriff</w:t>
            </w:r>
          </w:p>
        </w:tc>
        <w:tc>
          <w:tcPr>
            <w:tcW w:type="dxa" w:w="46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Bedeutung</w:t>
            </w:r>
          </w:p>
        </w:tc>
        <w:tc>
          <w:tcPr>
            <w:tcW w:type="dxa" w:w="38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Worauf Sie achten</w:t>
            </w:r>
          </w:p>
        </w:tc>
      </w:tr>
      <w:tr>
        <w:trPr>
          <w:cantSplit/>
        </w:trPr>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Premium</w:t>
            </w:r>
          </w:p>
        </w:tc>
        <w:tc>
          <w:tcPr>
            <w:tcW w:type="dxa" w:w="4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Monatlicher Beitrag. Beim Arbeitgebertarif zahlen Sie einen Anteil, meist direkt vom Lohn abgezogen.</w:t>
            </w:r>
          </w:p>
        </w:tc>
        <w:tc>
          <w:tcPr>
            <w:tcW w:type="dxa" w:w="3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Prämie für „Employee + Family“ vergleichen, nicht nur für Sie allein.</w:t>
            </w:r>
          </w:p>
        </w:tc>
      </w:tr>
      <w:tr>
        <w:trPr>
          <w:cantSplit/>
        </w:trPr>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Deductible</w:t>
            </w:r>
          </w:p>
        </w:tc>
        <w:tc>
          <w:tcPr>
            <w:tcW w:type="dxa" w:w="4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Selbstbeteiligung pro Jahr, bevor die Versicherung zahlt. Vorsorgeleistungen sind oft schon vorher gedeckt.</w:t>
            </w:r>
          </w:p>
        </w:tc>
        <w:tc>
          <w:tcPr>
            <w:tcW w:type="dxa" w:w="3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Gilt pro Person und pro Familie; Jahr beginnt meist am 1. Januar, nicht mit Ihrem Arbeitsbeginn.</w:t>
            </w:r>
          </w:p>
        </w:tc>
      </w:tr>
      <w:tr>
        <w:trPr>
          <w:cantSplit/>
        </w:trPr>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Copay</w:t>
            </w:r>
          </w:p>
        </w:tc>
        <w:tc>
          <w:tcPr>
            <w:tcW w:type="dxa" w:w="4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Fester Betrag pro Leistung, z. B. pro Arztbesuch oder Rezept.</w:t>
            </w:r>
          </w:p>
        </w:tc>
        <w:tc>
          <w:tcPr>
            <w:tcW w:type="dxa" w:w="3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Copays für Facharzt, Urgent Care und Notaufnahme unterscheiden sich stark.</w:t>
            </w:r>
          </w:p>
        </w:tc>
      </w:tr>
      <w:tr>
        <w:trPr>
          <w:cantSplit/>
        </w:trPr>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Coinsurance</w:t>
            </w:r>
          </w:p>
        </w:tc>
        <w:tc>
          <w:tcPr>
            <w:tcW w:type="dxa" w:w="4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Prozentualer Eigenanteil nach Erreichen des Deductible, z. B. 20 %.</w:t>
            </w:r>
          </w:p>
        </w:tc>
        <w:tc>
          <w:tcPr>
            <w:tcW w:type="dxa" w:w="3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Bei teuren Behandlungen entscheidend.</w:t>
            </w:r>
          </w:p>
        </w:tc>
      </w:tr>
      <w:tr>
        <w:trPr>
          <w:cantSplit/>
        </w:trPr>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Out-of-Pocket Maximum</w:t>
            </w:r>
          </w:p>
        </w:tc>
        <w:tc>
          <w:tcPr>
            <w:tcW w:type="dxa" w:w="4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Obergrenze Ihrer Eigenkosten pro Jahr für gedeckte Leistungen im Netzwerk. Danach zahlt die Versicherung 100 %.</w:t>
            </w:r>
          </w:p>
        </w:tc>
        <w:tc>
          <w:tcPr>
            <w:tcW w:type="dxa" w:w="3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Das ist die Zahl für Ihre Notfallreserve (Kapitel 8). Prämien zählen nicht dazu.</w:t>
            </w:r>
          </w:p>
        </w:tc>
      </w:tr>
      <w:tr>
        <w:trPr>
          <w:cantSplit/>
        </w:trPr>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In-Network / Out-of-Network</w:t>
            </w:r>
          </w:p>
        </w:tc>
        <w:tc>
          <w:tcPr>
            <w:tcW w:type="dxa" w:w="4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Ärzte und Kliniken mit bzw. ohne Vertrag mit Ihrer Versicherung. Außerhalb des Netzwerks zahlen Sie deutlich mehr oder alles.</w:t>
            </w:r>
          </w:p>
        </w:tc>
        <w:tc>
          <w:tcPr>
            <w:tcW w:type="dxa" w:w="3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Vor jedem planbaren Termin fragen: „Are you in-network with my plan?“ Bei Notfällen schützt der No Surprises Act vor vielen Überraschungsrechnungen.</w:t>
            </w:r>
          </w:p>
        </w:tc>
      </w:tr>
      <w:tr>
        <w:trPr>
          <w:cantSplit/>
        </w:trPr>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PCP (Primary Care Physician)</w:t>
            </w:r>
          </w:p>
        </w:tc>
        <w:tc>
          <w:tcPr>
            <w:tcW w:type="dxa" w:w="4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Hausarzt, oft erste Anlaufstelle; bei HMO-Tarifen nötig für Überweisungen (Referral) zum Facharzt.</w:t>
            </w:r>
          </w:p>
        </w:tc>
        <w:tc>
          <w:tcPr>
            <w:tcW w:type="dxa" w:w="3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Gleich nach der Ankunft wählen und einen Ersttermin machen.</w:t>
            </w:r>
          </w:p>
        </w:tc>
      </w:tr>
      <w:tr>
        <w:trPr>
          <w:cantSplit/>
        </w:trPr>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Urgent Care vs. ER</w:t>
            </w:r>
          </w:p>
        </w:tc>
        <w:tc>
          <w:tcPr>
            <w:tcW w:type="dxa" w:w="4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Urgent Care: ohne Termin für Schnittwunden, Verstauchungen, Fieber, Infekte. ER (Emergency Room): Notaufnahme für Lebensgefahr, Brustschmerz, Schlaganfallzeichen, schwere Verletzungen.</w:t>
            </w:r>
          </w:p>
        </w:tc>
        <w:tc>
          <w:tcPr>
            <w:tcW w:type="dxa" w:w="3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Bei Lebensgefahr 911 wählen. Für alles andere: Urgent Care oder Telemedizin Ihrer Versicherung.</w:t>
            </w:r>
          </w:p>
        </w:tc>
      </w:tr>
      <w:tr>
        <w:trPr>
          <w:cantSplit/>
        </w:trPr>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Prior Authorization</w:t>
            </w:r>
          </w:p>
        </w:tc>
        <w:tc>
          <w:tcPr>
            <w:tcW w:type="dxa" w:w="4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Vorabgenehmigung der Versicherung für bestimmte Behandlungen, Medikamente oder Bildgebung.</w:t>
            </w:r>
          </w:p>
        </w:tc>
        <w:tc>
          <w:tcPr>
            <w:tcW w:type="dxa" w:w="3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Ohne Genehmigung kann die Erstattung entfallen; der Arzt beantragt sie, Sie fragen nach.</w:t>
            </w:r>
          </w:p>
        </w:tc>
      </w:tr>
      <w:tr>
        <w:trPr>
          <w:cantSplit/>
        </w:trPr>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EOB (Explanation of Benefits)</w:t>
            </w:r>
          </w:p>
        </w:tc>
        <w:tc>
          <w:tcPr>
            <w:tcW w:type="dxa" w:w="4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Abrechnungsübersicht der Versicherung – keine Rechnung.</w:t>
            </w:r>
          </w:p>
        </w:tc>
        <w:tc>
          <w:tcPr>
            <w:tcW w:type="dxa" w:w="3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Rechnung des Arztes erst bezahlen, wenn sie zum EOB passt.</w:t>
            </w:r>
          </w:p>
        </w:tc>
      </w:tr>
    </w:tbl>
    <w:p>
      <w:pPr>
        <w:spacing w:after="200"/>
      </w:pPr>
    </w:p>
    <w:p>
      <w:pPr>
        <w:pStyle w:val="Heading2"/>
        <w:keepNext/>
        <w:spacing w:after="120" w:before="280"/>
      </w:pPr>
      <w:r>
        <w:rPr>
          <w:rFonts w:ascii="Calibri" w:cs="Calibri" w:eastAsia="Calibri" w:hAnsi="Calibri"/>
          <w:b/>
          <w:bCs/>
          <w:color w:val="0F5C6B"/>
          <w:sz w:val="26"/>
          <w:szCs w:val="26"/>
        </w:rPr>
        <w:t xml:space="preserve">Wann beginnt die Arbeitgeberversicherung?</w:t>
      </w:r>
    </w:p>
    <w:p>
      <w:pPr>
        <w:spacing w:after="160" w:before="0" w:line="276"/>
      </w:pPr>
      <w:r>
        <w:rPr>
          <w:rFonts w:ascii="Calibri" w:cs="Calibri" w:eastAsia="Calibri" w:hAnsi="Calibri"/>
          <w:color w:val="222222"/>
          <w:sz w:val="22"/>
          <w:szCs w:val="22"/>
        </w:rPr>
        <w:t xml:space="preserve">Viele Arbeitgeber versichern ab dem ersten Arbeitstag oder ab dem Ersten des Folgemonats. Gesetzlich darf eine Wartezeit für Arbeitgebertarife 90 Tage nicht überschreiten; davor ist eine angemessene Einarbeitungszeit von höchstens einem Monat zulässig. Im ungünstigsten Fall sind Sie also rund vier Monate ohne Arbeitgeberdeckung.</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Startdatum der Deckung schriftlich vom Arbeitgeber geben lassen – für sich, Partner und Kinder.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Lücke zwischen Abflug und Deckungsbeginn mit einer Brückenversicherung (Auslands- oder Expat-Krankenversicherung) schließen; Ausschlüsse für Vorerkrankungen und Schwangerschaft prüfen.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Anmeldefrist für den Arbeitgebertarif notieren (oft 30 Tage ab Arbeitsbeginn). Danach ist ein Wechsel meist nur zur jährlichen Open Enrollment oder nach einem „Qualifying Life Event“ (Geburt, Heirat, Verlust anderer Deckung) möglich.</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Zahn- und Augenversicherung sind oft getrennte Tarife – mitwählen, wenn Kinder Zahnspangen oder Brillen brauchen.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Eigene Ärzte, Kinderarzt und nächste Klinik in der Netzwerksuche des Versicherers prüfen, bevor Sie den Tarif wählen.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Jobverlust: COBRA</w:t>
      </w:r>
    </w:p>
    <w:p>
      <w:pPr>
        <w:spacing w:after="160" w:before="0" w:line="276"/>
      </w:pPr>
      <w:r>
        <w:rPr>
          <w:rFonts w:ascii="Calibri" w:cs="Calibri" w:eastAsia="Calibri" w:hAnsi="Calibri"/>
          <w:color w:val="222222"/>
          <w:sz w:val="22"/>
          <w:szCs w:val="22"/>
        </w:rPr>
        <w:t xml:space="preserve">Verlieren Sie die Stelle, können Sie den bisherigen Arbeitgebertarif über COBRA weiterführen, wenn der Arbeitgeber mindestens 20 Beschäftigte hat. Die Weiterversicherung dauert in der Regel bis zu 18 Monate. Sie haben mindestens 60 Tage Zeit, sich dafür zu entscheiden. Teuer ist sie trotzdem: Sie zahlen die volle Prämie inklusive des bisherigen Arbeitgeberanteils, zuzüglich bis zu 2 % Verwaltungsgebühr. Planen Sie diesen Betrag für zwei bis drei Monate in die Reserve ein.</w:t>
      </w:r>
    </w:p>
    <w:p>
      <w:pPr>
        <w:pStyle w:val="Heading2"/>
        <w:keepNext/>
        <w:spacing w:after="120" w:before="280"/>
      </w:pPr>
      <w:r>
        <w:rPr>
          <w:rFonts w:ascii="Calibri" w:cs="Calibri" w:eastAsia="Calibri" w:hAnsi="Calibri"/>
          <w:b/>
          <w:bCs/>
          <w:color w:val="0F5C6B"/>
          <w:sz w:val="26"/>
          <w:szCs w:val="26"/>
        </w:rPr>
        <w:t xml:space="preserve">Deutschland: Versicherung beim Wegzug</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Gesetzliche Krankenkasse: Wegzug melden. Mit dem Ende der Versicherungspflicht endet in der Regel die Mitgliedschaft; bei Entsendung kann der deutsche Schutz weiterbestehen – Kasse und Arbeitgeber fragen.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Private Krankenversicherung: Anwartschaftsversicherung prüfen. Sie sichert gegen einen Beitrag die Rückkehr in den Tarif ohne neue Gesundheitsprüfung.</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Laufende Behandlungen: Arztbrief auf Englisch, Diagnosen mit ICD-Code, Medikamente mit Wirkstoff und Dosierung.</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bl>
    <w:p>
      <w:pPr>
        <w:spacing w:after="200"/>
      </w:pPr>
    </w:p>
    <w:p>
      <w:pPr>
        <w:pStyle w:val="Heading2"/>
        <w:keepNext/>
        <w:spacing w:after="120" w:before="280"/>
      </w:pPr>
      <w:r>
        <w:rPr>
          <w:rFonts w:ascii="Calibri" w:cs="Calibri" w:eastAsia="Calibri" w:hAnsi="Calibri"/>
          <w:b/>
          <w:bCs/>
          <w:color w:val="0F5C6B"/>
          <w:sz w:val="26"/>
          <w:szCs w:val="26"/>
        </w:rPr>
        <w:t xml:space="preserve">Impfungen</w:t>
      </w:r>
    </w:p>
    <w:p>
      <w:pPr>
        <w:spacing w:after="160" w:before="0" w:line="276"/>
      </w:pPr>
      <w:r>
        <w:rPr>
          <w:rFonts w:ascii="Calibri" w:cs="Calibri" w:eastAsia="Calibri" w:hAnsi="Calibri"/>
          <w:color w:val="222222"/>
          <w:sz w:val="22"/>
          <w:szCs w:val="22"/>
        </w:rPr>
        <w:t xml:space="preserve">Routineschutz aktualisieren (u. a. Masern-Mumps-Röteln). Schulen verlangen Nachweise nach den Vorgaben des jeweiligen Bundesstaats; lassen Sie die Daten aus dem deutschen Impfpass von einem US-Arzt in das Formular des Bundesstaats übertragen; fehlende Impfungen werden nachgeholt. Quelle für Reiseimpfungen: CDC Travelers’ Health.</w:t>
      </w:r>
    </w:p>
    <w:p>
      <w:pPr>
        <w:pStyle w:val="Heading2"/>
        <w:keepNext/>
        <w:spacing w:after="120" w:before="280"/>
      </w:pPr>
      <w:r>
        <w:rPr>
          <w:rFonts w:ascii="Calibri" w:cs="Calibri" w:eastAsia="Calibri" w:hAnsi="Calibri"/>
          <w:b/>
          <w:bCs/>
          <w:color w:val="0F5C6B"/>
          <w:sz w:val="26"/>
          <w:szCs w:val="26"/>
        </w:rPr>
        <w:t xml:space="preserve">Mini-Hausapotheke</w:t>
      </w:r>
    </w:p>
    <w:p>
      <w:pPr>
        <w:spacing w:after="160" w:before="0" w:line="276"/>
      </w:pPr>
      <w:r>
        <w:rPr>
          <w:rFonts w:ascii="Calibri" w:cs="Calibri" w:eastAsia="Calibri" w:hAnsi="Calibri"/>
          <w:color w:val="222222"/>
          <w:sz w:val="22"/>
          <w:szCs w:val="22"/>
        </w:rPr>
        <w:t xml:space="preserve">Sterile Kompressen, Pflaster, Tape, Schere, Pinzette, Fieberthermometer, Schmerzmittel, Antihistaminikum, Desinfektion, Handschuhe. Im Auto zusätzlich Wasser, Taschenlampe, Starthilfekabel; Warndreieck und Warnweste sind in den USA meist nicht vorgeschrieben, aber sinnvoll.</w:t>
      </w:r>
    </w:p>
    <w:p>
      <w:pPr>
        <w:pStyle w:val="Heading2"/>
        <w:keepNext/>
        <w:spacing w:after="120" w:before="280"/>
      </w:pPr>
      <w:r>
        <w:rPr>
          <w:rFonts w:ascii="Calibri" w:cs="Calibri" w:eastAsia="Calibri" w:hAnsi="Calibri"/>
          <w:b/>
          <w:bCs/>
          <w:color w:val="0F5C6B"/>
          <w:sz w:val="26"/>
          <w:szCs w:val="26"/>
        </w:rPr>
        <w:t xml:space="preserve">Kurzleitfaden: Tarifarten</w:t>
      </w:r>
    </w:p>
    <w:p>
      <w:pPr>
        <w:pStyle w:val="ListParagraph"/>
        <w:numPr>
          <w:ilvl w:val="0"/>
          <w:numId w:val="2"/>
        </w:numPr>
        <w:spacing w:after="60"/>
      </w:pPr>
      <w:r>
        <w:rPr>
          <w:rFonts w:ascii="Calibri" w:cs="Calibri" w:eastAsia="Calibri" w:hAnsi="Calibri"/>
          <w:b/>
          <w:bCs/>
          <w:color w:val="222222"/>
          <w:sz w:val="22"/>
          <w:szCs w:val="22"/>
        </w:rPr>
        <w:t xml:space="preserve">PPO:</w:t>
      </w:r>
      <w:r>
        <w:rPr>
          <w:rFonts w:ascii="Calibri" w:cs="Calibri" w:eastAsia="Calibri" w:hAnsi="Calibri"/>
          <w:color w:val="222222"/>
          <w:sz w:val="22"/>
          <w:szCs w:val="22"/>
        </w:rPr>
        <w:t xml:space="preserve"> höhere Prämie, freie Arztwahl, auch Fachärzte ohne Überweisung; außerhalb des Netzwerks teilweise gedeckt.</w:t>
      </w:r>
    </w:p>
    <w:p>
      <w:pPr>
        <w:pStyle w:val="ListParagraph"/>
        <w:numPr>
          <w:ilvl w:val="0"/>
          <w:numId w:val="2"/>
        </w:numPr>
        <w:spacing w:after="60"/>
      </w:pPr>
      <w:r>
        <w:rPr>
          <w:rFonts w:ascii="Calibri" w:cs="Calibri" w:eastAsia="Calibri" w:hAnsi="Calibri"/>
          <w:b/>
          <w:bCs/>
          <w:color w:val="222222"/>
          <w:sz w:val="22"/>
          <w:szCs w:val="22"/>
        </w:rPr>
        <w:t xml:space="preserve">HMO / EPO:</w:t>
      </w:r>
      <w:r>
        <w:rPr>
          <w:rFonts w:ascii="Calibri" w:cs="Calibri" w:eastAsia="Calibri" w:hAnsi="Calibri"/>
          <w:color w:val="222222"/>
          <w:sz w:val="22"/>
          <w:szCs w:val="22"/>
        </w:rPr>
        <w:t xml:space="preserve"> niedrigere Prämie, enges Netzwerk; beim HMO Überweisung durch den Hausarzt nötig. Außerhalb des Netzwerks meist keine Deckung außer im Notfall.</w:t>
      </w:r>
    </w:p>
    <w:p>
      <w:pPr>
        <w:pStyle w:val="ListParagraph"/>
        <w:numPr>
          <w:ilvl w:val="0"/>
          <w:numId w:val="2"/>
        </w:numPr>
        <w:spacing w:after="60"/>
      </w:pPr>
      <w:r>
        <w:rPr>
          <w:rFonts w:ascii="Calibri" w:cs="Calibri" w:eastAsia="Calibri" w:hAnsi="Calibri"/>
          <w:b/>
          <w:bCs/>
          <w:color w:val="222222"/>
          <w:sz w:val="22"/>
          <w:szCs w:val="22"/>
        </w:rPr>
        <w:t xml:space="preserve">HDHP + HSA:</w:t>
      </w:r>
      <w:r>
        <w:rPr>
          <w:rFonts w:ascii="Calibri" w:cs="Calibri" w:eastAsia="Calibri" w:hAnsi="Calibri"/>
          <w:color w:val="222222"/>
          <w:sz w:val="22"/>
          <w:szCs w:val="22"/>
        </w:rPr>
        <w:t xml:space="preserve"> niedrige Prämie, hohe Selbstbeteiligung. Das Gesundheitssparkonto (HSA) nimmt steuerbegünstigte Einzahlungen bis zu einem jährlich von der IRS festgelegten Höchstbetrag; nur sinnvoll mit Polster.</w:t>
      </w:r>
    </w:p>
    <w:p>
      <w:pPr>
        <w:pStyle w:val="ListParagraph"/>
        <w:numPr>
          <w:ilvl w:val="0"/>
          <w:numId w:val="2"/>
        </w:numPr>
        <w:spacing w:after="60"/>
      </w:pPr>
      <w:r>
        <w:rPr>
          <w:rFonts w:ascii="Calibri" w:cs="Calibri" w:eastAsia="Calibri" w:hAnsi="Calibri"/>
          <w:b/>
          <w:bCs/>
          <w:color w:val="222222"/>
          <w:sz w:val="22"/>
          <w:szCs w:val="22"/>
        </w:rPr>
        <w:t xml:space="preserve">Urgent Care</w:t>
      </w:r>
      <w:r>
        <w:rPr>
          <w:rFonts w:ascii="Calibri" w:cs="Calibri" w:eastAsia="Calibri" w:hAnsi="Calibri"/>
          <w:color w:val="222222"/>
          <w:sz w:val="22"/>
          <w:szCs w:val="22"/>
        </w:rPr>
        <w:t xml:space="preserve"> ist für Schnittwunden und Fieber da, die </w:t>
      </w:r>
      <w:r>
        <w:rPr>
          <w:rFonts w:ascii="Calibri" w:cs="Calibri" w:eastAsia="Calibri" w:hAnsi="Calibri"/>
          <w:b/>
          <w:bCs/>
          <w:color w:val="222222"/>
          <w:sz w:val="22"/>
          <w:szCs w:val="22"/>
        </w:rPr>
        <w:t xml:space="preserve">Notaufnahme</w:t>
      </w:r>
      <w:r>
        <w:rPr>
          <w:rFonts w:ascii="Calibri" w:cs="Calibri" w:eastAsia="Calibri" w:hAnsi="Calibri"/>
          <w:color w:val="222222"/>
          <w:sz w:val="22"/>
          <w:szCs w:val="22"/>
        </w:rPr>
        <w:t xml:space="preserve"> für echte Notfälle. Wer mit Halsschmerzen in die ER geht, zahlt Lehrgeld.</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11" w:history="1">
              <w:r>
                <w:rPr>
                  <w:rStyle w:val="Hyperlink"/>
                  <w:rFonts w:ascii="Calibri" w:cs="Calibri" w:eastAsia="Calibri" w:hAnsi="Calibri"/>
                  <w:color w:val="0563C1"/>
                  <w:u w:val="single"/>
                  <w:sz w:val="21"/>
                  <w:szCs w:val="21"/>
                </w:rPr>
                <w:t xml:space="preserve">HealthCare.gov – Glossar</w:t>
              </w:r>
            </w:hyperlink>
            <w:r>
              <w:rPr>
                <w:rFonts w:ascii="Calibri" w:cs="Calibri" w:eastAsia="Calibri" w:hAnsi="Calibri"/>
                <w:color w:val="222222"/>
                <w:sz w:val="21"/>
                <w:szCs w:val="21"/>
              </w:rPr>
              <w:t xml:space="preserve">, </w:t>
            </w:r>
            <w:hyperlink r:id="rIdL46" w:history="1">
              <w:r>
                <w:rPr>
                  <w:rStyle w:val="Hyperlink"/>
                  <w:rFonts w:ascii="Calibri" w:cs="Calibri" w:eastAsia="Calibri" w:hAnsi="Calibri"/>
                  <w:color w:val="0563C1"/>
                  <w:u w:val="single"/>
                  <w:sz w:val="21"/>
                  <w:szCs w:val="21"/>
                </w:rPr>
                <w:t xml:space="preserve">U.S. Department of Labor – 90-Tage-Grenze für Wartezeiten</w:t>
              </w:r>
            </w:hyperlink>
            <w:r>
              <w:rPr>
                <w:rFonts w:ascii="Calibri" w:cs="Calibri" w:eastAsia="Calibri" w:hAnsi="Calibri"/>
                <w:color w:val="222222"/>
                <w:sz w:val="21"/>
                <w:szCs w:val="21"/>
              </w:rPr>
              <w:t xml:space="preserve">, </w:t>
            </w:r>
            <w:hyperlink r:id="rIdL12" w:history="1">
              <w:r>
                <w:rPr>
                  <w:rStyle w:val="Hyperlink"/>
                  <w:rFonts w:ascii="Calibri" w:cs="Calibri" w:eastAsia="Calibri" w:hAnsi="Calibri"/>
                  <w:color w:val="0563C1"/>
                  <w:u w:val="single"/>
                  <w:sz w:val="21"/>
                  <w:szCs w:val="21"/>
                </w:rPr>
                <w:t xml:space="preserve">U.S. Department of Labor – COBRA</w:t>
              </w:r>
            </w:hyperlink>
            <w:r>
              <w:rPr>
                <w:rFonts w:ascii="Calibri" w:cs="Calibri" w:eastAsia="Calibri" w:hAnsi="Calibri"/>
                <w:color w:val="222222"/>
                <w:sz w:val="21"/>
                <w:szCs w:val="21"/>
              </w:rPr>
              <w:t xml:space="preserve">, </w:t>
            </w:r>
            <w:hyperlink r:id="rIdL47" w:history="1">
              <w:r>
                <w:rPr>
                  <w:rStyle w:val="Hyperlink"/>
                  <w:rFonts w:ascii="Calibri" w:cs="Calibri" w:eastAsia="Calibri" w:hAnsi="Calibri"/>
                  <w:color w:val="0563C1"/>
                  <w:u w:val="single"/>
                  <w:sz w:val="21"/>
                  <w:szCs w:val="21"/>
                </w:rPr>
                <w:t xml:space="preserve">CMS – No Surprises Act</w:t>
              </w:r>
            </w:hyperlink>
            <w:r>
              <w:rPr>
                <w:rFonts w:ascii="Calibri" w:cs="Calibri" w:eastAsia="Calibri" w:hAnsi="Calibri"/>
                <w:color w:val="222222"/>
                <w:sz w:val="21"/>
                <w:szCs w:val="21"/>
              </w:rPr>
              <w:t xml:space="preserve">, </w:t>
            </w:r>
            <w:hyperlink r:id="rIdL9" w:history="1">
              <w:r>
                <w:rPr>
                  <w:rStyle w:val="Hyperlink"/>
                  <w:rFonts w:ascii="Calibri" w:cs="Calibri" w:eastAsia="Calibri" w:hAnsi="Calibri"/>
                  <w:color w:val="0563C1"/>
                  <w:u w:val="single"/>
                  <w:sz w:val="21"/>
                  <w:szCs w:val="21"/>
                </w:rPr>
                <w:t xml:space="preserve">CDC – Travelers’ Health</w:t>
              </w:r>
            </w:hyperlink>
            <w:r>
              <w:rPr>
                <w:rFonts w:ascii="Calibri" w:cs="Calibri" w:eastAsia="Calibri" w:hAnsi="Calibri"/>
                <w:color w:val="222222"/>
                <w:sz w:val="21"/>
                <w:szCs w:val="21"/>
              </w:rPr>
              <w:t xml:space="preserve">.</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10" w:name="k10"/>
      <w:r>
        <w:rPr>
          <w:rFonts w:ascii="Calibri" w:cs="Calibri" w:eastAsia="Calibri" w:hAnsi="Calibri"/>
          <w:b/>
          <w:bCs/>
          <w:color w:val="1B365D"/>
          <w:sz w:val="32"/>
          <w:szCs w:val="32"/>
        </w:rPr>
        <w:t xml:space="preserve">10. Steuern – die grobe Landkarte</w:t>
      </w:r>
      <w:bookmarkEnd w:id="10"/>
    </w:p>
    <w:p>
      <w:pPr>
        <w:spacing w:after="160" w:before="0" w:line="276"/>
      </w:pPr>
      <w:r>
        <w:rPr>
          <w:rFonts w:ascii="Calibri" w:cs="Calibri" w:eastAsia="Calibri" w:hAnsi="Calibri"/>
          <w:color w:val="222222"/>
          <w:sz w:val="22"/>
          <w:szCs w:val="22"/>
        </w:rPr>
        <w:t xml:space="preserve">Sie können im Umzugsjahr und danach in beiden Ländern Pflichten haben. Das Doppelbesteuerungsabkommen (DBA) zwischen Deutschland und den USA erspart Ihnen keine Formulare; es legt fest, welcher Staat welche Einkünfte besteuern darf und wie die Steuer des anderen Staates angerechnet wird.</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F8E8E4"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Diese Tabelle ersetzt keine Planung</w:t>
            </w:r>
          </w:p>
          <w:p>
            <w:pPr>
              <w:spacing w:after="0"/>
            </w:pPr>
            <w:r>
              <w:rPr>
                <w:rFonts w:ascii="Calibri" w:cs="Calibri" w:eastAsia="Calibri" w:hAnsi="Calibri"/>
                <w:color w:val="222222"/>
                <w:sz w:val="21"/>
                <w:szCs w:val="21"/>
              </w:rPr>
              <w:t xml:space="preserve">Die Übersicht zeigt, wo Fragen entstehen – nicht, wie Ihr Fall ausgeht. Schon eine GmbH-Beteiligung, ein vermietetes Haus, ein ETF-Depot oder ein Arbeitsvertrag, der im Januar beginnt statt im Juli, kann das Ergebnis vollständig ändern. Lassen Sie Ihre Lage vor dem Wegzug von einem Berater prüfen, der beide Steuersysteme kennt.</w:t>
            </w:r>
          </w:p>
        </w:tc>
      </w:tr>
    </w:tbl>
    <w:p>
      <w:pPr>
        <w:spacing w:after="200"/>
      </w:pPr>
    </w:p>
    <w:p>
      <w:pPr>
        <w:pStyle w:val="Heading2"/>
        <w:keepNext/>
        <w:spacing w:after="120" w:before="280"/>
      </w:pPr>
      <w:r>
        <w:rPr>
          <w:rFonts w:ascii="Calibri" w:cs="Calibri" w:eastAsia="Calibri" w:hAnsi="Calibri"/>
          <w:b/>
          <w:bCs/>
          <w:color w:val="0F5C6B"/>
          <w:sz w:val="26"/>
          <w:szCs w:val="26"/>
        </w:rPr>
        <w:t xml:space="preserve">Wann sind Sie in den USA steuerlich ansässig?</w:t>
      </w:r>
    </w:p>
    <w:p>
      <w:pPr>
        <w:spacing w:after="160" w:before="0" w:line="276"/>
      </w:pPr>
      <w:r>
        <w:rPr>
          <w:rFonts w:ascii="Calibri" w:cs="Calibri" w:eastAsia="Calibri" w:hAnsi="Calibri"/>
          <w:color w:val="222222"/>
          <w:sz w:val="22"/>
          <w:szCs w:val="22"/>
        </w:rPr>
        <w:t xml:space="preserve">Für Nicht-US-Bürger gelten zwei Tests der IRS. Wer einen davon erfüllt, ist „Resident Alien“ und versteuert grundsätzlich sein Welteinkommen in den USA.</w:t>
      </w:r>
    </w:p>
    <w:p>
      <w:pPr>
        <w:pStyle w:val="ListParagraph"/>
        <w:numPr>
          <w:ilvl w:val="0"/>
          <w:numId w:val="2"/>
        </w:numPr>
        <w:spacing w:after="60"/>
      </w:pPr>
      <w:r>
        <w:rPr>
          <w:rFonts w:ascii="Calibri" w:cs="Calibri" w:eastAsia="Calibri" w:hAnsi="Calibri"/>
          <w:b/>
          <w:bCs/>
          <w:color w:val="222222"/>
          <w:sz w:val="22"/>
          <w:szCs w:val="22"/>
        </w:rPr>
        <w:t xml:space="preserve">Green-Card-Test:</w:t>
      </w:r>
      <w:r>
        <w:rPr>
          <w:rFonts w:ascii="Calibri" w:cs="Calibri" w:eastAsia="Calibri" w:hAnsi="Calibri"/>
          <w:color w:val="222222"/>
          <w:sz w:val="22"/>
          <w:szCs w:val="22"/>
        </w:rPr>
        <w:t xml:space="preserve"> Sie sind steuerlich ansässig, sobald Sie zu irgendeinem Zeitpunkt im Kalenderjahr eine Green Card haben.</w:t>
      </w:r>
    </w:p>
    <w:p>
      <w:pPr>
        <w:pStyle w:val="ListParagraph"/>
        <w:numPr>
          <w:ilvl w:val="0"/>
          <w:numId w:val="2"/>
        </w:numPr>
        <w:spacing w:after="60"/>
      </w:pPr>
      <w:r>
        <w:rPr>
          <w:rFonts w:ascii="Calibri" w:cs="Calibri" w:eastAsia="Calibri" w:hAnsi="Calibri"/>
          <w:b/>
          <w:bCs/>
          <w:color w:val="222222"/>
          <w:sz w:val="22"/>
          <w:szCs w:val="22"/>
        </w:rPr>
        <w:t xml:space="preserve">Substantial-Presence-Test:</w:t>
      </w:r>
      <w:r>
        <w:rPr>
          <w:rFonts w:ascii="Calibri" w:cs="Calibri" w:eastAsia="Calibri" w:hAnsi="Calibri"/>
          <w:color w:val="222222"/>
          <w:sz w:val="22"/>
          <w:szCs w:val="22"/>
        </w:rPr>
        <w:t xml:space="preserve"> mindestens 31 Tage im laufenden Jahr und mindestens 183 Tage nach dieser Formel: alle Tage des laufenden Jahres + ein Drittel der Tage des Vorjahres + ein Sechstel der Tage des Vorvorjahres. Für bestimmte Gruppen (u. a. Studierende mit F- oder J-Visum für eine begrenzte Zahl von Jahren) zählen Tage nicht mit.</w:t>
      </w:r>
    </w:p>
    <w:p>
      <w:pPr>
        <w:spacing w:after="160" w:before="0" w:line="276"/>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Eine Ingenieurin reist am 1. Juli 2026 mit L-1 ein und bleibt durchgehend. Ende 2026 hat sie 184 Tage – der Test ist erfüllt, sie ist ab dem Tag der Einreise steuerlich ansässig. 2026 ist für sie ein „Dual-Status-Jahr“: bis zur Einreise nicht ansässig, danach ansässig. Für solche Jahre gelten Sonderregeln und Wahlrechte; hier lohnt sich ein Berater am meisten.</w:t>
      </w:r>
    </w:p>
    <w:p>
      <w:pPr>
        <w:spacing w:after="160" w:before="0" w:line="276"/>
      </w:pPr>
      <w:r>
        <w:rPr>
          <w:rFonts w:ascii="Calibri" w:cs="Calibri" w:eastAsia="Calibri" w:hAnsi="Calibri"/>
          <w:color w:val="222222"/>
          <w:sz w:val="22"/>
          <w:szCs w:val="22"/>
        </w:rPr>
        <w:t xml:space="preserve">Ist jemand nach dem Recht beider Staaten ansässig, entscheidet das DBA (Artikel 4) nach ständiger Wohnstätte, Mittelpunkt der Lebensinteressen, gewöhnlichem Aufenthalt und Staatsangehörigkeit.</w:t>
      </w:r>
    </w:p>
    <w:p>
      <w:pPr>
        <w:pStyle w:val="Heading2"/>
        <w:keepNext/>
        <w:spacing w:after="120" w:before="280"/>
      </w:pPr>
      <w:r>
        <w:rPr>
          <w:rFonts w:ascii="Calibri" w:cs="Calibri" w:eastAsia="Calibri" w:hAnsi="Calibri"/>
          <w:b/>
          <w:bCs/>
          <w:color w:val="0F5C6B"/>
          <w:sz w:val="26"/>
          <w:szCs w:val="26"/>
        </w:rPr>
        <w:t xml:space="preserve">Folgen der US-Ansässigkeit, die Deutsche oft übersehen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Konten außerhalb der USA melden (FBAR, Formular FinCEN 114), wenn ihr Gesamtwert zu irgendeinem Zeitpunkt im Jahr 10.000 USD übersteigt – auch Konten der Kinder und Konten, für die Sie nur Vollmacht haben. Einreichung elektronisch bei FinCEN, getrennt von der Steuererklärung.</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Ausländisches Finanzvermögen über bestimmten Schwellen zusätzlich mit Formular 8938 (FATCA) in der Steuererklärung angeben.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Deutsche und europäische Investmentfonds und ETFs gelten in den USA in der Regel als PFIC (Passive Foreign Investment Company): ungünstige Besteuerung und Meldung je Fonds mit Formular 8621. Vor dem Wegzug mit dem Berater klären, ob Sie Fonds behalten, verkaufen oder umschichten.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Riester, Rürup, betriebliche Altersversorgung, Lebensversicherungen: US-Behandlung vorab prüfen lassen.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bl>
    <w:p>
      <w:pPr>
        <w:spacing w:after="200"/>
      </w:pPr>
    </w:p>
    <w:p>
      <w:pPr>
        <w:pStyle w:val="Heading2"/>
        <w:keepNext/>
        <w:spacing w:after="120" w:before="280"/>
      </w:pPr>
      <w:r>
        <w:rPr>
          <w:rFonts w:ascii="Calibri" w:cs="Calibri" w:eastAsia="Calibri" w:hAnsi="Calibri"/>
          <w:b/>
          <w:bCs/>
          <w:color w:val="0F5C6B"/>
          <w:sz w:val="26"/>
          <w:szCs w:val="26"/>
        </w:rPr>
        <w:t xml:space="preserve">Deutschland nach dem Wegzug</w:t>
      </w:r>
    </w:p>
    <w:p>
      <w:pPr>
        <w:spacing w:after="160" w:before="0" w:line="276"/>
      </w:pPr>
      <w:r>
        <w:rPr>
          <w:rFonts w:ascii="Calibri" w:cs="Calibri" w:eastAsia="Calibri" w:hAnsi="Calibri"/>
          <w:color w:val="222222"/>
          <w:sz w:val="22"/>
          <w:szCs w:val="22"/>
        </w:rPr>
        <w:t xml:space="preserve">Mit der Aufgabe von Wohnsitz und gewöhnlichem Aufenthalt endet die unbeschränkte Steuerpflicht. Für Einkünfte aus Deutschland (z. B. Miete, bestimmte Renten, Gewinne aus deutschen Grundstücken) bleiben Sie beschränkt steuerpflichtig. Im Wegzugsjahr werden die ausländischen Einkünfte nach der Abmeldung zur Berechnung des Steuersatzes herangezogen (Progressionsvorbehalt).</w:t>
      </w:r>
    </w:p>
    <w:p>
      <w:pPr>
        <w:pStyle w:val="Heading3"/>
        <w:keepNext/>
        <w:spacing w:after="80" w:before="200"/>
      </w:pPr>
      <w:r>
        <w:rPr>
          <w:rFonts w:ascii="Calibri" w:cs="Calibri" w:eastAsia="Calibri" w:hAnsi="Calibri"/>
          <w:b/>
          <w:bCs/>
          <w:color w:val="1B365D"/>
          <w:sz w:val="24"/>
          <w:szCs w:val="24"/>
        </w:rPr>
        <w:t xml:space="preserve">Wegzugsbesteuerung (§ 6 Außensteuergesetz)</w:t>
      </w:r>
    </w:p>
    <w:p>
      <w:pPr>
        <w:pStyle w:val="ListParagraph"/>
        <w:numPr>
          <w:ilvl w:val="0"/>
          <w:numId w:val="2"/>
        </w:numPr>
        <w:spacing w:after="60"/>
      </w:pPr>
      <w:r>
        <w:rPr>
          <w:rFonts w:ascii="Calibri" w:cs="Calibri" w:eastAsia="Calibri" w:hAnsi="Calibri"/>
          <w:b/>
          <w:bCs/>
          <w:color w:val="222222"/>
          <w:sz w:val="22"/>
          <w:szCs w:val="22"/>
        </w:rPr>
        <w:t xml:space="preserve">Wen sie trifft:</w:t>
      </w:r>
      <w:r>
        <w:rPr>
          <w:rFonts w:ascii="Calibri" w:cs="Calibri" w:eastAsia="Calibri" w:hAnsi="Calibri"/>
          <w:color w:val="222222"/>
          <w:sz w:val="22"/>
          <w:szCs w:val="22"/>
        </w:rPr>
        <w:t xml:space="preserve"> Personen, die in den letzten zwölf Jahren mindestens sieben Jahre unbeschränkt steuerpflichtig waren und innerhalb der letzten fünf Jahre zu mindestens 1 % an einer Kapitalgesellschaft (GmbH, AG – auch im Ausland) beteiligt waren. Die Höhe des Werts spielt keine Rolle.</w:t>
      </w:r>
    </w:p>
    <w:p>
      <w:pPr>
        <w:pStyle w:val="ListParagraph"/>
        <w:numPr>
          <w:ilvl w:val="0"/>
          <w:numId w:val="2"/>
        </w:numPr>
        <w:spacing w:after="60"/>
      </w:pPr>
      <w:r>
        <w:rPr>
          <w:rFonts w:ascii="Calibri" w:cs="Calibri" w:eastAsia="Calibri" w:hAnsi="Calibri"/>
          <w:b/>
          <w:bCs/>
          <w:color w:val="222222"/>
          <w:sz w:val="22"/>
          <w:szCs w:val="22"/>
        </w:rPr>
        <w:t xml:space="preserve">Was passiert:</w:t>
      </w:r>
      <w:r>
        <w:rPr>
          <w:rFonts w:ascii="Calibri" w:cs="Calibri" w:eastAsia="Calibri" w:hAnsi="Calibri"/>
          <w:color w:val="222222"/>
          <w:sz w:val="22"/>
          <w:szCs w:val="22"/>
        </w:rPr>
        <w:t xml:space="preserve"> Der Wegzug gilt als Verkauf der Anteile zum gemeinen Wert. Besteuert wird der Wertzuwachs, ohne dass Geld fließt.</w:t>
      </w:r>
    </w:p>
    <w:p>
      <w:pPr>
        <w:pStyle w:val="ListParagraph"/>
        <w:numPr>
          <w:ilvl w:val="0"/>
          <w:numId w:val="2"/>
        </w:numPr>
        <w:spacing w:after="60"/>
      </w:pPr>
      <w:r>
        <w:rPr>
          <w:rFonts w:ascii="Calibri" w:cs="Calibri" w:eastAsia="Calibri" w:hAnsi="Calibri"/>
          <w:b/>
          <w:bCs/>
          <w:color w:val="222222"/>
          <w:sz w:val="22"/>
          <w:szCs w:val="22"/>
        </w:rPr>
        <w:t xml:space="preserve">Zahlung:</w:t>
      </w:r>
      <w:r>
        <w:rPr>
          <w:rFonts w:ascii="Calibri" w:cs="Calibri" w:eastAsia="Calibri" w:hAnsi="Calibri"/>
          <w:color w:val="222222"/>
          <w:sz w:val="22"/>
          <w:szCs w:val="22"/>
        </w:rPr>
        <w:t xml:space="preserve"> Auf Antrag in sieben gleichen, zinslosen Jahresraten, in der Regel nur gegen Sicherheitsleistung.</w:t>
      </w:r>
    </w:p>
    <w:p>
      <w:pPr>
        <w:pStyle w:val="ListParagraph"/>
        <w:numPr>
          <w:ilvl w:val="0"/>
          <w:numId w:val="2"/>
        </w:numPr>
        <w:spacing w:after="60"/>
      </w:pPr>
      <w:r>
        <w:rPr>
          <w:rFonts w:ascii="Calibri" w:cs="Calibri" w:eastAsia="Calibri" w:hAnsi="Calibri"/>
          <w:b/>
          <w:bCs/>
          <w:color w:val="222222"/>
          <w:sz w:val="22"/>
          <w:szCs w:val="22"/>
        </w:rPr>
        <w:t xml:space="preserve">Rückkehr:</w:t>
      </w:r>
      <w:r>
        <w:rPr>
          <w:rFonts w:ascii="Calibri" w:cs="Calibri" w:eastAsia="Calibri" w:hAnsi="Calibri"/>
          <w:color w:val="222222"/>
          <w:sz w:val="22"/>
          <w:szCs w:val="22"/>
        </w:rPr>
        <w:t xml:space="preserve"> Kehren Sie innerhalb von sieben Jahren zurück (auf Antrag bis zu zwölf Jahre), entfällt die Steuer, wenn die Anteile nicht verkauft wurden und die weiteren Bedingungen erfüllt sind.</w:t>
      </w:r>
    </w:p>
    <w:p>
      <w:pPr>
        <w:pStyle w:val="ListParagraph"/>
        <w:numPr>
          <w:ilvl w:val="0"/>
          <w:numId w:val="2"/>
        </w:numPr>
        <w:spacing w:after="60"/>
      </w:pPr>
      <w:r>
        <w:rPr>
          <w:rFonts w:ascii="Calibri" w:cs="Calibri" w:eastAsia="Calibri" w:hAnsi="Calibri"/>
          <w:b/>
          <w:bCs/>
          <w:color w:val="222222"/>
          <w:sz w:val="22"/>
          <w:szCs w:val="22"/>
        </w:rPr>
        <w:t xml:space="preserve">Investmentfonds:</w:t>
      </w:r>
      <w:r>
        <w:rPr>
          <w:rFonts w:ascii="Calibri" w:cs="Calibri" w:eastAsia="Calibri" w:hAnsi="Calibri"/>
          <w:color w:val="222222"/>
          <w:sz w:val="22"/>
          <w:szCs w:val="22"/>
        </w:rPr>
        <w:t xml:space="preserve"> Eine vergleichbare Regel gilt für Fondsanteile im Privatvermögen, wenn Sie mindestens 1 % eines Fonds halten oder Anschaffungskosten von mindestens 500.000 Euro haben (§ 19 Abs. 3 Investmentsteuergesetz).</w:t>
      </w:r>
    </w:p>
    <w:p>
      <w:pPr>
        <w:pStyle w:val="ListParagraph"/>
        <w:numPr>
          <w:ilvl w:val="0"/>
          <w:numId w:val="2"/>
        </w:numPr>
        <w:spacing w:after="60"/>
      </w:pPr>
      <w:r>
        <w:rPr>
          <w:rFonts w:ascii="Calibri" w:cs="Calibri" w:eastAsia="Calibri" w:hAnsi="Calibri"/>
          <w:b/>
          <w:bCs/>
          <w:color w:val="222222"/>
          <w:sz w:val="22"/>
          <w:szCs w:val="22"/>
        </w:rPr>
        <w:t xml:space="preserve">Wohnung behalten heißt nicht sicher:</w:t>
      </w:r>
      <w:r>
        <w:rPr>
          <w:rFonts w:ascii="Calibri" w:cs="Calibri" w:eastAsia="Calibri" w:hAnsi="Calibri"/>
          <w:color w:val="222222"/>
          <w:sz w:val="22"/>
          <w:szCs w:val="22"/>
        </w:rPr>
        <w:t xml:space="preserve"> Wer in Deutschland eine Wohnung behält, bleibt unbeschränkt steuerpflichtig; trotzdem kann das DBA das deutsche Besteuerungsrecht an den Anteilen einschränken und die Wegzugsbesteuerung auslösen.</w:t>
      </w:r>
    </w:p>
    <w:p>
      <w:pPr>
        <w:spacing w:after="160" w:before="0" w:line="276"/>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Ein Softwareentwickler hält 5 % an einem Start-up, für die er vor Jahren 5.000 Euro gezahlt hat. Bei der letzten Finanzierungsrunde wurden die Anteile mit 400.000 Euro bewertet. Zieht er weg, versteuert er rund 395.000 Euro fiktiven Gewinn nach dem Teileinkünfteverfahren – ohne einen Cent erhalten zu haben. Das muss vor der Abmeldung durchgerechnet sein.</w:t>
      </w:r>
    </w:p>
    <w:p>
      <w:pPr>
        <w:pStyle w:val="Heading2"/>
        <w:keepNext/>
        <w:spacing w:after="120" w:before="280"/>
      </w:pPr>
      <w:r>
        <w:rPr>
          <w:rFonts w:ascii="Calibri" w:cs="Calibri" w:eastAsia="Calibri" w:hAnsi="Calibri"/>
          <w:b/>
          <w:bCs/>
          <w:color w:val="0F5C6B"/>
          <w:sz w:val="26"/>
          <w:szCs w:val="26"/>
        </w:rPr>
        <w:t xml:space="preserve">Was das DBA regelt – Beispiele</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3506"/>
      </w:tblGrid>
      <w:tr>
        <w:trPr>
          <w:tblHeader/>
          <w:cantSplit/>
        </w:trPr>
        <w:tc>
          <w:tcPr>
            <w:tcW w:type="dxa" w:w="30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Einkunft</w:t>
            </w:r>
          </w:p>
        </w:tc>
        <w:tc>
          <w:tcPr>
            <w:tcW w:type="dxa" w:w="42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Typische Regel nach DBA</w:t>
            </w:r>
          </w:p>
        </w:tc>
        <w:tc>
          <w:tcPr>
            <w:tcW w:type="dxa" w:w="35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Was Sie tun</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Lohn für Arbeit in den USA</w:t>
            </w:r>
          </w:p>
        </w:tc>
        <w:tc>
          <w:tcPr>
            <w:tcW w:type="dxa" w:w="4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Besteuerung in den USA; bei kurzen Einsätzen unter Bedingungen (u. a. 183-Tage-Regel) weiter in Deutschland</w:t>
            </w:r>
          </w:p>
        </w:tc>
        <w:tc>
          <w:tcPr>
            <w:tcW w:type="dxa" w:w="35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Lohnsteuerabzug in den USA über W-4; deutsche Steuererklärung für das Wegzugsjahr</w:t>
            </w:r>
          </w:p>
        </w:tc>
      </w:tr>
      <w:tr>
        <w:trPr>
          <w:cantSplit/>
        </w:trPr>
        <w:tc>
          <w:tcPr>
            <w:tcW w:type="dxa" w:w="3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Mieteinnahmen aus deutscher Immobilie</w:t>
            </w:r>
          </w:p>
        </w:tc>
        <w:tc>
          <w:tcPr>
            <w:tcW w:type="dxa" w:w="4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Deutschland darf besteuern (Artikel 6). Die USA besteuern als Wohnsitzstaat ebenfalls und rechnen die deutsche Steuer an.</w:t>
            </w:r>
          </w:p>
        </w:tc>
        <w:tc>
          <w:tcPr>
            <w:tcW w:type="dxa" w:w="35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Jährliche deutsche Steuererklärung (beschränkte Steuerpflicht) plus Angabe in der US-Erklärung</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Dividenden deutscher Aktien</w:t>
            </w:r>
          </w:p>
        </w:tc>
        <w:tc>
          <w:tcPr>
            <w:tcW w:type="dxa" w:w="4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Deutschland behält 26,375 % Kapitalertragsteuer ein; das DBA begrenzt die deutsche Steuer bei Streubesitz auf 15 %</w:t>
            </w:r>
          </w:p>
        </w:tc>
        <w:tc>
          <w:tcPr>
            <w:tcW w:type="dxa" w:w="35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Erstattung der Differenz beim Bundeszentralamt für Steuern; Ansässigkeitsnachweis der IRS (Formular 6166)</w:t>
            </w:r>
          </w:p>
        </w:tc>
      </w:tr>
      <w:tr>
        <w:trPr>
          <w:cantSplit/>
        </w:trPr>
        <w:tc>
          <w:tcPr>
            <w:tcW w:type="dxa" w:w="30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Gesetzliche Rente aus Deutschland</w:t>
            </w:r>
          </w:p>
        </w:tc>
        <w:tc>
          <w:tcPr>
            <w:tcW w:type="dxa" w:w="4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Seit 2008 besteuert nur der Wohnsitzstaat (Artikel 18 Abs. 5); bei US-Wohnsitz also die USA, die sie wie Social Security behandeln</w:t>
            </w:r>
          </w:p>
        </w:tc>
        <w:tc>
          <w:tcPr>
            <w:tcW w:type="dxa" w:w="35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Rentenbescheid aufbewahren; in der US-Erklärung angeben</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Verkauf einer deutschen Immobilie</w:t>
            </w:r>
          </w:p>
        </w:tc>
        <w:tc>
          <w:tcPr>
            <w:tcW w:type="dxa" w:w="4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Deutschland darf besteuern (u. a. innerhalb der zehnjährigen Spekulationsfrist); die USA besteuern den Gewinn ebenfalls und rechnen an</w:t>
            </w:r>
          </w:p>
        </w:tc>
        <w:tc>
          <w:tcPr>
            <w:tcW w:type="dxa" w:w="35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Vor dem Verkauf beide Seiten durchrechnen lassen</w:t>
            </w:r>
          </w:p>
        </w:tc>
      </w:tr>
    </w:tbl>
    <w:p>
      <w:pPr>
        <w:spacing w:after="200"/>
      </w:pPr>
    </w:p>
    <w:p>
      <w:pPr>
        <w:pStyle w:val="Heading2"/>
        <w:keepNext/>
        <w:spacing w:after="120" w:before="280"/>
      </w:pPr>
      <w:r>
        <w:rPr>
          <w:rFonts w:ascii="Calibri" w:cs="Calibri" w:eastAsia="Calibri" w:hAnsi="Calibri"/>
          <w:b/>
          <w:bCs/>
          <w:color w:val="0F5C6B"/>
          <w:sz w:val="26"/>
          <w:szCs w:val="26"/>
        </w:rPr>
        <w:t xml:space="preserve">Sozialversicherung: das Abkommen USA–Deutschland</w:t>
      </w:r>
    </w:p>
    <w:p>
      <w:pPr>
        <w:pStyle w:val="ListParagraph"/>
        <w:numPr>
          <w:ilvl w:val="0"/>
          <w:numId w:val="2"/>
        </w:numPr>
        <w:spacing w:after="60"/>
      </w:pPr>
      <w:r>
        <w:rPr>
          <w:rFonts w:ascii="Calibri" w:cs="Calibri" w:eastAsia="Calibri" w:hAnsi="Calibri"/>
          <w:b/>
          <w:bCs/>
          <w:color w:val="222222"/>
          <w:sz w:val="22"/>
          <w:szCs w:val="22"/>
        </w:rPr>
        <w:t xml:space="preserve">Entsendung:</w:t>
      </w:r>
      <w:r>
        <w:rPr>
          <w:rFonts w:ascii="Calibri" w:cs="Calibri" w:eastAsia="Calibri" w:hAnsi="Calibri"/>
          <w:color w:val="222222"/>
          <w:sz w:val="22"/>
          <w:szCs w:val="22"/>
        </w:rPr>
        <w:t xml:space="preserve"> Schickt Sie ein deutscher Arbeitgeber befristet für höchstens fünf Jahre in die USA, bleiben Sie mit der Entsendebescheinigung D/USA 101 in der deutschen Rentenversicherung und zahlen keine US-Beiträge zu Social Security.</w:t>
      </w:r>
    </w:p>
    <w:p>
      <w:pPr>
        <w:pStyle w:val="ListParagraph"/>
        <w:numPr>
          <w:ilvl w:val="0"/>
          <w:numId w:val="2"/>
        </w:numPr>
        <w:spacing w:after="60"/>
      </w:pPr>
      <w:r>
        <w:rPr>
          <w:rFonts w:ascii="Calibri" w:cs="Calibri" w:eastAsia="Calibri" w:hAnsi="Calibri"/>
          <w:b/>
          <w:bCs/>
          <w:color w:val="222222"/>
          <w:sz w:val="22"/>
          <w:szCs w:val="22"/>
        </w:rPr>
        <w:t xml:space="preserve">Lokaler US-Vertrag:</w:t>
      </w:r>
      <w:r>
        <w:rPr>
          <w:rFonts w:ascii="Calibri" w:cs="Calibri" w:eastAsia="Calibri" w:hAnsi="Calibri"/>
          <w:color w:val="222222"/>
          <w:sz w:val="22"/>
          <w:szCs w:val="22"/>
        </w:rPr>
        <w:t xml:space="preserve"> Sie zahlen US-Sozialabgaben (Social Security und Medicare, „FICA“) vom ersten Gehalt an.</w:t>
      </w:r>
    </w:p>
    <w:p>
      <w:pPr>
        <w:pStyle w:val="ListParagraph"/>
        <w:numPr>
          <w:ilvl w:val="0"/>
          <w:numId w:val="2"/>
        </w:numPr>
        <w:spacing w:after="60"/>
      </w:pPr>
      <w:r>
        <w:rPr>
          <w:rFonts w:ascii="Calibri" w:cs="Calibri" w:eastAsia="Calibri" w:hAnsi="Calibri"/>
          <w:b/>
          <w:bCs/>
          <w:color w:val="222222"/>
          <w:sz w:val="22"/>
          <w:szCs w:val="22"/>
        </w:rPr>
        <w:t xml:space="preserve">Rente:</w:t>
      </w:r>
      <w:r>
        <w:rPr>
          <w:rFonts w:ascii="Calibri" w:cs="Calibri" w:eastAsia="Calibri" w:hAnsi="Calibri"/>
          <w:color w:val="222222"/>
          <w:sz w:val="22"/>
          <w:szCs w:val="22"/>
        </w:rPr>
        <w:t xml:space="preserve"> Versicherungszeiten in beiden Ländern können zusammengerechnet werden, um die Mindestversicherungszeiten zu erfüllen; jedes Land zahlt seine eigene Rente für seine Zeiten.</w:t>
      </w:r>
    </w:p>
    <w:p>
      <w:pPr>
        <w:pStyle w:val="ListParagraph"/>
        <w:numPr>
          <w:ilvl w:val="0"/>
          <w:numId w:val="2"/>
        </w:numPr>
        <w:spacing w:after="60"/>
      </w:pPr>
      <w:r>
        <w:rPr>
          <w:rFonts w:ascii="Calibri" w:cs="Calibri" w:eastAsia="Calibri" w:hAnsi="Calibri"/>
          <w:b/>
          <w:bCs/>
          <w:color w:val="222222"/>
          <w:sz w:val="22"/>
          <w:szCs w:val="22"/>
        </w:rPr>
        <w:t xml:space="preserve">Vor dem Wegzug:</w:t>
      </w:r>
      <w:r>
        <w:rPr>
          <w:rFonts w:ascii="Calibri" w:cs="Calibri" w:eastAsia="Calibri" w:hAnsi="Calibri"/>
          <w:color w:val="222222"/>
          <w:sz w:val="22"/>
          <w:szCs w:val="22"/>
        </w:rPr>
        <w:t xml:space="preserve"> Kontenklärung bei der Deutschen Rentenversicherung beantragen, damit Lücken geschlossen werden, solange Unterlagen greifbar sind.</w:t>
      </w:r>
    </w:p>
    <w:p>
      <w:pPr>
        <w:pStyle w:val="Heading2"/>
        <w:keepNext/>
        <w:spacing w:after="120" w:before="280"/>
      </w:pPr>
      <w:r>
        <w:rPr>
          <w:rFonts w:ascii="Calibri" w:cs="Calibri" w:eastAsia="Calibri" w:hAnsi="Calibri"/>
          <w:b/>
          <w:bCs/>
          <w:color w:val="0F5C6B"/>
          <w:sz w:val="26"/>
          <w:szCs w:val="26"/>
        </w:rPr>
        <w:t xml:space="preserve">Übersicht</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700"/>
        <w:gridCol w:w="4300"/>
        <w:gridCol w:w="3706"/>
      </w:tblGrid>
      <w:tr>
        <w:trPr>
          <w:tblHeader/>
          <w:cantSplit/>
        </w:trPr>
        <w:tc>
          <w:tcPr>
            <w:tcW w:type="dxa" w:w="27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Thema</w:t>
            </w:r>
          </w:p>
        </w:tc>
        <w:tc>
          <w:tcPr>
            <w:tcW w:type="dxa" w:w="4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Typische Regel</w:t>
            </w:r>
          </w:p>
        </w:tc>
        <w:tc>
          <w:tcPr>
            <w:tcW w:type="dxa" w:w="37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Wohin</w:t>
            </w:r>
          </w:p>
        </w:tc>
      </w:tr>
      <w:tr>
        <w:trPr>
          <w:cantSplit/>
        </w:trPr>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US-Bundessteuer</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Welteinkommen ab Ansässigkeit; Dual-Status im Ankunftsjahr möglich</w:t>
            </w:r>
          </w:p>
        </w:tc>
        <w:tc>
          <w:tcPr>
            <w:tcW w:type="dxa" w:w="37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irs.gov</w:t>
            </w:r>
          </w:p>
        </w:tc>
      </w:tr>
      <w:tr>
        <w:trPr>
          <w:cantSplit/>
        </w:trPr>
        <w:tc>
          <w:tcPr>
            <w:tcW w:type="dxa" w:w="2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State Tax</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Je nach Wohnstaat, neun Staaten ohne Steuer auf Löhne (Kapitel 5)</w:t>
            </w:r>
          </w:p>
        </w:tc>
        <w:tc>
          <w:tcPr>
            <w:tcW w:type="dxa" w:w="37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Department of Revenue des Staates</w:t>
            </w:r>
          </w:p>
        </w:tc>
      </w:tr>
      <w:tr>
        <w:trPr>
          <w:cantSplit/>
        </w:trPr>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FICA / Medicare</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Auf US-Gehalt, außer bei Entsendung mit D/USA 101</w:t>
            </w:r>
          </w:p>
        </w:tc>
        <w:tc>
          <w:tcPr>
            <w:tcW w:type="dxa" w:w="37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SSA, DVKA, Arbeitgeber</w:t>
            </w:r>
          </w:p>
        </w:tc>
      </w:tr>
      <w:tr>
        <w:trPr>
          <w:cantSplit/>
        </w:trPr>
        <w:tc>
          <w:tcPr>
            <w:tcW w:type="dxa" w:w="2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Deutschland nach Wegzug</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Beschränkte Steuerpflicht für deutsche Einkünfte; Wegzugsbesteuerung prüfen</w:t>
            </w:r>
          </w:p>
        </w:tc>
        <w:tc>
          <w:tcPr>
            <w:tcW w:type="dxa" w:w="37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Finanzamt, Steuerberater</w:t>
            </w:r>
          </w:p>
        </w:tc>
      </w:tr>
      <w:tr>
        <w:trPr>
          <w:cantSplit/>
        </w:trPr>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Mieteinnahmen Deutschland</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In Deutschland steuerbar, in den USA mit Anrechnung</w:t>
            </w:r>
          </w:p>
        </w:tc>
        <w:tc>
          <w:tcPr>
            <w:tcW w:type="dxa" w:w="37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DBA Artikel 6</w:t>
            </w:r>
          </w:p>
        </w:tc>
      </w:tr>
      <w:tr>
        <w:trPr>
          <w:cantSplit/>
        </w:trPr>
        <w:tc>
          <w:tcPr>
            <w:tcW w:type="dxa" w:w="27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Deutsche Kapitalerträge</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Quellensteuer, Erstattung bis auf DBA-Satz</w:t>
            </w:r>
          </w:p>
        </w:tc>
        <w:tc>
          <w:tcPr>
            <w:tcW w:type="dxa" w:w="37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Bundeszentralamt für Steuern</w:t>
            </w:r>
          </w:p>
        </w:tc>
      </w:tr>
      <w:tr>
        <w:trPr>
          <w:cantSplit/>
        </w:trPr>
        <w:tc>
          <w:tcPr>
            <w:tcW w:type="dxa" w:w="27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Vertragstext DBA</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Abkommen 1989 mit Protokoll 2006</w:t>
            </w:r>
          </w:p>
        </w:tc>
        <w:tc>
          <w:tcPr>
            <w:tcW w:type="dxa" w:w="37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IRS „Germany Tax Treaty Documents“</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6F2EA"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Nicht selbst zusammenraten</w:t>
            </w:r>
          </w:p>
          <w:p>
            <w:pPr>
              <w:spacing w:after="0"/>
            </w:pPr>
            <w:r>
              <w:rPr>
                <w:rFonts w:ascii="Calibri" w:cs="Calibri" w:eastAsia="Calibri" w:hAnsi="Calibri"/>
                <w:color w:val="222222"/>
                <w:sz w:val="21"/>
                <w:szCs w:val="21"/>
              </w:rPr>
              <w:t xml:space="preserve">Ein Berater, der beide Systeme kennt, spart im ersten Jahr meist mehr, als er kostet. US-Bürger und Green-Card-Inhaber bleiben weltweit in den USA steuerpflichtig, auch wenn sie später wieder in Deutschland leben – die Green Card endet steuerlich erst mit förmlicher Aufgabe.</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48" w:history="1">
              <w:r>
                <w:rPr>
                  <w:rStyle w:val="Hyperlink"/>
                  <w:rFonts w:ascii="Calibri" w:cs="Calibri" w:eastAsia="Calibri" w:hAnsi="Calibri"/>
                  <w:color w:val="0563C1"/>
                  <w:u w:val="single"/>
                  <w:sz w:val="21"/>
                  <w:szCs w:val="21"/>
                </w:rPr>
                <w:t xml:space="preserve">IRS – Substantial Presence Test</w:t>
              </w:r>
            </w:hyperlink>
            <w:r>
              <w:rPr>
                <w:rFonts w:ascii="Calibri" w:cs="Calibri" w:eastAsia="Calibri" w:hAnsi="Calibri"/>
                <w:color w:val="222222"/>
                <w:sz w:val="21"/>
                <w:szCs w:val="21"/>
              </w:rPr>
              <w:t xml:space="preserve">, </w:t>
            </w:r>
            <w:hyperlink r:id="rIdL49" w:history="1">
              <w:r>
                <w:rPr>
                  <w:rStyle w:val="Hyperlink"/>
                  <w:rFonts w:ascii="Calibri" w:cs="Calibri" w:eastAsia="Calibri" w:hAnsi="Calibri"/>
                  <w:color w:val="0563C1"/>
                  <w:u w:val="single"/>
                  <w:sz w:val="21"/>
                  <w:szCs w:val="21"/>
                </w:rPr>
                <w:t xml:space="preserve">IRS – Green Card Test</w:t>
              </w:r>
            </w:hyperlink>
            <w:r>
              <w:rPr>
                <w:rFonts w:ascii="Calibri" w:cs="Calibri" w:eastAsia="Calibri" w:hAnsi="Calibri"/>
                <w:color w:val="222222"/>
                <w:sz w:val="21"/>
                <w:szCs w:val="21"/>
              </w:rPr>
              <w:t xml:space="preserve">, </w:t>
            </w:r>
            <w:hyperlink r:id="rIdL50" w:history="1">
              <w:r>
                <w:rPr>
                  <w:rStyle w:val="Hyperlink"/>
                  <w:rFonts w:ascii="Calibri" w:cs="Calibri" w:eastAsia="Calibri" w:hAnsi="Calibri"/>
                  <w:color w:val="0563C1"/>
                  <w:u w:val="single"/>
                  <w:sz w:val="21"/>
                  <w:szCs w:val="21"/>
                </w:rPr>
                <w:t xml:space="preserve">IRS – FBAR</w:t>
              </w:r>
            </w:hyperlink>
            <w:r>
              <w:rPr>
                <w:rFonts w:ascii="Calibri" w:cs="Calibri" w:eastAsia="Calibri" w:hAnsi="Calibri"/>
                <w:color w:val="222222"/>
                <w:sz w:val="21"/>
                <w:szCs w:val="21"/>
              </w:rPr>
              <w:t xml:space="preserve">, </w:t>
            </w:r>
            <w:hyperlink r:id="rIdL51" w:history="1">
              <w:r>
                <w:rPr>
                  <w:rStyle w:val="Hyperlink"/>
                  <w:rFonts w:ascii="Calibri" w:cs="Calibri" w:eastAsia="Calibri" w:hAnsi="Calibri"/>
                  <w:color w:val="0563C1"/>
                  <w:u w:val="single"/>
                  <w:sz w:val="21"/>
                  <w:szCs w:val="21"/>
                </w:rPr>
                <w:t xml:space="preserve">IRS – Form 8621 (PFIC)</w:t>
              </w:r>
            </w:hyperlink>
            <w:r>
              <w:rPr>
                <w:rFonts w:ascii="Calibri" w:cs="Calibri" w:eastAsia="Calibri" w:hAnsi="Calibri"/>
                <w:color w:val="222222"/>
                <w:sz w:val="21"/>
                <w:szCs w:val="21"/>
              </w:rPr>
              <w:t xml:space="preserve">, </w:t>
            </w:r>
            <w:hyperlink r:id="rIdL14" w:history="1">
              <w:r>
                <w:rPr>
                  <w:rStyle w:val="Hyperlink"/>
                  <w:rFonts w:ascii="Calibri" w:cs="Calibri" w:eastAsia="Calibri" w:hAnsi="Calibri"/>
                  <w:color w:val="0563C1"/>
                  <w:u w:val="single"/>
                  <w:sz w:val="21"/>
                  <w:szCs w:val="21"/>
                </w:rPr>
                <w:t xml:space="preserve">IRS – DBA Deutschland</w:t>
              </w:r>
            </w:hyperlink>
            <w:r>
              <w:rPr>
                <w:rFonts w:ascii="Calibri" w:cs="Calibri" w:eastAsia="Calibri" w:hAnsi="Calibri"/>
                <w:color w:val="222222"/>
                <w:sz w:val="21"/>
                <w:szCs w:val="21"/>
              </w:rPr>
              <w:t xml:space="preserve">, </w:t>
            </w:r>
            <w:hyperlink r:id="rIdL52" w:history="1">
              <w:r>
                <w:rPr>
                  <w:rStyle w:val="Hyperlink"/>
                  <w:rFonts w:ascii="Calibri" w:cs="Calibri" w:eastAsia="Calibri" w:hAnsi="Calibri"/>
                  <w:color w:val="0563C1"/>
                  <w:u w:val="single"/>
                  <w:sz w:val="21"/>
                  <w:szCs w:val="21"/>
                </w:rPr>
                <w:t xml:space="preserve">§ 6 AStG</w:t>
              </w:r>
            </w:hyperlink>
            <w:r>
              <w:rPr>
                <w:rFonts w:ascii="Calibri" w:cs="Calibri" w:eastAsia="Calibri" w:hAnsi="Calibri"/>
                <w:color w:val="222222"/>
                <w:sz w:val="21"/>
                <w:szCs w:val="21"/>
              </w:rPr>
              <w:t xml:space="preserve">, </w:t>
            </w:r>
            <w:hyperlink r:id="rIdL53" w:history="1">
              <w:r>
                <w:rPr>
                  <w:rStyle w:val="Hyperlink"/>
                  <w:rFonts w:ascii="Calibri" w:cs="Calibri" w:eastAsia="Calibri" w:hAnsi="Calibri"/>
                  <w:color w:val="0563C1"/>
                  <w:u w:val="single"/>
                  <w:sz w:val="21"/>
                  <w:szCs w:val="21"/>
                </w:rPr>
                <w:t xml:space="preserve">§ 19 InvStG</w:t>
              </w:r>
            </w:hyperlink>
            <w:r>
              <w:rPr>
                <w:rFonts w:ascii="Calibri" w:cs="Calibri" w:eastAsia="Calibri" w:hAnsi="Calibri"/>
                <w:color w:val="222222"/>
                <w:sz w:val="21"/>
                <w:szCs w:val="21"/>
              </w:rPr>
              <w:t xml:space="preserve">, </w:t>
            </w:r>
            <w:hyperlink r:id="rIdL54" w:history="1">
              <w:r>
                <w:rPr>
                  <w:rStyle w:val="Hyperlink"/>
                  <w:rFonts w:ascii="Calibri" w:cs="Calibri" w:eastAsia="Calibri" w:hAnsi="Calibri"/>
                  <w:color w:val="0563C1"/>
                  <w:u w:val="single"/>
                  <w:sz w:val="21"/>
                  <w:szCs w:val="21"/>
                </w:rPr>
                <w:t xml:space="preserve">Auswärtiges Amt – Besteuerung deutscher Renten in den USA</w:t>
              </w:r>
            </w:hyperlink>
            <w:r>
              <w:rPr>
                <w:rFonts w:ascii="Calibri" w:cs="Calibri" w:eastAsia="Calibri" w:hAnsi="Calibri"/>
                <w:color w:val="222222"/>
                <w:sz w:val="21"/>
                <w:szCs w:val="21"/>
              </w:rPr>
              <w:t xml:space="preserve">, </w:t>
            </w:r>
            <w:hyperlink r:id="rIdL15" w:history="1">
              <w:r>
                <w:rPr>
                  <w:rStyle w:val="Hyperlink"/>
                  <w:rFonts w:ascii="Calibri" w:cs="Calibri" w:eastAsia="Calibri" w:hAnsi="Calibri"/>
                  <w:color w:val="0563C1"/>
                  <w:u w:val="single"/>
                  <w:sz w:val="21"/>
                  <w:szCs w:val="21"/>
                </w:rPr>
                <w:t xml:space="preserve">Bundeszentralamt für Steuern</w:t>
              </w:r>
            </w:hyperlink>
            <w:r>
              <w:rPr>
                <w:rFonts w:ascii="Calibri" w:cs="Calibri" w:eastAsia="Calibri" w:hAnsi="Calibri"/>
                <w:color w:val="222222"/>
                <w:sz w:val="21"/>
                <w:szCs w:val="21"/>
              </w:rPr>
              <w:t xml:space="preserve">, </w:t>
            </w:r>
            <w:hyperlink r:id="rIdL18" w:history="1">
              <w:r>
                <w:rPr>
                  <w:rStyle w:val="Hyperlink"/>
                  <w:rFonts w:ascii="Calibri" w:cs="Calibri" w:eastAsia="Calibri" w:hAnsi="Calibri"/>
                  <w:color w:val="0563C1"/>
                  <w:u w:val="single"/>
                  <w:sz w:val="21"/>
                  <w:szCs w:val="21"/>
                </w:rPr>
                <w:t xml:space="preserve">DRV – Arbeiten in Deutschland und den USA</w:t>
              </w:r>
            </w:hyperlink>
            <w:r>
              <w:rPr>
                <w:rFonts w:ascii="Calibri" w:cs="Calibri" w:eastAsia="Calibri" w:hAnsi="Calibri"/>
                <w:color w:val="222222"/>
                <w:sz w:val="21"/>
                <w:szCs w:val="21"/>
              </w:rPr>
              <w:t xml:space="preserve">.</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11" w:name="k11"/>
      <w:r>
        <w:rPr>
          <w:rFonts w:ascii="Calibri" w:cs="Calibri" w:eastAsia="Calibri" w:hAnsi="Calibri"/>
          <w:b/>
          <w:bCs/>
          <w:color w:val="1B365D"/>
          <w:sz w:val="32"/>
          <w:szCs w:val="32"/>
        </w:rPr>
        <w:t xml:space="preserve">11. Kreditaufbau und Mietrisiken</w:t>
      </w:r>
      <w:bookmarkEnd w:id="11"/>
    </w:p>
    <w:p>
      <w:pPr>
        <w:spacing w:after="160" w:before="0" w:line="276"/>
      </w:pPr>
      <w:r>
        <w:rPr>
          <w:rFonts w:ascii="Calibri" w:cs="Calibri" w:eastAsia="Calibri" w:hAnsi="Calibri"/>
          <w:color w:val="222222"/>
          <w:sz w:val="22"/>
          <w:szCs w:val="22"/>
        </w:rPr>
        <w:t xml:space="preserve">In den USA beginnen Sie finanziell bei null. Ihre deutsche SCHUFA zählt dort nicht. Vermieter, Versorger, Autohändler und manchmal Arbeitgeber schauen auf Ihre Kreditgeschichte bei den drei Auskunfteien Equifax, Experian und TransUnion. Ohne Geschichte gibt es keinen Score – und ohne Score zahlen Sie Kautionen, höhere Zinsen oder bekommen den Vertrag nicht.</w:t>
      </w:r>
    </w:p>
    <w:p>
      <w:pPr>
        <w:pStyle w:val="Heading2"/>
        <w:keepNext/>
        <w:spacing w:after="120" w:before="280"/>
      </w:pPr>
      <w:r>
        <w:rPr>
          <w:rFonts w:ascii="Calibri" w:cs="Calibri" w:eastAsia="Calibri" w:hAnsi="Calibri"/>
          <w:b/>
          <w:bCs/>
          <w:color w:val="0F5C6B"/>
          <w:sz w:val="26"/>
          <w:szCs w:val="26"/>
        </w:rPr>
        <w:t xml:space="preserve">Kredit von null aufbauen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SSN beantragen (Kapitel 7). Wer keine SSN bekommen kann, z. B. ein Ehepartner ohne Arbeitserlaubnis, braucht für die gemeinsame Steuererklärung eine ITIN (Formular W-7 bei der IRS); manche Banken akzeptieren sie auch für Kreditkarten.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Gesicherte Kreditkarte (Secured Card) beantragen: Sie hinterlegen eine Sicherheit, z. B. 500 USD, und erhalten einen Rahmen in derselben Höhe. Vorher fragen, ob der Anbieter an alle drei Auskunfteien meldet.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Karte für kleine, regelmäßige Ausgaben nutzen (Tanken, Mobilfunk) und jeden Monat den vollen Saldo per Lastschrift zahlen. Pünktliche Zahlungen sind der wichtigste Faktor; ein einziger Zahlungsverzug von 30 Tagen bleibt jahrelang sichtbar.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Auslastung niedrig halten: Nur einen kleinen Teil des Rahmens nutzen; viele Fachleute raten zu weniger als 30 %.</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Ab dem dritten Monat Auskünfte prüfen: kostenlos und wöchentlich über AnnualCreditReport.com, die einzige bundesrechtlich autorisierte Stelle. Fehler bei der jeweiligen Auskunftei anfechten.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Partner als „Authorized User“ auf die Karte eintragen lassen; je nach Anbieter baut das auch dessen Geschichte auf.</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Nach 6–12 Monaten pünktlicher Zahlung eine normale Karte beantragen und die gesicherte Karte umwandeln lassen, statt sie zu kündigen – das Alter der Konten zählt.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Kreditsperre (Credit Freeze) bei allen drei Auskunfteien einrichten, wenn Sie gerade keinen Kredit brauchen. Sie ist gesetzlich kostenlos und schützt vor Identitätsdiebstahl.</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spacing w:after="160" w:before="0" w:line="276"/>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Ein Paar zieht im März um. Im April beantragt der arbeitende Partner eine gesicherte Karte mit 1.000 USD Rahmen und nutzt sie nur für die Handyrechnung. Im Oktober liegt ein erster Score vor; im Folgejahr reicht er für eine normale Karte und einen Autokredit zu üblichen Konditionen. Wer im April ein Auto auf Kredit kauft, zahlt dagegen den Zins eines Kunden ohne Geschichte.</w:t>
      </w:r>
    </w:p>
    <w:p>
      <w:pPr>
        <w:pStyle w:val="Heading2"/>
        <w:keepNext/>
        <w:spacing w:after="120" w:before="280"/>
      </w:pPr>
      <w:r>
        <w:rPr>
          <w:rFonts w:ascii="Calibri" w:cs="Calibri" w:eastAsia="Calibri" w:hAnsi="Calibri"/>
          <w:b/>
          <w:bCs/>
          <w:color w:val="0F5C6B"/>
          <w:sz w:val="26"/>
          <w:szCs w:val="26"/>
        </w:rPr>
        <w:t xml:space="preserve">Mietvertrag: rote Flaggen</w:t>
      </w:r>
    </w:p>
    <w:p>
      <w:pPr>
        <w:spacing w:after="160" w:before="0" w:line="276"/>
      </w:pPr>
      <w:r>
        <w:rPr>
          <w:rFonts w:ascii="Calibri" w:cs="Calibri" w:eastAsia="Calibri" w:hAnsi="Calibri"/>
          <w:color w:val="222222"/>
          <w:sz w:val="22"/>
          <w:szCs w:val="22"/>
        </w:rPr>
        <w:t xml:space="preserve">Ein US-Mietvertrag (Lease) läuft meist zwölf Monate und ist schwerer zu kündigen als ein deutscher. Lesen Sie ihn vollständig, bevor Sie unterschreiben oder Geld überweisen.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Wohnung vor jeder Zahlung besichtigen (selbst oder per Vertrauensperson) und die Identität des Vermieters prüfen. Wer Kaution per Überweisung, Kryptowährung oder Geschenkkarte verlangt, bevor Sie die Wohnung gesehen haben, ist mit hoher Wahrscheinlichkeit ein Betrüger.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Vorzeitige Kündigung (Early Termination): Wie viele Monatsmieten kostet sie? Eine Klausel für Jobverlust oder Versetzung nachverhandeln, wenn der Arbeitgeber das Visum trägt.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Automatische Verlängerung (Auto-Renewal) und Kündigungsfrist vor Vertragsende (oft 30–60 Tage) notieren.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Kaution: Höhe nach Landesrecht, Frist und Bedingungen der Rückzahlung, Abzugsposten. Beim Einzug jeden Raum mit Datum fotografieren und eine Mängelliste vom Vermieter gegenzeichnen lassen.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Nebenkosten: Wer zahlt Strom, Gas, Wasser, Müll, Internet? Gibt es Pauschalen für „Amenities“, Parken, Haustiere?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Gemeinschaftsregeln (HOA) und Hausordnung: Grillen, Parken, Besuch, Gartenpflege, Untervermietung.</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Gesamtschuldnerische Haftung (Joint and Several Liability) bei Wohngemeinschaften: Jeder haftet für die volle Miete.</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Instandhaltung: Wer repariert Klimaanlage, Warmwasser, Geräte – und in welcher Frist?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Hausratversicherung (Renters Insurance) ist meist Pflicht laut Vertrag und kostet wenig; Haftpflicht ist darin oft enthalten.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21" w:history="1">
              <w:r>
                <w:rPr>
                  <w:rStyle w:val="Hyperlink"/>
                  <w:rFonts w:ascii="Calibri" w:cs="Calibri" w:eastAsia="Calibri" w:hAnsi="Calibri"/>
                  <w:color w:val="0563C1"/>
                  <w:u w:val="single"/>
                  <w:sz w:val="21"/>
                  <w:szCs w:val="21"/>
                </w:rPr>
                <w:t xml:space="preserve">AnnualCreditReport.com</w:t>
              </w:r>
            </w:hyperlink>
            <w:r>
              <w:rPr>
                <w:rFonts w:ascii="Calibri" w:cs="Calibri" w:eastAsia="Calibri" w:hAnsi="Calibri"/>
                <w:color w:val="222222"/>
                <w:sz w:val="21"/>
                <w:szCs w:val="21"/>
              </w:rPr>
              <w:t xml:space="preserve">, </w:t>
            </w:r>
            <w:hyperlink r:id="rIdL55" w:history="1">
              <w:r>
                <w:rPr>
                  <w:rStyle w:val="Hyperlink"/>
                  <w:rFonts w:ascii="Calibri" w:cs="Calibri" w:eastAsia="Calibri" w:hAnsi="Calibri"/>
                  <w:color w:val="0563C1"/>
                  <w:u w:val="single"/>
                  <w:sz w:val="21"/>
                  <w:szCs w:val="21"/>
                </w:rPr>
                <w:t xml:space="preserve">FTC – kostenlose Kreditauskünfte</w:t>
              </w:r>
            </w:hyperlink>
            <w:r>
              <w:rPr>
                <w:rFonts w:ascii="Calibri" w:cs="Calibri" w:eastAsia="Calibri" w:hAnsi="Calibri"/>
                <w:color w:val="222222"/>
                <w:sz w:val="21"/>
                <w:szCs w:val="21"/>
              </w:rPr>
              <w:t xml:space="preserve">, </w:t>
            </w:r>
            <w:hyperlink r:id="rIdL56" w:history="1">
              <w:r>
                <w:rPr>
                  <w:rStyle w:val="Hyperlink"/>
                  <w:rFonts w:ascii="Calibri" w:cs="Calibri" w:eastAsia="Calibri" w:hAnsi="Calibri"/>
                  <w:color w:val="0563C1"/>
                  <w:u w:val="single"/>
                  <w:sz w:val="21"/>
                  <w:szCs w:val="21"/>
                </w:rPr>
                <w:t xml:space="preserve">FTC – Kreditsperre</w:t>
              </w:r>
            </w:hyperlink>
            <w:r>
              <w:rPr>
                <w:rFonts w:ascii="Calibri" w:cs="Calibri" w:eastAsia="Calibri" w:hAnsi="Calibri"/>
                <w:color w:val="222222"/>
                <w:sz w:val="21"/>
                <w:szCs w:val="21"/>
              </w:rPr>
              <w:t xml:space="preserve">, </w:t>
            </w:r>
            <w:hyperlink r:id="rIdL57" w:history="1">
              <w:r>
                <w:rPr>
                  <w:rStyle w:val="Hyperlink"/>
                  <w:rFonts w:ascii="Calibri" w:cs="Calibri" w:eastAsia="Calibri" w:hAnsi="Calibri"/>
                  <w:color w:val="0563C1"/>
                  <w:u w:val="single"/>
                  <w:sz w:val="21"/>
                  <w:szCs w:val="21"/>
                </w:rPr>
                <w:t xml:space="preserve">CFPB – Kreditauskunft und Score</w:t>
              </w:r>
            </w:hyperlink>
            <w:r>
              <w:rPr>
                <w:rFonts w:ascii="Calibri" w:cs="Calibri" w:eastAsia="Calibri" w:hAnsi="Calibri"/>
                <w:color w:val="222222"/>
                <w:sz w:val="21"/>
                <w:szCs w:val="21"/>
              </w:rPr>
              <w:t xml:space="preserve">, </w:t>
            </w:r>
            <w:hyperlink r:id="rIdL58" w:history="1">
              <w:r>
                <w:rPr>
                  <w:rStyle w:val="Hyperlink"/>
                  <w:rFonts w:ascii="Calibri" w:cs="Calibri" w:eastAsia="Calibri" w:hAnsi="Calibri"/>
                  <w:color w:val="0563C1"/>
                  <w:u w:val="single"/>
                  <w:sz w:val="21"/>
                  <w:szCs w:val="21"/>
                </w:rPr>
                <w:t xml:space="preserve">IRS – ITIN</w:t>
              </w:r>
            </w:hyperlink>
            <w:r>
              <w:rPr>
                <w:rFonts w:ascii="Calibri" w:cs="Calibri" w:eastAsia="Calibri" w:hAnsi="Calibri"/>
                <w:color w:val="222222"/>
                <w:sz w:val="21"/>
                <w:szCs w:val="21"/>
              </w:rPr>
              <w:t xml:space="preserve">, </w:t>
            </w:r>
            <w:hyperlink r:id="rIdL59" w:history="1">
              <w:r>
                <w:rPr>
                  <w:rStyle w:val="Hyperlink"/>
                  <w:rFonts w:ascii="Calibri" w:cs="Calibri" w:eastAsia="Calibri" w:hAnsi="Calibri"/>
                  <w:color w:val="0563C1"/>
                  <w:u w:val="single"/>
                  <w:sz w:val="21"/>
                  <w:szCs w:val="21"/>
                </w:rPr>
                <w:t xml:space="preserve">FTC – Mietbetrug</w:t>
              </w:r>
            </w:hyperlink>
            <w:r>
              <w:rPr>
                <w:rFonts w:ascii="Calibri" w:cs="Calibri" w:eastAsia="Calibri" w:hAnsi="Calibri"/>
                <w:color w:val="222222"/>
                <w:sz w:val="21"/>
                <w:szCs w:val="21"/>
              </w:rPr>
              <w:t xml:space="preserve">. Mietrecht ist Landesrecht: Verbraucherschutzseite des Generalstaatsanwalts (Attorney General) Ihres Bundesstaats.</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12" w:name="k12"/>
      <w:r>
        <w:rPr>
          <w:rFonts w:ascii="Calibri" w:cs="Calibri" w:eastAsia="Calibri" w:hAnsi="Calibri"/>
          <w:b/>
          <w:bCs/>
          <w:color w:val="1B365D"/>
          <w:sz w:val="32"/>
          <w:szCs w:val="32"/>
        </w:rPr>
        <w:t xml:space="preserve">12. Arbeit, Partner, Identität</w:t>
      </w:r>
      <w:bookmarkEnd w:id="12"/>
    </w:p>
    <w:p>
      <w:pPr>
        <w:spacing w:after="160" w:before="0" w:line="276"/>
      </w:pPr>
      <w:r>
        <w:rPr>
          <w:rFonts w:ascii="Calibri" w:cs="Calibri" w:eastAsia="Calibri" w:hAnsi="Calibri"/>
          <w:color w:val="222222"/>
          <w:sz w:val="22"/>
          <w:szCs w:val="22"/>
        </w:rPr>
        <w:t xml:space="preserve">Begleitpersonen verlieren oft über Nacht Jobtitel, Netzwerk und Tagesstruktur. Das ist der härteste Teil vieler US-Umzüge, nicht der Container. Wer arbeitet, bekommt Kollegen, Aufgaben und Anerkennung mitgeliefert; wer mitzieht, muss sich all das selbst bauen – oft ohne Arbeitserlaubnis.</w:t>
      </w:r>
    </w:p>
    <w:p>
      <w:pPr>
        <w:pStyle w:val="Heading2"/>
        <w:keepNext/>
        <w:spacing w:after="120" w:before="280"/>
      </w:pPr>
      <w:r>
        <w:rPr>
          <w:rFonts w:ascii="Calibri" w:cs="Calibri" w:eastAsia="Calibri" w:hAnsi="Calibri"/>
          <w:b/>
          <w:bCs/>
          <w:color w:val="0F5C6B"/>
          <w:sz w:val="26"/>
          <w:szCs w:val="26"/>
        </w:rPr>
        <w:t xml:space="preserve">Arbeitserlaubnis zuerst klären</w:t>
      </w:r>
    </w:p>
    <w:p>
      <w:pPr>
        <w:spacing w:after="160" w:before="0" w:line="276"/>
      </w:pPr>
      <w:r>
        <w:rPr>
          <w:rFonts w:ascii="Calibri" w:cs="Calibri" w:eastAsia="Calibri" w:hAnsi="Calibri"/>
          <w:color w:val="222222"/>
          <w:sz w:val="22"/>
          <w:szCs w:val="22"/>
        </w:rPr>
        <w:t xml:space="preserve">Ob der mitziehende Partner arbeiten darf, hängt allein vom Status ab (Tabelle in Kapitel 3). Drei Punkte werden besonders oft falsch verstanden:</w:t>
      </w:r>
    </w:p>
    <w:p>
      <w:pPr>
        <w:pStyle w:val="ListParagraph"/>
        <w:numPr>
          <w:ilvl w:val="0"/>
          <w:numId w:val="2"/>
        </w:numPr>
        <w:spacing w:after="60"/>
      </w:pPr>
      <w:r>
        <w:rPr>
          <w:rFonts w:ascii="Calibri" w:cs="Calibri" w:eastAsia="Calibri" w:hAnsi="Calibri"/>
          <w:b/>
          <w:bCs/>
          <w:color w:val="222222"/>
          <w:sz w:val="22"/>
          <w:szCs w:val="22"/>
        </w:rPr>
        <w:t xml:space="preserve">Fernarbeit für den deutschen Arbeitgeber:</w:t>
      </w:r>
      <w:r>
        <w:rPr>
          <w:rFonts w:ascii="Calibri" w:cs="Calibri" w:eastAsia="Calibri" w:hAnsi="Calibri"/>
          <w:color w:val="222222"/>
          <w:sz w:val="22"/>
          <w:szCs w:val="22"/>
        </w:rPr>
        <w:t xml:space="preserve"> Wer sich in den USA aufhält und dort arbeitet, arbeitet nach überwiegender Auffassung in den USA – auch wenn Gehalt und Arbeitgeber deutsch sind. Ohne Arbeitserlaubnis vorher anwaltlich klären, sonst riskieren Sie den Status.</w:t>
      </w:r>
    </w:p>
    <w:p>
      <w:pPr>
        <w:pStyle w:val="ListParagraph"/>
        <w:numPr>
          <w:ilvl w:val="0"/>
          <w:numId w:val="2"/>
        </w:numPr>
        <w:spacing w:after="60"/>
      </w:pPr>
      <w:r>
        <w:rPr>
          <w:rFonts w:ascii="Calibri" w:cs="Calibri" w:eastAsia="Calibri" w:hAnsi="Calibri"/>
          <w:b/>
          <w:bCs/>
          <w:color w:val="222222"/>
          <w:sz w:val="22"/>
          <w:szCs w:val="22"/>
        </w:rPr>
        <w:t xml:space="preserve">Ehrenamt:</w:t>
      </w:r>
      <w:r>
        <w:rPr>
          <w:rFonts w:ascii="Calibri" w:cs="Calibri" w:eastAsia="Calibri" w:hAnsi="Calibri"/>
          <w:color w:val="222222"/>
          <w:sz w:val="22"/>
          <w:szCs w:val="22"/>
        </w:rPr>
        <w:t xml:space="preserve"> Echte Freiwilligenarbeit für gemeinnützige Organisationen ohne jede Vergütung ist in der Regel möglich. Unbezahlte Tätigkeiten, die normalerweise bezahlt würden (z. B. „Praktikum“ in einer Firma), gelten als Arbeit.</w:t>
      </w:r>
    </w:p>
    <w:p>
      <w:pPr>
        <w:pStyle w:val="ListParagraph"/>
        <w:numPr>
          <w:ilvl w:val="0"/>
          <w:numId w:val="2"/>
        </w:numPr>
        <w:spacing w:after="60"/>
      </w:pPr>
      <w:r>
        <w:rPr>
          <w:rFonts w:ascii="Calibri" w:cs="Calibri" w:eastAsia="Calibri" w:hAnsi="Calibri"/>
          <w:b/>
          <w:bCs/>
          <w:color w:val="222222"/>
          <w:sz w:val="22"/>
          <w:szCs w:val="22"/>
        </w:rPr>
        <w:t xml:space="preserve">Studium:</w:t>
      </w:r>
      <w:r>
        <w:rPr>
          <w:rFonts w:ascii="Calibri" w:cs="Calibri" w:eastAsia="Calibri" w:hAnsi="Calibri"/>
          <w:color w:val="222222"/>
          <w:sz w:val="22"/>
          <w:szCs w:val="22"/>
        </w:rPr>
        <w:t xml:space="preserve"> H-4-, L-2- und E-2-Angehörige dürfen in der Regel studieren, ohne den Status zu wechseln. Für F-2-Angehörige gelten Einschränkungen.</w:t>
      </w:r>
    </w:p>
    <w:p>
      <w:pPr>
        <w:pStyle w:val="Heading2"/>
        <w:keepNext/>
        <w:spacing w:after="120" w:before="280"/>
      </w:pPr>
      <w:r>
        <w:rPr>
          <w:rFonts w:ascii="Calibri" w:cs="Calibri" w:eastAsia="Calibri" w:hAnsi="Calibri"/>
          <w:b/>
          <w:bCs/>
          <w:color w:val="0F5C6B"/>
          <w:sz w:val="26"/>
          <w:szCs w:val="26"/>
        </w:rPr>
        <w:t xml:space="preserve">Jobsuche in den USA</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Lebenslauf (Résumé) auf ein bis zwei Seiten kürzen: ohne Foto, Geburtsdatum, Familienstand und Religion; Erfolge mit Zahlen („reduced processing time by 30 %“), nicht Aufgaben.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Deutsche Abschlüsse durch einen anerkannten Dienst für Zeugnisbewertung (Credential Evaluation) in US-Äquivalente übersetzen lassen; viele Arbeitgeber und alle Lizenzbehörden fragen danach.</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Reglementierte Berufe (u. a. Medizin, Pflege, Lehramt, Recht, Ingenieure mit Unterschriftsbefugnis, Elektriker) brauchen eine Zulassung des jeweiligen Bundesstaats. Zuständige Behörde (Licensing Board) früh kontaktieren; Prüfungen und Wartezeiten können ein bis zwei Jahre dauern.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Netzwerk vor Bewerbungsportal: Ein großer Teil der Stellen wird über Empfehlungen (Referrals) besetzt. Kurze Informationsgespräche („informational interviews“) mit Leuten aus Ihrem Feld vereinbaren.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LinkedIn-Profil auf Englisch mit US-Standort; deutsche Berufsbezeichnungen in US-übliche übersetzen.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Deutsch als Vorteil nutzen: deutsche Firmen mit US-Niederlassungen, Deutsch-Amerikanische Handelskammern, Übersetzung, Unterricht.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Arbeitskultur: was anders ist</w:t>
      </w:r>
    </w:p>
    <w:p>
      <w:pPr>
        <w:pStyle w:val="ListParagraph"/>
        <w:numPr>
          <w:ilvl w:val="0"/>
          <w:numId w:val="2"/>
        </w:numPr>
        <w:spacing w:after="60"/>
      </w:pPr>
      <w:r>
        <w:rPr>
          <w:rFonts w:ascii="Calibri" w:cs="Calibri" w:eastAsia="Calibri" w:hAnsi="Calibri"/>
          <w:color w:val="222222"/>
          <w:sz w:val="22"/>
          <w:szCs w:val="22"/>
        </w:rPr>
        <w:t xml:space="preserve">Die meisten Arbeitsverhältnisse sind „at will“: Arbeitgeber und Arbeitnehmer können ohne Kündigungsfrist enden. Für Visuminhaber bedeutet ein Jobverlust zugleich ein Statusproblem (Schonfrist bis zu 60 Tage, Kapitel 8).</w:t>
      </w:r>
    </w:p>
    <w:p>
      <w:pPr>
        <w:pStyle w:val="ListParagraph"/>
        <w:numPr>
          <w:ilvl w:val="0"/>
          <w:numId w:val="2"/>
        </w:numPr>
        <w:spacing w:after="60"/>
      </w:pPr>
      <w:r>
        <w:rPr>
          <w:rFonts w:ascii="Calibri" w:cs="Calibri" w:eastAsia="Calibri" w:hAnsi="Calibri"/>
          <w:color w:val="222222"/>
          <w:sz w:val="22"/>
          <w:szCs w:val="22"/>
        </w:rPr>
        <w:t xml:space="preserve">Einen gesetzlichen Mindesturlaub gibt es auf Bundesebene nicht; Urlaub und Krankheitstage regelt der Arbeitsvertrag, teils das Recht des Bundesstaats.</w:t>
      </w:r>
    </w:p>
    <w:p>
      <w:pPr>
        <w:pStyle w:val="ListParagraph"/>
        <w:numPr>
          <w:ilvl w:val="0"/>
          <w:numId w:val="2"/>
        </w:numPr>
        <w:spacing w:after="60"/>
      </w:pPr>
      <w:r>
        <w:rPr>
          <w:rFonts w:ascii="Calibri" w:cs="Calibri" w:eastAsia="Calibri" w:hAnsi="Calibri"/>
          <w:color w:val="222222"/>
          <w:sz w:val="22"/>
          <w:szCs w:val="22"/>
        </w:rPr>
        <w:t xml:space="preserve">Kritik wird häufig indirekt und eingebettet in Lob geäußert. Direkte deutsche Rückmeldungen wirken schnell schroff (Kapitel 14).</w:t>
      </w:r>
    </w:p>
    <w:p>
      <w:pPr>
        <w:pStyle w:val="Heading2"/>
        <w:keepNext/>
        <w:spacing w:after="120" w:before="280"/>
      </w:pPr>
      <w:r>
        <w:rPr>
          <w:rFonts w:ascii="Calibri" w:cs="Calibri" w:eastAsia="Calibri" w:hAnsi="Calibri"/>
          <w:b/>
          <w:bCs/>
          <w:color w:val="0F5C6B"/>
          <w:sz w:val="26"/>
          <w:szCs w:val="26"/>
        </w:rPr>
        <w:t xml:space="preserve">Identität: einen eigenen Alltag bauen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Eigenes Bankkonto und eigene Kreditkarte für den mitziehenden Partner – auch für die eigene Kreditgeschichte und für den Fall einer Trennung.</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Feste Wochenstruktur ab Woche 2: drei feste Termine außer Haus (Kurs, Sport, Ehrenamt), auch wenn sich das künstlich anfühlt.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 eigenes Projekt mit Ziel für die ersten sechs Monate: Zulassung vorbereiten, Weiterbildung, Sprachniveau, Ehrenamt mit Verantwortung.</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Vereinbarung als Paar: Wer verdient, übernimmt einen festen Teil des Familienalltags; wer nicht verdient, hat ein eigenes Budget ohne Rechtfertigung.</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Rechnen Sie mit einem Tief nach drei bis sechs Monaten, wenn die Neugier nachlässt und der Alltag noch fremd ist. Das ist normal und kein Beweis, dass der Umzug falsch war; vereinbaren Sie trotzdem vorher, ab wann Sie Hilfe holen.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spacing w:after="160" w:before="0" w:line="276"/>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Eine Architektin zieht mit ihrem Mann, der ein L-1A-Visum hat, nach Texas. Ihr I-94 zeigt „L-2S“; sie darf arbeiten. Statt sofort Bewerbungen zu schreiben, lässt sie im ersten Monat ihre Abschlüsse bewerten, meldet sich bei der Architektenkammer des Staates und arbeitet ab Monat 3 als Angestellte in einem Büro, während sie die Zulassungsprüfungen vorbereitet.</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27" w:history="1">
              <w:r>
                <w:rPr>
                  <w:rStyle w:val="Hyperlink"/>
                  <w:rFonts w:ascii="Calibri" w:cs="Calibri" w:eastAsia="Calibri" w:hAnsi="Calibri"/>
                  <w:color w:val="0563C1"/>
                  <w:u w:val="single"/>
                  <w:sz w:val="21"/>
                  <w:szCs w:val="21"/>
                </w:rPr>
                <w:t xml:space="preserve">USCIS Policy Manual – Arbeitserlaubnis für E-, L- und H-4-Ehepartner</w:t>
              </w:r>
            </w:hyperlink>
            <w:r>
              <w:rPr>
                <w:rFonts w:ascii="Calibri" w:cs="Calibri" w:eastAsia="Calibri" w:hAnsi="Calibri"/>
                <w:color w:val="222222"/>
                <w:sz w:val="21"/>
                <w:szCs w:val="21"/>
              </w:rPr>
              <w:t xml:space="preserve">, </w:t>
            </w:r>
            <w:hyperlink r:id="rIdL43" w:history="1">
              <w:r>
                <w:rPr>
                  <w:rStyle w:val="Hyperlink"/>
                  <w:rFonts w:ascii="Calibri" w:cs="Calibri" w:eastAsia="Calibri" w:hAnsi="Calibri"/>
                  <w:color w:val="0563C1"/>
                  <w:u w:val="single"/>
                  <w:sz w:val="21"/>
                  <w:szCs w:val="21"/>
                </w:rPr>
                <w:t xml:space="preserve">8 CFR 214.1(l)(2) – Schonfrist bis zu 60 Tage nach Jobverlust</w:t>
              </w:r>
            </w:hyperlink>
            <w:r>
              <w:rPr>
                <w:rFonts w:ascii="Calibri" w:cs="Calibri" w:eastAsia="Calibri" w:hAnsi="Calibri"/>
                <w:color w:val="222222"/>
                <w:sz w:val="21"/>
                <w:szCs w:val="21"/>
              </w:rPr>
              <w:t xml:space="preserve">, </w:t>
            </w:r>
            <w:hyperlink r:id="rIdL60" w:history="1">
              <w:r>
                <w:rPr>
                  <w:rStyle w:val="Hyperlink"/>
                  <w:rFonts w:ascii="Calibri" w:cs="Calibri" w:eastAsia="Calibri" w:hAnsi="Calibri"/>
                  <w:color w:val="0563C1"/>
                  <w:u w:val="single"/>
                  <w:sz w:val="21"/>
                  <w:szCs w:val="21"/>
                </w:rPr>
                <w:t xml:space="preserve">U.S. Department of Labor – Urlaub</w:t>
              </w:r>
            </w:hyperlink>
            <w:r>
              <w:rPr>
                <w:rFonts w:ascii="Calibri" w:cs="Calibri" w:eastAsia="Calibri" w:hAnsi="Calibri"/>
                <w:color w:val="222222"/>
                <w:sz w:val="21"/>
                <w:szCs w:val="21"/>
              </w:rPr>
              <w:t xml:space="preserve">, Zulassungsbehörde (Licensing Board) Ihres Berufs im jeweiligen Bundesstaat.</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13" w:name="k13"/>
      <w:r>
        <w:rPr>
          <w:rFonts w:ascii="Calibri" w:cs="Calibri" w:eastAsia="Calibri" w:hAnsi="Calibri"/>
          <w:b/>
          <w:bCs/>
          <w:color w:val="1B365D"/>
          <w:sz w:val="32"/>
          <w:szCs w:val="32"/>
        </w:rPr>
        <w:t xml:space="preserve">13. Kinder und Schule</w:t>
      </w:r>
      <w:bookmarkEnd w:id="13"/>
    </w:p>
    <w:p>
      <w:pPr>
        <w:spacing w:after="160" w:before="0" w:line="276"/>
      </w:pPr>
      <w:r>
        <w:rPr>
          <w:rFonts w:ascii="Calibri" w:cs="Calibri" w:eastAsia="Calibri" w:hAnsi="Calibri"/>
          <w:color w:val="222222"/>
          <w:sz w:val="22"/>
          <w:szCs w:val="22"/>
        </w:rPr>
        <w:t xml:space="preserve">Öffentliche Schulen von Kindergarten bis Klasse 12 sind kostenlos. Welche Schule Ihr Kind besucht, bestimmt in den meisten Bezirken die Wohnadresse. Deshalb kommt die Schulrecherche vor dem Mietvertrag, nicht danach. Der Aufenthaltsstatus darf den Zugang zur öffentlichen Schule nicht verhindern.</w:t>
      </w:r>
    </w:p>
    <w:p>
      <w:pPr>
        <w:pStyle w:val="Heading2"/>
        <w:keepNext/>
        <w:spacing w:after="120" w:before="280"/>
      </w:pPr>
      <w:r>
        <w:rPr>
          <w:rFonts w:ascii="Calibri" w:cs="Calibri" w:eastAsia="Calibri" w:hAnsi="Calibri"/>
          <w:b/>
          <w:bCs/>
          <w:color w:val="0F5C6B"/>
          <w:sz w:val="26"/>
          <w:szCs w:val="26"/>
        </w:rPr>
        <w:t xml:space="preserve">Vor dem Umzug</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Kind bei der deutschen Schule abmelden; mit dem Wegzug endet die deutsche Schulpflicht. Abgangszeugnis und Bescheinigung über die besuchte Klassenstufe mitnehmen.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Impfpass und, falls vorhanden, Impfbescheinigungen einpacken. Jeder Bundesstaat hat eigene Pflichtimpfungen für Schulkinder; fehlende Impfungen werden vor Ort nachgeholt.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Zeugnisse der letzten zwei bis drei Jahre mit englischer Übersetzung; bei Gymnasiasten zusätzlich eine kurze Fächer- und Notenübersicht.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Bei Förderbedarf: Gutachten, Förderpläne, Diagnosen auf Englisch. US-Schulen müssen Kinder mit Behinderungen fördern (individueller Förderplan „IEP“ oder „504 Plan“), prüfen aber selbst neu.</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Stichtag für die Einschulung im Zielstaat prüfen. Er bestimmt, ob ein Kind in den Kindergarten (das US-Vorschuljahr) oder in Klasse 1 kommt.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Deutschkontakt planen: Samstagsschule in der Region, Online-Unterricht, Lesestoff. Wer zurückkehren will, braucht Deutsch auf Schulniveau, nicht nur zum Sprechen.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Schulbezirk recherchieren wie ein Profi</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Adresse in die Schulzuordnung (School Locator, Attendance Boundary Map) des Schulbezirks eingeben. Grenzen ändern sich; Makleraussagen nicht übernehmen.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Staatliche Schulberichte (School Report Card) des Bildungsministeriums des Bundesstaats lesen: Leistungsdaten, Klassengrößen, Anteil Englischlernender, Fehlzeiten.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Amtliche Grunddaten (Schülerzahl, Lehrkräfte pro Schüler) in der NCES-Schulsuche des US-Bildungsministeriums vergleichen.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Schule anrufen oder besuchen und fragen: „How do you support new students who are learning English?“ – „How do you place students coming from abroad?“ – „What after-school care is available?“</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Alternativen kennen: Magnet- und Charter-Schulen (öffentlich, oft mit Losverfahren und frühen Fristen), Privatschulen (Schulgeld), deutsche oder internationale Schulen in einigen Metropolen.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Bewertungsportale nur als Ergänzung nutzen; sie gewichten Testergebnisse stark und sagen wenig über das Klima an der Schule.</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Anmeldung vor Ort</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Wohnsitznachweis (Mietvertrag, Versorgerrechnung), Geburtsurkunde oder Pass des Kindes, Impfnachweise, frühere Zeugnisse.</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Einstufung: Meist nach Alter, bei Highschool nach anerkannten Leistungspunkten (Credits). Lassen Sie sich die Anrechnung deutscher Fächer schriftlich bestätigen.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Sprachtest: Kinder mit anderer Familiensprache werden meist getestet; die Schule muss Englischlernende unterstützen.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Mittagessen, Schulbus, Nachmittagsbetreuung und Ferienbetreuung organisieren. Die Sommerferien dauern meist zehn bis elf Wochen – Sommercamps ins Budget (Kapitel 8).</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Highschool und Rückkehrfähigkeit</w:t>
      </w:r>
    </w:p>
    <w:p>
      <w:pPr>
        <w:pStyle w:val="ListParagraph"/>
        <w:numPr>
          <w:ilvl w:val="0"/>
          <w:numId w:val="2"/>
        </w:numPr>
        <w:spacing w:after="60"/>
      </w:pPr>
      <w:r>
        <w:rPr>
          <w:rFonts w:ascii="Calibri" w:cs="Calibri" w:eastAsia="Calibri" w:hAnsi="Calibri"/>
          <w:color w:val="222222"/>
          <w:sz w:val="22"/>
          <w:szCs w:val="22"/>
        </w:rPr>
        <w:t xml:space="preserve">Ab Klasse 9 zählt jedes Fach für den Notendurchschnitt (GPA) und das Abschlusszeugnis (Diploma). Ein Wechsel mitten in der Highschool kann Credits kosten.</w:t>
      </w:r>
    </w:p>
    <w:p>
      <w:pPr>
        <w:pStyle w:val="ListParagraph"/>
        <w:numPr>
          <w:ilvl w:val="0"/>
          <w:numId w:val="2"/>
        </w:numPr>
        <w:spacing w:after="60"/>
      </w:pPr>
      <w:r>
        <w:rPr>
          <w:rFonts w:ascii="Calibri" w:cs="Calibri" w:eastAsia="Calibri" w:hAnsi="Calibri"/>
          <w:color w:val="222222"/>
          <w:sz w:val="22"/>
          <w:szCs w:val="22"/>
        </w:rPr>
        <w:t xml:space="preserve">Wer später in Deutschland studieren will: Die Anerkennungsregeln der Kultusministerkonferenz für US-Abschlüsse früh prüfen; häufig sind bestimmte Prüfungen wie Advanced-Placement-Kurse nötig.</w:t>
      </w:r>
    </w:p>
    <w:p>
      <w:pPr>
        <w:pStyle w:val="ListParagraph"/>
        <w:numPr>
          <w:ilvl w:val="0"/>
          <w:numId w:val="2"/>
        </w:numPr>
        <w:spacing w:after="60"/>
      </w:pPr>
      <w:r>
        <w:rPr>
          <w:rFonts w:ascii="Calibri" w:cs="Calibri" w:eastAsia="Calibri" w:hAnsi="Calibri"/>
          <w:color w:val="222222"/>
          <w:sz w:val="22"/>
          <w:szCs w:val="22"/>
        </w:rPr>
        <w:t xml:space="preserve">Bei kurzer Entsendung (ein bis drei Jahre) kann eine deutsche oder internationale Schule die Rückkehr erleichtern.</w:t>
      </w:r>
    </w:p>
    <w:p>
      <w:pPr>
        <w:spacing w:after="160" w:before="0" w:line="276"/>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Eine Familie mit einem Kind in der 7. Klasse vergleicht zwei Wohnungen. Die günstigere liegt eine Straße außerhalb des gewünschten Schulbezirks. Nach einem Anruf beim Bezirk zeigt sich: Ein Wechsel per Antrag („inter-district transfer“) ist möglich, aber nicht garantiert. Die Familie mietet die teurere Wohnung für ein Jahr und beobachtet in dieser Zeit den Wohnungsmarkt im Bezirk.</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22" w:history="1">
              <w:r>
                <w:rPr>
                  <w:rStyle w:val="Hyperlink"/>
                  <w:rFonts w:ascii="Calibri" w:cs="Calibri" w:eastAsia="Calibri" w:hAnsi="Calibri"/>
                  <w:color w:val="0563C1"/>
                  <w:u w:val="single"/>
                  <w:sz w:val="21"/>
                  <w:szCs w:val="21"/>
                </w:rPr>
                <w:t xml:space="preserve">NCES – Public School Search</w:t>
              </w:r>
            </w:hyperlink>
            <w:r>
              <w:rPr>
                <w:rFonts w:ascii="Calibri" w:cs="Calibri" w:eastAsia="Calibri" w:hAnsi="Calibri"/>
                <w:color w:val="222222"/>
                <w:sz w:val="21"/>
                <w:szCs w:val="21"/>
              </w:rPr>
              <w:t xml:space="preserve">, </w:t>
            </w:r>
            <w:hyperlink r:id="rIdL61" w:history="1">
              <w:r>
                <w:rPr>
                  <w:rStyle w:val="Hyperlink"/>
                  <w:rFonts w:ascii="Calibri" w:cs="Calibri" w:eastAsia="Calibri" w:hAnsi="Calibri"/>
                  <w:color w:val="0563C1"/>
                  <w:u w:val="single"/>
                  <w:sz w:val="21"/>
                  <w:szCs w:val="21"/>
                </w:rPr>
                <w:t xml:space="preserve">20 U.S.C. § 1703 – Sprachbarrieren in Schulen (Equal Educational Opportunities Act)</w:t>
              </w:r>
            </w:hyperlink>
            <w:r>
              <w:rPr>
                <w:rFonts w:ascii="Calibri" w:cs="Calibri" w:eastAsia="Calibri" w:hAnsi="Calibri"/>
                <w:color w:val="222222"/>
                <w:sz w:val="21"/>
                <w:szCs w:val="21"/>
              </w:rPr>
              <w:t xml:space="preserve">, </w:t>
            </w:r>
            <w:hyperlink r:id="rIdL62" w:history="1">
              <w:r>
                <w:rPr>
                  <w:rStyle w:val="Hyperlink"/>
                  <w:rFonts w:ascii="Calibri" w:cs="Calibri" w:eastAsia="Calibri" w:hAnsi="Calibri"/>
                  <w:color w:val="0563C1"/>
                  <w:u w:val="single"/>
                  <w:sz w:val="21"/>
                  <w:szCs w:val="21"/>
                </w:rPr>
                <w:t xml:space="preserve">KMK/ZAB – Hochschulzugang</w:t>
              </w:r>
            </w:hyperlink>
            <w:r>
              <w:rPr>
                <w:rFonts w:ascii="Calibri" w:cs="Calibri" w:eastAsia="Calibri" w:hAnsi="Calibri"/>
                <w:color w:val="222222"/>
                <w:sz w:val="21"/>
                <w:szCs w:val="21"/>
              </w:rPr>
              <w:t xml:space="preserve">, </w:t>
            </w:r>
            <w:hyperlink r:id="rIdL63" w:history="1">
              <w:r>
                <w:rPr>
                  <w:rStyle w:val="Hyperlink"/>
                  <w:rFonts w:ascii="Calibri" w:cs="Calibri" w:eastAsia="Calibri" w:hAnsi="Calibri"/>
                  <w:color w:val="0563C1"/>
                  <w:u w:val="single"/>
                  <w:sz w:val="21"/>
                  <w:szCs w:val="21"/>
                </w:rPr>
                <w:t xml:space="preserve">anabin – Schulabschlüsse mit Hochschulzugang</w:t>
              </w:r>
            </w:hyperlink>
            <w:r>
              <w:rPr>
                <w:rFonts w:ascii="Calibri" w:cs="Calibri" w:eastAsia="Calibri" w:hAnsi="Calibri"/>
                <w:color w:val="222222"/>
                <w:sz w:val="21"/>
                <w:szCs w:val="21"/>
              </w:rPr>
              <w:t xml:space="preserve">, Schulbehörde (Department of Education) des Bundesstaats.</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14" w:name="k14"/>
      <w:r>
        <w:rPr>
          <w:rFonts w:ascii="Calibri" w:cs="Calibri" w:eastAsia="Calibri" w:hAnsi="Calibri"/>
          <w:b/>
          <w:bCs/>
          <w:color w:val="1B365D"/>
          <w:sz w:val="32"/>
          <w:szCs w:val="32"/>
        </w:rPr>
        <w:t xml:space="preserve">14. Kultur und Alltag, die in Leitfäden fehlen</w:t>
      </w:r>
      <w:bookmarkEnd w:id="14"/>
    </w:p>
    <w:p>
      <w:pPr>
        <w:spacing w:after="160" w:before="0" w:line="276"/>
      </w:pPr>
      <w:r>
        <w:rPr>
          <w:rFonts w:ascii="Calibri" w:cs="Calibri" w:eastAsia="Calibri" w:hAnsi="Calibri"/>
          <w:color w:val="222222"/>
          <w:sz w:val="22"/>
          <w:szCs w:val="22"/>
        </w:rPr>
        <w:t xml:space="preserve">Die meisten Reibungen entstehen nicht bei großen Werten, sondern bei kleinen Ritualen. Wer sie kennt, wirkt nicht „typisch deutsch“ und findet schneller Anschluss.</w:t>
      </w:r>
    </w:p>
    <w:p>
      <w:pPr>
        <w:pStyle w:val="Heading2"/>
        <w:keepNext/>
        <w:spacing w:after="120" w:before="280"/>
      </w:pPr>
      <w:r>
        <w:rPr>
          <w:rFonts w:ascii="Calibri" w:cs="Calibri" w:eastAsia="Calibri" w:hAnsi="Calibri"/>
          <w:b/>
          <w:bCs/>
          <w:color w:val="0F5C6B"/>
          <w:sz w:val="26"/>
          <w:szCs w:val="26"/>
        </w:rPr>
        <w:t xml:space="preserve">Gespräch und Umgang</w:t>
      </w:r>
    </w:p>
    <w:p>
      <w:pPr>
        <w:pStyle w:val="ListParagraph"/>
        <w:numPr>
          <w:ilvl w:val="0"/>
          <w:numId w:val="2"/>
        </w:numPr>
        <w:spacing w:after="60"/>
      </w:pPr>
      <w:r>
        <w:rPr>
          <w:rFonts w:ascii="Calibri" w:cs="Calibri" w:eastAsia="Calibri" w:hAnsi="Calibri"/>
          <w:b/>
          <w:bCs/>
          <w:color w:val="222222"/>
          <w:sz w:val="22"/>
          <w:szCs w:val="22"/>
        </w:rPr>
        <w:t xml:space="preserve">„How are you?“ ist ein Gruß, keine Frage.</w:t>
      </w:r>
      <w:r>
        <w:rPr>
          <w:rFonts w:ascii="Calibri" w:cs="Calibri" w:eastAsia="Calibri" w:hAnsi="Calibri"/>
          <w:color w:val="222222"/>
          <w:sz w:val="22"/>
          <w:szCs w:val="22"/>
        </w:rPr>
        <w:t xml:space="preserve"> Antwort: „Good, thanks – and you?“ Eine ehrliche Zustandsbeschreibung verwirrt.</w:t>
      </w:r>
    </w:p>
    <w:p>
      <w:pPr>
        <w:pStyle w:val="ListParagraph"/>
        <w:numPr>
          <w:ilvl w:val="0"/>
          <w:numId w:val="2"/>
        </w:numPr>
        <w:spacing w:after="60"/>
      </w:pPr>
      <w:r>
        <w:rPr>
          <w:rFonts w:ascii="Calibri" w:cs="Calibri" w:eastAsia="Calibri" w:hAnsi="Calibri"/>
          <w:b/>
          <w:bCs/>
          <w:color w:val="222222"/>
          <w:sz w:val="22"/>
          <w:szCs w:val="22"/>
        </w:rPr>
        <w:t xml:space="preserve">Freundlich heißt nicht befreundet.</w:t>
      </w:r>
      <w:r>
        <w:rPr>
          <w:rFonts w:ascii="Calibri" w:cs="Calibri" w:eastAsia="Calibri" w:hAnsi="Calibri"/>
          <w:color w:val="222222"/>
          <w:sz w:val="22"/>
          <w:szCs w:val="22"/>
        </w:rPr>
        <w:t xml:space="preserve"> „We should get together sometime“ ist meist eine Höflichkeit. Wer Kontakt will, schlägt einen konkreten Termin vor.</w:t>
      </w:r>
    </w:p>
    <w:p>
      <w:pPr>
        <w:pStyle w:val="ListParagraph"/>
        <w:numPr>
          <w:ilvl w:val="0"/>
          <w:numId w:val="2"/>
        </w:numPr>
        <w:spacing w:after="60"/>
      </w:pPr>
      <w:r>
        <w:rPr>
          <w:rFonts w:ascii="Calibri" w:cs="Calibri" w:eastAsia="Calibri" w:hAnsi="Calibri"/>
          <w:b/>
          <w:bCs/>
          <w:color w:val="222222"/>
          <w:sz w:val="22"/>
          <w:szCs w:val="22"/>
        </w:rPr>
        <w:t xml:space="preserve">Kritik wird verpackt.</w:t>
      </w:r>
      <w:r>
        <w:rPr>
          <w:rFonts w:ascii="Calibri" w:cs="Calibri" w:eastAsia="Calibri" w:hAnsi="Calibri"/>
          <w:color w:val="222222"/>
          <w:sz w:val="22"/>
          <w:szCs w:val="22"/>
        </w:rPr>
        <w:t xml:space="preserve"> Erst etwas Positives, dann der Vorschlag, dann wieder etwas Positives. Ein deutsches „Das ist falsch“ kommt als Angriff an; besser: „Have we considered …?“</w:t>
      </w:r>
    </w:p>
    <w:p>
      <w:pPr>
        <w:pStyle w:val="ListParagraph"/>
        <w:numPr>
          <w:ilvl w:val="0"/>
          <w:numId w:val="2"/>
        </w:numPr>
        <w:spacing w:after="60"/>
      </w:pPr>
      <w:r>
        <w:rPr>
          <w:rFonts w:ascii="Calibri" w:cs="Calibri" w:eastAsia="Calibri" w:hAnsi="Calibri"/>
          <w:b/>
          <w:bCs/>
          <w:color w:val="222222"/>
          <w:sz w:val="22"/>
          <w:szCs w:val="22"/>
        </w:rPr>
        <w:t xml:space="preserve">Politik und Religion</w:t>
      </w:r>
      <w:r>
        <w:rPr>
          <w:rFonts w:ascii="Calibri" w:cs="Calibri" w:eastAsia="Calibri" w:hAnsi="Calibri"/>
          <w:color w:val="222222"/>
          <w:sz w:val="22"/>
          <w:szCs w:val="22"/>
        </w:rPr>
        <w:t xml:space="preserve"> sind bei ersten Begegnungen tabu, außer das Gegenüber beginnt.</w:t>
      </w:r>
    </w:p>
    <w:p>
      <w:pPr>
        <w:pStyle w:val="ListParagraph"/>
        <w:numPr>
          <w:ilvl w:val="0"/>
          <w:numId w:val="2"/>
        </w:numPr>
        <w:spacing w:after="60"/>
      </w:pPr>
      <w:r>
        <w:rPr>
          <w:rFonts w:ascii="Calibri" w:cs="Calibri" w:eastAsia="Calibri" w:hAnsi="Calibri"/>
          <w:b/>
          <w:bCs/>
          <w:color w:val="222222"/>
          <w:sz w:val="22"/>
          <w:szCs w:val="22"/>
        </w:rPr>
        <w:t xml:space="preserve">Gemeinden und Vereine</w:t>
      </w:r>
      <w:r>
        <w:rPr>
          <w:rFonts w:ascii="Calibri" w:cs="Calibri" w:eastAsia="Calibri" w:hAnsi="Calibri"/>
          <w:color w:val="222222"/>
          <w:sz w:val="22"/>
          <w:szCs w:val="22"/>
        </w:rPr>
        <w:t xml:space="preserve"> sind soziale Knotenpunkte – auch für Menschen, die nicht religiös sind: Kirchengemeinden, Schulvereine (PTA), Sportvereine, Nachbarschaftsgruppen.</w:t>
      </w:r>
    </w:p>
    <w:p>
      <w:pPr>
        <w:pStyle w:val="Heading2"/>
        <w:keepNext/>
        <w:spacing w:after="120" w:before="280"/>
      </w:pPr>
      <w:r>
        <w:rPr>
          <w:rFonts w:ascii="Calibri" w:cs="Calibri" w:eastAsia="Calibri" w:hAnsi="Calibri"/>
          <w:b/>
          <w:bCs/>
          <w:color w:val="0F5C6B"/>
          <w:sz w:val="26"/>
          <w:szCs w:val="26"/>
        </w:rPr>
        <w:t xml:space="preserve">Geld im Alltag</w:t>
      </w:r>
    </w:p>
    <w:p>
      <w:pPr>
        <w:pStyle w:val="ListParagraph"/>
        <w:numPr>
          <w:ilvl w:val="0"/>
          <w:numId w:val="2"/>
        </w:numPr>
        <w:spacing w:after="60"/>
      </w:pPr>
      <w:r>
        <w:rPr>
          <w:rFonts w:ascii="Calibri" w:cs="Calibri" w:eastAsia="Calibri" w:hAnsi="Calibri"/>
          <w:b/>
          <w:bCs/>
          <w:color w:val="222222"/>
          <w:sz w:val="22"/>
          <w:szCs w:val="22"/>
        </w:rPr>
        <w:t xml:space="preserve">Preise ohne Steuer:</w:t>
      </w:r>
      <w:r>
        <w:rPr>
          <w:rFonts w:ascii="Calibri" w:cs="Calibri" w:eastAsia="Calibri" w:hAnsi="Calibri"/>
          <w:color w:val="222222"/>
          <w:sz w:val="22"/>
          <w:szCs w:val="22"/>
        </w:rPr>
        <w:t xml:space="preserve"> Die Sales Tax kommt erst an der Kasse dazu und ist je nach Ort unterschiedlich.</w:t>
      </w:r>
    </w:p>
    <w:p>
      <w:pPr>
        <w:pStyle w:val="ListParagraph"/>
        <w:numPr>
          <w:ilvl w:val="0"/>
          <w:numId w:val="2"/>
        </w:numPr>
        <w:spacing w:after="60"/>
      </w:pPr>
      <w:r>
        <w:rPr>
          <w:rFonts w:ascii="Calibri" w:cs="Calibri" w:eastAsia="Calibri" w:hAnsi="Calibri"/>
          <w:b/>
          <w:bCs/>
          <w:color w:val="222222"/>
          <w:sz w:val="22"/>
          <w:szCs w:val="22"/>
        </w:rPr>
        <w:t xml:space="preserve">Trinkgeld:</w:t>
      </w:r>
      <w:r>
        <w:rPr>
          <w:rFonts w:ascii="Calibri" w:cs="Calibri" w:eastAsia="Calibri" w:hAnsi="Calibri"/>
          <w:color w:val="222222"/>
          <w:sz w:val="22"/>
          <w:szCs w:val="22"/>
        </w:rPr>
        <w:t xml:space="preserve"> Im Restaurant mit Bedienung sind 15–20 % des Betrags vor Steuer üblich; Trinkgeld ist für viele Servicekräfte ein wesentlicher Teil des Lohns. Prüfen Sie, ob schon eine „Service Charge“ auf der Rechnung steht.</w:t>
      </w:r>
    </w:p>
    <w:p>
      <w:pPr>
        <w:pStyle w:val="ListParagraph"/>
        <w:numPr>
          <w:ilvl w:val="0"/>
          <w:numId w:val="2"/>
        </w:numPr>
        <w:spacing w:after="60"/>
      </w:pPr>
      <w:r>
        <w:rPr>
          <w:rFonts w:ascii="Calibri" w:cs="Calibri" w:eastAsia="Calibri" w:hAnsi="Calibri"/>
          <w:b/>
          <w:bCs/>
          <w:color w:val="222222"/>
          <w:sz w:val="22"/>
          <w:szCs w:val="22"/>
        </w:rPr>
        <w:t xml:space="preserve">Karten statt Bargeld:</w:t>
      </w:r>
      <w:r>
        <w:rPr>
          <w:rFonts w:ascii="Calibri" w:cs="Calibri" w:eastAsia="Calibri" w:hAnsi="Calibri"/>
          <w:color w:val="222222"/>
          <w:sz w:val="22"/>
          <w:szCs w:val="22"/>
        </w:rPr>
        <w:t xml:space="preserve"> Fast überall wird mit Karte oder Telefon bezahlt; Schecks braucht man noch gelegentlich für Miete oder Behörden.</w:t>
      </w:r>
    </w:p>
    <w:p>
      <w:pPr>
        <w:pStyle w:val="Heading2"/>
        <w:keepNext/>
        <w:spacing w:after="120" w:before="280"/>
      </w:pPr>
      <w:r>
        <w:rPr>
          <w:rFonts w:ascii="Calibri" w:cs="Calibri" w:eastAsia="Calibri" w:hAnsi="Calibri"/>
          <w:b/>
          <w:bCs/>
          <w:color w:val="0F5C6B"/>
          <w:sz w:val="26"/>
          <w:szCs w:val="26"/>
        </w:rPr>
        <w:t xml:space="preserve">Maße, Formate, Technik</w:t>
      </w:r>
    </w:p>
    <w:p>
      <w:pPr>
        <w:pStyle w:val="ListParagraph"/>
        <w:numPr>
          <w:ilvl w:val="0"/>
          <w:numId w:val="2"/>
        </w:numPr>
        <w:spacing w:after="60"/>
      </w:pPr>
      <w:r>
        <w:rPr>
          <w:rFonts w:ascii="Calibri" w:cs="Calibri" w:eastAsia="Calibri" w:hAnsi="Calibri"/>
          <w:color w:val="222222"/>
          <w:sz w:val="22"/>
          <w:szCs w:val="22"/>
        </w:rPr>
        <w:t xml:space="preserve">Fahrenheit, Meilen, Pfund, Gallonen; Datum als Monat/Tag/Jahr (07/04/2026 = 4. Juli 2026); Papierformat „Letter“ statt A4.</w:t>
      </w:r>
    </w:p>
    <w:p>
      <w:pPr>
        <w:pStyle w:val="ListParagraph"/>
        <w:numPr>
          <w:ilvl w:val="0"/>
          <w:numId w:val="2"/>
        </w:numPr>
        <w:spacing w:after="60"/>
      </w:pPr>
      <w:r>
        <w:rPr>
          <w:rFonts w:ascii="Calibri" w:cs="Calibri" w:eastAsia="Calibri" w:hAnsi="Calibri"/>
          <w:color w:val="222222"/>
          <w:sz w:val="22"/>
          <w:szCs w:val="22"/>
        </w:rPr>
        <w:t xml:space="preserve">Strom: 120 Volt, Steckertyp A/B. Klimaanlagen treiben die Stromrechnung im Sommer deutlich hoch.</w:t>
      </w:r>
    </w:p>
    <w:p>
      <w:pPr>
        <w:pStyle w:val="ListParagraph"/>
        <w:numPr>
          <w:ilvl w:val="0"/>
          <w:numId w:val="2"/>
        </w:numPr>
        <w:spacing w:after="60"/>
      </w:pPr>
      <w:r>
        <w:rPr>
          <w:rFonts w:ascii="Calibri" w:cs="Calibri" w:eastAsia="Calibri" w:hAnsi="Calibri"/>
          <w:color w:val="222222"/>
          <w:sz w:val="22"/>
          <w:szCs w:val="22"/>
        </w:rPr>
        <w:t xml:space="preserve">Müll und Recycling regelt jede Gemeinde selbst; Abholtage und erlaubte Stoffe auf der Seite der Stadt nachlesen.</w:t>
      </w:r>
    </w:p>
    <w:p>
      <w:pPr>
        <w:pStyle w:val="Heading2"/>
        <w:keepNext/>
        <w:spacing w:after="120" w:before="280"/>
      </w:pPr>
      <w:r>
        <w:rPr>
          <w:rFonts w:ascii="Calibri" w:cs="Calibri" w:eastAsia="Calibri" w:hAnsi="Calibri"/>
          <w:b/>
          <w:bCs/>
          <w:color w:val="0F5C6B"/>
          <w:sz w:val="26"/>
          <w:szCs w:val="26"/>
        </w:rPr>
        <w:t xml:space="preserve">Straße und Sicherheit</w:t>
      </w:r>
    </w:p>
    <w:p>
      <w:pPr>
        <w:pStyle w:val="ListParagraph"/>
        <w:numPr>
          <w:ilvl w:val="0"/>
          <w:numId w:val="2"/>
        </w:numPr>
        <w:spacing w:after="60"/>
      </w:pPr>
      <w:r>
        <w:rPr>
          <w:rFonts w:ascii="Calibri" w:cs="Calibri" w:eastAsia="Calibri" w:hAnsi="Calibri"/>
          <w:b/>
          <w:bCs/>
          <w:color w:val="222222"/>
          <w:sz w:val="22"/>
          <w:szCs w:val="22"/>
        </w:rPr>
        <w:t xml:space="preserve">Notruf: 911</w:t>
      </w:r>
      <w:r>
        <w:rPr>
          <w:rFonts w:ascii="Calibri" w:cs="Calibri" w:eastAsia="Calibri" w:hAnsi="Calibri"/>
          <w:color w:val="222222"/>
          <w:sz w:val="22"/>
          <w:szCs w:val="22"/>
        </w:rPr>
        <w:t xml:space="preserve"> – für Polizei, Feuerwehr und Rettungsdienst.</w:t>
      </w:r>
    </w:p>
    <w:p>
      <w:pPr>
        <w:pStyle w:val="ListParagraph"/>
        <w:numPr>
          <w:ilvl w:val="0"/>
          <w:numId w:val="2"/>
        </w:numPr>
        <w:spacing w:after="60"/>
      </w:pPr>
      <w:r>
        <w:rPr>
          <w:rFonts w:ascii="Calibri" w:cs="Calibri" w:eastAsia="Calibri" w:hAnsi="Calibri"/>
          <w:b/>
          <w:bCs/>
          <w:color w:val="222222"/>
          <w:sz w:val="22"/>
          <w:szCs w:val="22"/>
        </w:rPr>
        <w:t xml:space="preserve">Rechts abbiegen bei Rot</w:t>
      </w:r>
      <w:r>
        <w:rPr>
          <w:rFonts w:ascii="Calibri" w:cs="Calibri" w:eastAsia="Calibri" w:hAnsi="Calibri"/>
          <w:color w:val="222222"/>
          <w:sz w:val="22"/>
          <w:szCs w:val="22"/>
        </w:rPr>
        <w:t xml:space="preserve"> ist in den meisten Staaten nach vollständigem Halt erlaubt, sofern kein Schild es verbietet; in New York City grundsätzlich verboten.</w:t>
      </w:r>
    </w:p>
    <w:p>
      <w:pPr>
        <w:pStyle w:val="ListParagraph"/>
        <w:numPr>
          <w:ilvl w:val="0"/>
          <w:numId w:val="2"/>
        </w:numPr>
        <w:spacing w:after="60"/>
      </w:pPr>
      <w:r>
        <w:rPr>
          <w:rFonts w:ascii="Calibri" w:cs="Calibri" w:eastAsia="Calibri" w:hAnsi="Calibri"/>
          <w:b/>
          <w:bCs/>
          <w:color w:val="222222"/>
          <w:sz w:val="22"/>
          <w:szCs w:val="22"/>
        </w:rPr>
        <w:t xml:space="preserve">Schulbus mit ausgeklapptem Stoppschild:</w:t>
      </w:r>
      <w:r>
        <w:rPr>
          <w:rFonts w:ascii="Calibri" w:cs="Calibri" w:eastAsia="Calibri" w:hAnsi="Calibri"/>
          <w:color w:val="222222"/>
          <w:sz w:val="22"/>
          <w:szCs w:val="22"/>
        </w:rPr>
        <w:t xml:space="preserve"> anhalten, in der Regel auch auf der Gegenfahrbahn.</w:t>
      </w:r>
    </w:p>
    <w:p>
      <w:pPr>
        <w:pStyle w:val="ListParagraph"/>
        <w:numPr>
          <w:ilvl w:val="0"/>
          <w:numId w:val="2"/>
        </w:numPr>
        <w:spacing w:after="60"/>
      </w:pPr>
      <w:r>
        <w:rPr>
          <w:rFonts w:ascii="Calibri" w:cs="Calibri" w:eastAsia="Calibri" w:hAnsi="Calibri"/>
          <w:b/>
          <w:bCs/>
          <w:color w:val="222222"/>
          <w:sz w:val="22"/>
          <w:szCs w:val="22"/>
        </w:rPr>
        <w:t xml:space="preserve">Vier-Wege-Stopp:</w:t>
      </w:r>
      <w:r>
        <w:rPr>
          <w:rFonts w:ascii="Calibri" w:cs="Calibri" w:eastAsia="Calibri" w:hAnsi="Calibri"/>
          <w:color w:val="222222"/>
          <w:sz w:val="22"/>
          <w:szCs w:val="22"/>
        </w:rPr>
        <w:t xml:space="preserve"> Wer zuerst hält, fährt zuerst.</w:t>
      </w:r>
    </w:p>
    <w:p>
      <w:pPr>
        <w:pStyle w:val="ListParagraph"/>
        <w:numPr>
          <w:ilvl w:val="0"/>
          <w:numId w:val="2"/>
        </w:numPr>
        <w:spacing w:after="60"/>
      </w:pPr>
      <w:r>
        <w:rPr>
          <w:rFonts w:ascii="Calibri" w:cs="Calibri" w:eastAsia="Calibri" w:hAnsi="Calibri"/>
          <w:b/>
          <w:bCs/>
          <w:color w:val="222222"/>
          <w:sz w:val="22"/>
          <w:szCs w:val="22"/>
        </w:rPr>
        <w:t xml:space="preserve">Polizeikontrolle:</w:t>
      </w:r>
      <w:r>
        <w:rPr>
          <w:rFonts w:ascii="Calibri" w:cs="Calibri" w:eastAsia="Calibri" w:hAnsi="Calibri"/>
          <w:color w:val="222222"/>
          <w:sz w:val="22"/>
          <w:szCs w:val="22"/>
        </w:rPr>
        <w:t xml:space="preserve"> im Auto sitzen bleiben, Hände am Lenkrad, Anweisungen abwarten.</w:t>
      </w:r>
    </w:p>
    <w:p>
      <w:pPr>
        <w:pStyle w:val="ListParagraph"/>
        <w:numPr>
          <w:ilvl w:val="0"/>
          <w:numId w:val="2"/>
        </w:numPr>
        <w:spacing w:after="60"/>
      </w:pPr>
      <w:r>
        <w:rPr>
          <w:rFonts w:ascii="Calibri" w:cs="Calibri" w:eastAsia="Calibri" w:hAnsi="Calibri"/>
          <w:b/>
          <w:bCs/>
          <w:color w:val="222222"/>
          <w:sz w:val="22"/>
          <w:szCs w:val="22"/>
        </w:rPr>
        <w:t xml:space="preserve">Schusswaffen:</w:t>
      </w:r>
      <w:r>
        <w:rPr>
          <w:rFonts w:ascii="Calibri" w:cs="Calibri" w:eastAsia="Calibri" w:hAnsi="Calibri"/>
          <w:color w:val="222222"/>
          <w:sz w:val="22"/>
          <w:szCs w:val="22"/>
        </w:rPr>
        <w:t xml:space="preserve"> In vielen Haushalten gibt es Waffen. Eltern fragen vor Übernachtungen ihrer Kinder oft offen, ob Waffen sicher verschlossen sind – das ist üblich und kein Affront.</w:t>
      </w:r>
    </w:p>
    <w:p>
      <w:pPr>
        <w:pStyle w:val="Heading2"/>
        <w:keepNext/>
        <w:spacing w:after="120" w:before="280"/>
      </w:pPr>
      <w:r>
        <w:rPr>
          <w:rFonts w:ascii="Calibri" w:cs="Calibri" w:eastAsia="Calibri" w:hAnsi="Calibri"/>
          <w:b/>
          <w:bCs/>
          <w:color w:val="0F5C6B"/>
          <w:sz w:val="26"/>
          <w:szCs w:val="26"/>
        </w:rPr>
        <w:t xml:space="preserve">Sätze, die Türen öffnen</w:t>
      </w:r>
    </w:p>
    <w:p>
      <w:pPr>
        <w:spacing w:after="160" w:before="0" w:line="276"/>
      </w:pPr>
      <w:r>
        <w:rPr>
          <w:rFonts w:ascii="Calibri" w:cs="Calibri" w:eastAsia="Calibri" w:hAnsi="Calibri"/>
          <w:color w:val="222222"/>
          <w:sz w:val="22"/>
          <w:szCs w:val="22"/>
        </w:rPr>
        <w:t xml:space="preserve">Fertig auf Englisch lernen, bevor Sie sie brauchen: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3806"/>
      </w:tblGrid>
      <w:tr>
        <w:trPr>
          <w:tblHeader/>
          <w:cantSplit/>
        </w:trPr>
        <w:tc>
          <w:tcPr>
            <w:tcW w:type="dxa" w:w="26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Situation</w:t>
            </w:r>
          </w:p>
        </w:tc>
        <w:tc>
          <w:tcPr>
            <w:tcW w:type="dxa" w:w="4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Satz</w:t>
            </w:r>
          </w:p>
        </w:tc>
        <w:tc>
          <w:tcPr>
            <w:tcW w:type="dxa" w:w="38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Wozu</w:t>
            </w:r>
          </w:p>
        </w:tc>
      </w:tr>
      <w:tr>
        <w:trPr>
          <w:cantSplit/>
        </w:trPr>
        <w:tc>
          <w:tcPr>
            <w:tcW w:type="dxa" w:w="2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Neue Nachbarn</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„Hi, we just moved in next door – I’m … – let us know if we’re ever too loud.“</w:t>
            </w:r>
          </w:p>
        </w:tc>
        <w:tc>
          <w:tcPr>
            <w:tcW w:type="dxa" w:w="3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Erster Kontakt ohne Verpflichtung; Lärm ist der häufigste Konfliktgrund</w:t>
            </w:r>
          </w:p>
        </w:tc>
      </w:tr>
      <w:tr>
        <w:trPr>
          <w:cantSplit/>
        </w:trPr>
        <w:tc>
          <w:tcPr>
            <w:tcW w:type="dxa" w:w="2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Kontakt vertiefen</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„We’re grilling on Saturday around five – would you like to stop by?“</w:t>
            </w:r>
          </w:p>
        </w:tc>
        <w:tc>
          <w:tcPr>
            <w:tcW w:type="dxa" w:w="3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Konkreter Termin statt „sometime“</w:t>
            </w:r>
          </w:p>
        </w:tc>
      </w:tr>
      <w:tr>
        <w:trPr>
          <w:cantSplit/>
        </w:trPr>
        <w:tc>
          <w:tcPr>
            <w:tcW w:type="dxa" w:w="2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Arztpraxis</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„Are you in-network with [Versicherung]? What would this visit cost me?“</w:t>
            </w:r>
          </w:p>
        </w:tc>
        <w:tc>
          <w:tcPr>
            <w:tcW w:type="dxa" w:w="3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Kosten vorher klären (Kapitel 9)</w:t>
            </w:r>
          </w:p>
        </w:tc>
      </w:tr>
      <w:tr>
        <w:trPr>
          <w:cantSplit/>
        </w:trPr>
        <w:tc>
          <w:tcPr>
            <w:tcW w:type="dxa" w:w="2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Arbeit, Kritik</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„I see what you mean. Have we considered doing it this way?“</w:t>
            </w:r>
          </w:p>
        </w:tc>
        <w:tc>
          <w:tcPr>
            <w:tcW w:type="dxa" w:w="3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Widerspruch ohne Schroffheit</w:t>
            </w:r>
          </w:p>
        </w:tc>
      </w:tr>
      <w:tr>
        <w:trPr>
          <w:cantSplit/>
        </w:trPr>
        <w:tc>
          <w:tcPr>
            <w:tcW w:type="dxa" w:w="2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Arbeit, nicht verstanden</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„Just to make sure I got that right – you’d like …?“</w:t>
            </w:r>
          </w:p>
        </w:tc>
        <w:tc>
          <w:tcPr>
            <w:tcW w:type="dxa" w:w="3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Missverständnisse früh abfangen</w:t>
            </w:r>
          </w:p>
        </w:tc>
      </w:tr>
      <w:tr>
        <w:trPr>
          <w:cantSplit/>
        </w:trPr>
        <w:tc>
          <w:tcPr>
            <w:tcW w:type="dxa" w:w="2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Schule</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„How is my child doing socially, not just academically?“</w:t>
            </w:r>
          </w:p>
        </w:tc>
        <w:tc>
          <w:tcPr>
            <w:tcW w:type="dxa" w:w="3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Lehrkräfte sprechen Probleme oft nur auf Nachfrage an</w:t>
            </w:r>
          </w:p>
        </w:tc>
      </w:tr>
      <w:tr>
        <w:trPr>
          <w:cantSplit/>
        </w:trPr>
        <w:tc>
          <w:tcPr>
            <w:tcW w:type="dxa" w:w="2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Behörde, Telefon</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„Could you please give me a reference number for this call?“</w:t>
            </w:r>
          </w:p>
        </w:tc>
        <w:tc>
          <w:tcPr>
            <w:tcW w:type="dxa" w:w="3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Nachweis bei späteren Rückfragen</w:t>
            </w:r>
          </w:p>
        </w:tc>
      </w:tr>
      <w:tr>
        <w:trPr>
          <w:cantSplit/>
        </w:trPr>
        <w:tc>
          <w:tcPr>
            <w:tcW w:type="dxa" w:w="26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Service-Problem</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„I’d appreciate your help with this. What are my options?“</w:t>
            </w:r>
          </w:p>
        </w:tc>
        <w:tc>
          <w:tcPr>
            <w:tcW w:type="dxa" w:w="3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Freundlich, aber bestimmt; öffnet oft Kulanz</w:t>
            </w:r>
          </w:p>
        </w:tc>
      </w:tr>
      <w:tr>
        <w:trPr>
          <w:cantSplit/>
        </w:trPr>
        <w:tc>
          <w:tcPr>
            <w:tcW w:type="dxa" w:w="26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Hilfe annehmen</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„That’s so kind of you – thank you!“</w:t>
            </w:r>
          </w:p>
        </w:tc>
        <w:tc>
          <w:tcPr>
            <w:tcW w:type="dxa" w:w="3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Angebote anzunehmen schafft Bindung</w:t>
            </w:r>
          </w:p>
        </w:tc>
      </w:tr>
    </w:tbl>
    <w:p>
      <w:pPr>
        <w:spacing w:after="200"/>
      </w:pPr>
    </w:p>
    <w:p>
      <w:pPr>
        <w:pStyle w:val="Heading2"/>
        <w:keepNext/>
        <w:spacing w:after="120" w:before="280"/>
      </w:pPr>
      <w:r>
        <w:rPr>
          <w:rFonts w:ascii="Calibri" w:cs="Calibri" w:eastAsia="Calibri" w:hAnsi="Calibri"/>
          <w:b/>
          <w:bCs/>
          <w:color w:val="0F5C6B"/>
          <w:sz w:val="26"/>
          <w:szCs w:val="26"/>
        </w:rPr>
        <w:t xml:space="preserve">Kleine Anker, die Isolation verhindern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 fester Wochentermin außer Haus für jedes Familienmitglied innerhalb der ersten 30 Tage (Sport, Chor, Kurs, Ehrenamt).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Eine Ansprechperson pro Bereich: Arbeit, Schule, Nachbarschaft. Telefonnummern austauschen.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Regelmäßiger Kontakt nach Deutschland zu festen Zeiten, aber nicht täglich stundenlang – sonst wächst nichts Neues.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Öffentliche Bibliothek: Veranstaltungen, Sprachcafés, Kindergruppen.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Deutsch-amerikanische Vereine oder Stammtische – als Brücke, nicht als einziger Kreis.</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Selbst einladen: Ein einfaches Abendessen bei Ihnen öffnet mehr Türen als zehn Einladungen, auf die Sie warten.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1"/>
        <w:keepNext/>
        <w:pBdr>
          <w:bottom w:val="single" w:color="C4A35A" w:sz="12" w:space="4"/>
        </w:pBdr>
        <w:spacing w:after="160" w:before="360"/>
      </w:pPr>
      <w:bookmarkStart w:id="15" w:name="k15"/>
      <w:r>
        <w:rPr>
          <w:rFonts w:ascii="Calibri" w:cs="Calibri" w:eastAsia="Calibri" w:hAnsi="Calibri"/>
          <w:b/>
          <w:bCs/>
          <w:color w:val="1B365D"/>
          <w:sz w:val="32"/>
          <w:szCs w:val="32"/>
        </w:rPr>
        <w:t xml:space="preserve">15. Deutschland sauber schließen</w:t>
      </w:r>
      <w:bookmarkEnd w:id="15"/>
    </w:p>
    <w:p>
      <w:pPr>
        <w:spacing w:after="160" w:before="0" w:line="276"/>
      </w:pPr>
      <w:r>
        <w:rPr>
          <w:rFonts w:ascii="Calibri" w:cs="Calibri" w:eastAsia="Calibri" w:hAnsi="Calibri"/>
          <w:color w:val="222222"/>
          <w:sz w:val="22"/>
          <w:szCs w:val="22"/>
        </w:rPr>
        <w:t xml:space="preserve">Ein sauberer Abschluss in Deutschland verhindert Mahnungen, Steuerprobleme und verlorene Ansprüche – und macht eine Rückkehr deutlich einfacher. Arbeiten Sie die Liste in den letzten drei Monaten ab (Zeitpunkte in Kapitel 4).</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F8E8E4"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Regel: Nicht alles kündigen</w:t>
            </w:r>
          </w:p>
          <w:p>
            <w:pPr>
              <w:spacing w:after="0"/>
            </w:pPr>
            <w:r>
              <w:rPr>
                <w:rFonts w:ascii="Calibri" w:cs="Calibri" w:eastAsia="Calibri" w:hAnsi="Calibri"/>
                <w:color w:val="222222"/>
                <w:sz w:val="21"/>
                <w:szCs w:val="21"/>
              </w:rPr>
              <w:t xml:space="preserve">Prüfen Sie vor jeder Kündigung, ob der Vertrag für eine Rückkehr, für Steuern, für Ihre Kreditwürdigkeit oder als Nachweis weiterlaufen sollte. Typische Kandidaten zum Behalten: ein deutsches Girokonto mit Online-Banking, eine Kreditkarte, eine Mobilfunknummer für TAN-Codes, die Anwartschaft einer privaten Krankenversicherung, das ELSTER-Konto, Mitgliedschaften mit langer Wartezeit. Ein gekündigtes Konto bei einer Bank, die keine US-Kunden mehr aufnimmt, bekommen Sie nicht zurück.</w:t>
            </w:r>
          </w:p>
        </w:tc>
      </w:tr>
    </w:tbl>
    <w:p>
      <w:pPr>
        <w:spacing w:after="200"/>
      </w:pPr>
    </w:p>
    <w:p>
      <w:pPr>
        <w:pStyle w:val="Heading2"/>
        <w:keepNext/>
        <w:spacing w:after="120" w:before="280"/>
      </w:pPr>
      <w:r>
        <w:rPr>
          <w:rFonts w:ascii="Calibri" w:cs="Calibri" w:eastAsia="Calibri" w:hAnsi="Calibri"/>
          <w:b/>
          <w:bCs/>
          <w:color w:val="0F5C6B"/>
          <w:sz w:val="26"/>
          <w:szCs w:val="26"/>
        </w:rPr>
        <w:t xml:space="preserve">Abmeldung und Ausweise</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Abmeldung beim Bürgeramt frühestens eine Woche vor und spätestens zwei Wochen nach dem Auszug. Mehrere Kopien der Abmeldebestätigung anfertigen; Banken, Versicherer und Krankenkasse verlangen sie.</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Gültigkeit von Reisepass und Personalausweis prüfen. Nach dem Wegzug stellen die deutschen Auslandsvertretungen in den USA Pässe aus, mit Terminvorlauf.</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Wahlrecht aus dem Ausland: Für Bundestagswahlen müssen sich Auslandsdeutsche vor jeder Wahl auf Antrag ins Wählerverzeichnis eintragen lassen.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Krankenversicherung</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Gesetzliche Krankenkasse: Wegzug mit Datum melden, Abmeldebestätigung einreichen. Bei Entsendung klären, ob der Schutz weiterläuft.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Private Krankenversicherung: Anwartschaftsversicherung abschließen oder bewusst darauf verzichten; Pflegeversicherung mitbedenken.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Lückenlose Deckung ab dem Abflugtag sicherstellen (Kapitel 9).</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bl>
    <w:p>
      <w:pPr>
        <w:spacing w:after="200"/>
      </w:pPr>
    </w:p>
    <w:p>
      <w:pPr>
        <w:pStyle w:val="Heading2"/>
        <w:keepNext/>
        <w:spacing w:after="120" w:before="280"/>
      </w:pPr>
      <w:r>
        <w:rPr>
          <w:rFonts w:ascii="Calibri" w:cs="Calibri" w:eastAsia="Calibri" w:hAnsi="Calibri"/>
          <w:b/>
          <w:bCs/>
          <w:color w:val="0F5C6B"/>
          <w:sz w:val="26"/>
          <w:szCs w:val="26"/>
        </w:rPr>
        <w:t xml:space="preserve">Bank, Depot, Karten, Lastschriften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Bank über den neuen Wohnsitz informieren. Steuerliche Ansässigkeit ändert sich; ein Freistellungsauftrag gilt für nicht unbeschränkt Steuerpflichtige nicht mehr.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Schriftlich fragen, ob die Bank Konten und Depots von Kunden mit US-Wohnsitz weiterführt. Manche Banken schränken Wertpapiergeschäfte ein oder kündigen.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Depot vor dem Wegzug mit dem Steuerberater durchgehen: Wegzugsbesteuerung, US-Behandlung europäischer Fonds (PFIC, Kapitel 10).</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Lastschriften und Daueraufträge der letzten 13 Monate anhand der Kontoauszüge auflisten; jede einzelne kündigen oder bewusst weiterlaufen lassen.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TAN-Verfahren und Zwei-Faktor-Codes auf ein Gerät bzw. eine Nummer umstellen, die in den USA funktioniert.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Eine Kreditkarte behalten, die auch im Ausland zuverlässig funktioniert und mit einer bleibenden deutschen Adresse oder US-Adresse geführt werden darf.</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Adresse und Nachsendeauftrag</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Nachsendeauftrag bei der Deutschen Post einrichten (für Briefe auch ins Ausland möglich; Bedingungen und Laufzeit vorab prüfen) oder eine feste Zustelladresse bei Familie bzw. einem Postscan-Dienst.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Adressänderung an Finanzamt, Rentenversicherung, Krankenkasse, Versicherungen, Banken, Arbeitgeber (für Lohnsteuerbescheinigung) melden.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Liste aller Stellen anlegen, die Ihre deutsche Adresse kennen – für eine spätere Rückkehr nützlich.</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Vollmachten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Bankvollmacht für eine Vertrauensperson in Deutschland, bei der Bank auf deren Formular hinterlegen.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Vorsorgevollmacht und Patientenverfügung aktualisieren; bei Immobilien oder Gesellschaftsanteilen eine notarielle Vollmacht.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Postvollmacht und, falls das Finanzamt es verlangt, einen Empfangsbevollmächtigten im Inland benennen (§ 123 Abgabenordnung).</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bl>
    <w:p>
      <w:pPr>
        <w:spacing w:after="200"/>
      </w:pPr>
    </w:p>
    <w:p>
      <w:pPr>
        <w:pStyle w:val="Heading2"/>
        <w:keepNext/>
        <w:spacing w:after="120" w:before="280"/>
      </w:pPr>
      <w:r>
        <w:rPr>
          <w:rFonts w:ascii="Calibri" w:cs="Calibri" w:eastAsia="Calibri" w:hAnsi="Calibri"/>
          <w:b/>
          <w:bCs/>
          <w:color w:val="0F5C6B"/>
          <w:sz w:val="26"/>
          <w:szCs w:val="26"/>
        </w:rPr>
        <w:t xml:space="preserve">Miete, Versicherungen, Mobilfunk, Strom, Internet</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Mietvertrag mit drei Monaten Frist kündigen (gesetzliche Frist für Mieter, wenn nichts anderes vereinbart ist); Übergabeprotokoll mit Zählerständen und Fotos.</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Versicherungen einzeln prüfen: Hausrat und Wohngebäude enden mit dem Auszug bzw. Verkauf; Haftpflicht, Unfall und Rechtsschutz decken das Ausland oft nur befristet. Bedingungen lesen, dann kündigen oder anpassen.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Festnetz und Internet: Wird die Leistung am neuen Wohnsitz nicht angeboten, können Sie mit einem Monat Frist kündigen (§ 60 Abs. 2 Telekommunikationsgesetz). Mobilfunk: Vertrag prüfen; die Nummer ggf. in einen günstigen Tarif oder Prepaid übertragen.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Strom und Gas zum Auszugsdatum kündigen, Zählerstand fotografieren, Schlussrechnung auf ein bleibendes Konto.</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Rundfunkbeitrag abmelden (mit Abmeldebestätigung).</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Vereine, Zeitschriften, Streaming, Fitnessstudio, Cloud-Dienste kündigen oder auf eine Zahlungsart umstellen, die bleibt.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Steuerunterlagen und Aufbewahrung</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Finanzamt über den Wegzug und die neue Anschrift informieren; Steuererklärung für das Wegzugsjahr einplanen.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Bei Beteiligungen ab 1 % an Kapitalgesellschaften oder großen Fondsbeständen: Wegzugsbesteuerung vor der Abmeldung klären (Kapitel 10).</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Unterlagen aufbewahren: Steuerbescheide und -erklärungen mindestens so lange, wie das Finanzamt noch ändern darf. Die reguläre Festsetzungsfrist beträgt vier Jahre und beginnt meist erst mit Ablauf des Jahres, in dem Sie die Erklärung abgegeben haben (bei Hinterziehung zehn Jahre). Praktisch: zehn Jahre, alles mit Bezug zu Immobilien, Beteiligungen und Rente dauerhaft.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Selbstständige und Unternehmer: Bücher und Abschlüsse zehn Jahre, Buchungsbelege acht Jahre, Geschäftsbriefe sechs Jahre (§ 147 Abgabenordnung) – auch nach dem Wegzug.</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Für die USA gilt: Unterlagen in der Regel mindestens drei Jahre nach Abgabe der Erklärung aufbewahren, in bestimmten Fällen sechs oder sieben Jahre (IRS-Empfehlung).</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Alles digitalisieren und in zwei getrennten Speichern sichern; Originale wichtiger Bescheide bei einer Vertrauensperson.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bl>
    <w:p>
      <w:pPr>
        <w:spacing w:after="200"/>
      </w:pPr>
    </w:p>
    <w:p>
      <w:pPr>
        <w:pStyle w:val="Heading2"/>
        <w:keepNext/>
        <w:spacing w:after="120" w:before="280"/>
      </w:pPr>
      <w:r>
        <w:rPr>
          <w:rFonts w:ascii="Calibri" w:cs="Calibri" w:eastAsia="Calibri" w:hAnsi="Calibri"/>
          <w:b/>
          <w:bCs/>
          <w:color w:val="0F5C6B"/>
          <w:sz w:val="26"/>
          <w:szCs w:val="26"/>
        </w:rPr>
        <w:t xml:space="preserve">Rente, Sozialversicherung, Kindergeld</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Kontenklärung bei der Deutschen Rentenversicherung beantragen, Renteninformation herunterladen, neue Adresse melden.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Freiwillige Beiträge zur deutschen Rentenversicherung aus dem Ausland prüfen, wenn Sie Lücken vermeiden wollen.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Arbeitslosenversicherung: Wer außerhalb der EU eine Beschäftigung aufnimmt, kann sich unter Voraussetzungen auf Antrag weiterversichern (§ 28a SGB III); die Antragsfrist ist kurz – bei der Agentur für Arbeit vor dem Wegzug klären.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Familienkasse über den Wegzug informieren. Der Anspruch auf deutsches Kindergeld endet in der Regel; Überzahlungen werden zurückgefordert.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Bei Entsendung: Entsendebescheinigung D/USA 101 vor dem ersten Arbeitstag in den USA vorliegen haben.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bl>
    <w:p>
      <w:pPr>
        <w:spacing w:after="200"/>
      </w:pPr>
    </w:p>
    <w:p>
      <w:pPr>
        <w:pStyle w:val="Heading2"/>
        <w:keepNext/>
        <w:spacing w:after="120" w:before="280"/>
      </w:pPr>
      <w:r>
        <w:rPr>
          <w:rFonts w:ascii="Calibri" w:cs="Calibri" w:eastAsia="Calibri" w:hAnsi="Calibri"/>
          <w:b/>
          <w:bCs/>
          <w:color w:val="0F5C6B"/>
          <w:sz w:val="26"/>
          <w:szCs w:val="26"/>
        </w:rPr>
        <w:t xml:space="preserve">Führerschein und Auto</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Deutschen Führerschein behalten und sicher aufbewahren; er bleibt für eine Rückkehr wichtig. Fragen Sie vorher, ob die US-Führerscheinbehörde ausländische Führerscheine einbehält.</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Auto verkaufen oder außer Betrieb setzen; Kfz-Versicherung erst nach Abmeldung kündigen.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Bescheinigung über schadenfreie Jahre beim Kfz-Versicherer anfordern, möglichst auf Englisch; manche US-Versicherer berücksichtigen sie.</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Schulunterlagen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Kind von der Schule abmelden, Abgangszeugnis und Klassenstufe bestätigen lassen (Kapitel 13).</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Zeugnisse, Förderpläne, Kita-Unterlagen sammeln und übersetzen lassen, wo nötig.</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bl>
    <w:p>
      <w:pPr>
        <w:spacing w:after="200"/>
      </w:pPr>
    </w:p>
    <w:p>
      <w:pPr>
        <w:pStyle w:val="Heading2"/>
        <w:keepNext/>
        <w:spacing w:after="120" w:before="280"/>
      </w:pPr>
      <w:r>
        <w:rPr>
          <w:rFonts w:ascii="Calibri" w:cs="Calibri" w:eastAsia="Calibri" w:hAnsi="Calibri"/>
          <w:b/>
          <w:bCs/>
          <w:color w:val="0F5C6B"/>
          <w:sz w:val="26"/>
          <w:szCs w:val="26"/>
        </w:rPr>
        <w:t xml:space="preserve">Patientenakten, Rezepte, Impfnachweise</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Arztbriefe, Befunde, Bildgebung (auf Datenträger), Zahnarztbefund, Medikamentenplan mit Wirkstoffnamen anfordern.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Impfpass im Original mitnehmen, Kopie in der Cloud.</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Rezepte für die Überbrückung: Vorrat für mehrere Wochen, Arztbrief auf Englisch; in den USA braucht jedes verschreibungspflichtige Medikament ein Rezept eines US-Arztes.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31" w:history="1">
              <w:r>
                <w:rPr>
                  <w:rStyle w:val="Hyperlink"/>
                  <w:rFonts w:ascii="Calibri" w:cs="Calibri" w:eastAsia="Calibri" w:hAnsi="Calibri"/>
                  <w:color w:val="0563C1"/>
                  <w:u w:val="single"/>
                  <w:sz w:val="21"/>
                  <w:szCs w:val="21"/>
                </w:rPr>
                <w:t xml:space="preserve">§ 17 Bundesmeldegesetz</w:t>
              </w:r>
            </w:hyperlink>
            <w:r>
              <w:rPr>
                <w:rFonts w:ascii="Calibri" w:cs="Calibri" w:eastAsia="Calibri" w:hAnsi="Calibri"/>
                <w:color w:val="222222"/>
                <w:sz w:val="21"/>
                <w:szCs w:val="21"/>
              </w:rPr>
              <w:t xml:space="preserve">, </w:t>
            </w:r>
            <w:hyperlink r:id="rIdL64" w:history="1">
              <w:r>
                <w:rPr>
                  <w:rStyle w:val="Hyperlink"/>
                  <w:rFonts w:ascii="Calibri" w:cs="Calibri" w:eastAsia="Calibri" w:hAnsi="Calibri"/>
                  <w:color w:val="0563C1"/>
                  <w:u w:val="single"/>
                  <w:sz w:val="21"/>
                  <w:szCs w:val="21"/>
                </w:rPr>
                <w:t xml:space="preserve">§ 169 Abgabenordnung</w:t>
              </w:r>
            </w:hyperlink>
            <w:r>
              <w:rPr>
                <w:rFonts w:ascii="Calibri" w:cs="Calibri" w:eastAsia="Calibri" w:hAnsi="Calibri"/>
                <w:color w:val="222222"/>
                <w:sz w:val="21"/>
                <w:szCs w:val="21"/>
              </w:rPr>
              <w:t xml:space="preserve">, </w:t>
            </w:r>
            <w:hyperlink r:id="rIdL65" w:history="1">
              <w:r>
                <w:rPr>
                  <w:rStyle w:val="Hyperlink"/>
                  <w:rFonts w:ascii="Calibri" w:cs="Calibri" w:eastAsia="Calibri" w:hAnsi="Calibri"/>
                  <w:color w:val="0563C1"/>
                  <w:u w:val="single"/>
                  <w:sz w:val="21"/>
                  <w:szCs w:val="21"/>
                </w:rPr>
                <w:t xml:space="preserve">§ 147 Abgabenordnung</w:t>
              </w:r>
            </w:hyperlink>
            <w:r>
              <w:rPr>
                <w:rFonts w:ascii="Calibri" w:cs="Calibri" w:eastAsia="Calibri" w:hAnsi="Calibri"/>
                <w:color w:val="222222"/>
                <w:sz w:val="21"/>
                <w:szCs w:val="21"/>
              </w:rPr>
              <w:t xml:space="preserve">, </w:t>
            </w:r>
            <w:hyperlink r:id="rIdL66" w:history="1">
              <w:r>
                <w:rPr>
                  <w:rStyle w:val="Hyperlink"/>
                  <w:rFonts w:ascii="Calibri" w:cs="Calibri" w:eastAsia="Calibri" w:hAnsi="Calibri"/>
                  <w:color w:val="0563C1"/>
                  <w:u w:val="single"/>
                  <w:sz w:val="21"/>
                  <w:szCs w:val="21"/>
                </w:rPr>
                <w:t xml:space="preserve">§ 123 Abgabenordnung</w:t>
              </w:r>
            </w:hyperlink>
            <w:r>
              <w:rPr>
                <w:rFonts w:ascii="Calibri" w:cs="Calibri" w:eastAsia="Calibri" w:hAnsi="Calibri"/>
                <w:color w:val="222222"/>
                <w:sz w:val="21"/>
                <w:szCs w:val="21"/>
              </w:rPr>
              <w:t xml:space="preserve">, </w:t>
            </w:r>
            <w:hyperlink r:id="rIdL67" w:history="1">
              <w:r>
                <w:rPr>
                  <w:rStyle w:val="Hyperlink"/>
                  <w:rFonts w:ascii="Calibri" w:cs="Calibri" w:eastAsia="Calibri" w:hAnsi="Calibri"/>
                  <w:color w:val="0563C1"/>
                  <w:u w:val="single"/>
                  <w:sz w:val="21"/>
                  <w:szCs w:val="21"/>
                </w:rPr>
                <w:t xml:space="preserve">§ 60 Telekommunikationsgesetz</w:t>
              </w:r>
            </w:hyperlink>
            <w:r>
              <w:rPr>
                <w:rFonts w:ascii="Calibri" w:cs="Calibri" w:eastAsia="Calibri" w:hAnsi="Calibri"/>
                <w:color w:val="222222"/>
                <w:sz w:val="21"/>
                <w:szCs w:val="21"/>
              </w:rPr>
              <w:t xml:space="preserve">, </w:t>
            </w:r>
            <w:hyperlink r:id="rIdL68" w:history="1">
              <w:r>
                <w:rPr>
                  <w:rStyle w:val="Hyperlink"/>
                  <w:rFonts w:ascii="Calibri" w:cs="Calibri" w:eastAsia="Calibri" w:hAnsi="Calibri"/>
                  <w:color w:val="0563C1"/>
                  <w:u w:val="single"/>
                  <w:sz w:val="21"/>
                  <w:szCs w:val="21"/>
                </w:rPr>
                <w:t xml:space="preserve">§ 28a SGB III</w:t>
              </w:r>
            </w:hyperlink>
            <w:r>
              <w:rPr>
                <w:rFonts w:ascii="Calibri" w:cs="Calibri" w:eastAsia="Calibri" w:hAnsi="Calibri"/>
                <w:color w:val="222222"/>
                <w:sz w:val="21"/>
                <w:szCs w:val="21"/>
              </w:rPr>
              <w:t xml:space="preserve">, </w:t>
            </w:r>
            <w:hyperlink r:id="rIdL20" w:history="1">
              <w:r>
                <w:rPr>
                  <w:rStyle w:val="Hyperlink"/>
                  <w:rFonts w:ascii="Calibri" w:cs="Calibri" w:eastAsia="Calibri" w:hAnsi="Calibri"/>
                  <w:color w:val="0563C1"/>
                  <w:u w:val="single"/>
                  <w:sz w:val="21"/>
                  <w:szCs w:val="21"/>
                </w:rPr>
                <w:t xml:space="preserve">Familienkasse – Kindergeld und Ausland</w:t>
              </w:r>
            </w:hyperlink>
            <w:r>
              <w:rPr>
                <w:rFonts w:ascii="Calibri" w:cs="Calibri" w:eastAsia="Calibri" w:hAnsi="Calibri"/>
                <w:color w:val="222222"/>
                <w:sz w:val="21"/>
                <w:szCs w:val="21"/>
              </w:rPr>
              <w:t xml:space="preserve">, </w:t>
            </w:r>
            <w:hyperlink r:id="rIdL69" w:history="1">
              <w:r>
                <w:rPr>
                  <w:rStyle w:val="Hyperlink"/>
                  <w:rFonts w:ascii="Calibri" w:cs="Calibri" w:eastAsia="Calibri" w:hAnsi="Calibri"/>
                  <w:color w:val="0563C1"/>
                  <w:u w:val="single"/>
                  <w:sz w:val="21"/>
                  <w:szCs w:val="21"/>
                </w:rPr>
                <w:t xml:space="preserve">Deutsche Rentenversicherung</w:t>
              </w:r>
            </w:hyperlink>
            <w:r>
              <w:rPr>
                <w:rFonts w:ascii="Calibri" w:cs="Calibri" w:eastAsia="Calibri" w:hAnsi="Calibri"/>
                <w:color w:val="222222"/>
                <w:sz w:val="21"/>
                <w:szCs w:val="21"/>
              </w:rPr>
              <w:t xml:space="preserve">, </w:t>
            </w:r>
            <w:hyperlink r:id="rIdL70" w:history="1">
              <w:r>
                <w:rPr>
                  <w:rStyle w:val="Hyperlink"/>
                  <w:rFonts w:ascii="Calibri" w:cs="Calibri" w:eastAsia="Calibri" w:hAnsi="Calibri"/>
                  <w:color w:val="0563C1"/>
                  <w:u w:val="single"/>
                  <w:sz w:val="21"/>
                  <w:szCs w:val="21"/>
                </w:rPr>
                <w:t xml:space="preserve">IRS – Aufbewahrungsfristen</w:t>
              </w:r>
            </w:hyperlink>
            <w:r>
              <w:rPr>
                <w:rFonts w:ascii="Calibri" w:cs="Calibri" w:eastAsia="Calibri" w:hAnsi="Calibri"/>
                <w:color w:val="222222"/>
                <w:sz w:val="21"/>
                <w:szCs w:val="21"/>
              </w:rPr>
              <w:t xml:space="preserve">, </w:t>
            </w:r>
            <w:hyperlink r:id="rIdL71" w:history="1">
              <w:r>
                <w:rPr>
                  <w:rStyle w:val="Hyperlink"/>
                  <w:rFonts w:ascii="Calibri" w:cs="Calibri" w:eastAsia="Calibri" w:hAnsi="Calibri"/>
                  <w:color w:val="0563C1"/>
                  <w:u w:val="single"/>
                  <w:sz w:val="21"/>
                  <w:szCs w:val="21"/>
                </w:rPr>
                <w:t xml:space="preserve">Rundfunkbeitrag</w:t>
              </w:r>
            </w:hyperlink>
            <w:r>
              <w:rPr>
                <w:rFonts w:ascii="Calibri" w:cs="Calibri" w:eastAsia="Calibri" w:hAnsi="Calibri"/>
                <w:color w:val="222222"/>
                <w:sz w:val="21"/>
                <w:szCs w:val="21"/>
              </w:rPr>
              <w:t xml:space="preserve">.</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p>
      <w:pPr>
        <w:pStyle w:val="Heading1"/>
        <w:keepNext/>
        <w:pBdr>
          <w:bottom w:val="single" w:color="C4A35A" w:sz="12" w:space="4"/>
        </w:pBdr>
        <w:spacing w:after="160" w:before="360"/>
      </w:pPr>
      <w:bookmarkStart w:id="16" w:name="k16"/>
      <w:r>
        <w:rPr>
          <w:rFonts w:ascii="Calibri" w:cs="Calibri" w:eastAsia="Calibri" w:hAnsi="Calibri"/>
          <w:b/>
          <w:bCs/>
          <w:color w:val="1B365D"/>
          <w:sz w:val="32"/>
          <w:szCs w:val="32"/>
        </w:rPr>
        <w:t xml:space="preserve">16. Checkliste Handgepäck-Mappe</w:t>
      </w:r>
      <w:bookmarkEnd w:id="16"/>
    </w:p>
    <w:p>
      <w:pPr>
        <w:spacing w:after="160" w:before="0" w:line="276"/>
      </w:pPr>
      <w:r>
        <w:rPr>
          <w:rFonts w:ascii="Calibri" w:cs="Calibri" w:eastAsia="Calibri" w:hAnsi="Calibri"/>
          <w:color w:val="222222"/>
          <w:sz w:val="22"/>
          <w:szCs w:val="22"/>
        </w:rPr>
        <w:t xml:space="preserve">Drucken, in eine Mappe mit Gummizug, ins Handgepäck. Von jedem Dokument zusätzlich einen Scan in einen verschlüsselten Cloud-Ordner, auf den auch eine Vertrauensperson in Deutschland Zugriff hat.</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4300"/>
        <w:gridCol w:w="1500"/>
        <w:gridCol w:w="1500"/>
        <w:gridCol w:w="1500"/>
        <w:gridCol w:w="1906"/>
      </w:tblGrid>
      <w:tr>
        <w:trPr>
          <w:tblHeader/>
          <w:cantSplit/>
        </w:trPr>
        <w:tc>
          <w:tcPr>
            <w:tcW w:type="dxa" w:w="4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Dokument</w:t>
            </w:r>
          </w:p>
        </w:tc>
        <w:tc>
          <w:tcPr>
            <w:tcW w:type="dxa" w:w="15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Original dabei?</w:t>
            </w:r>
          </w:p>
        </w:tc>
        <w:tc>
          <w:tcPr>
            <w:tcW w:type="dxa" w:w="15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Kopie in Cloud?</w:t>
            </w:r>
          </w:p>
        </w:tc>
        <w:tc>
          <w:tcPr>
            <w:tcW w:type="dxa" w:w="15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Kopie bei Vertrauensperson?</w:t>
            </w:r>
          </w:p>
        </w:tc>
        <w:tc>
          <w:tcPr>
            <w:tcW w:type="dxa" w:w="19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Reisepässe mit Visum, alter Pass mit gültigem Visum</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9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Pflicht</w:t>
            </w:r>
          </w:p>
        </w:tc>
      </w:tr>
      <w:tr>
        <w:trPr>
          <w:cantSplit/>
        </w:trPr>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Petitionsbescheid (I-797), Arbeitsvertrag, Einladung</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9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Pflicht</w:t>
            </w:r>
          </w:p>
        </w:tc>
      </w:tr>
      <w:tr>
        <w:trPr>
          <w:cantSplit/>
        </w:trPr>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Geburts-, Heirats-, Scheidungsurkunden, Sorgerechtsnachweise</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9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Pflicht</w:t>
            </w:r>
          </w:p>
        </w:tc>
      </w:tr>
      <w:tr>
        <w:trPr>
          <w:cantSplit/>
        </w:trPr>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Abmeldebestätigung</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9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Dringend</w:t>
            </w:r>
          </w:p>
        </w:tc>
      </w:tr>
      <w:tr>
        <w:trPr>
          <w:cantSplit/>
        </w:trPr>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Zeugnisse, Diplome, Zeugnisbewertung, Übersetzungen</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9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Dringend</w:t>
            </w:r>
          </w:p>
        </w:tc>
      </w:tr>
      <w:tr>
        <w:trPr>
          <w:cantSplit/>
        </w:trPr>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Impfpass, Arztbriefe, Medikamentenplan, Rezepte</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9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Dringend</w:t>
            </w:r>
          </w:p>
        </w:tc>
      </w:tr>
      <w:tr>
        <w:trPr>
          <w:cantSplit/>
        </w:trPr>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Versicherungsnachweise (Brückenversicherung, US-Tarif)</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9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Dringend</w:t>
            </w:r>
          </w:p>
        </w:tc>
      </w:tr>
      <w:tr>
        <w:trPr>
          <w:cantSplit/>
        </w:trPr>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Steuer-ID, letzte Steuerbescheide, Bank- und Vollmachtsunterlagen</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9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Dringend</w:t>
            </w:r>
          </w:p>
        </w:tc>
      </w:tr>
      <w:tr>
        <w:trPr>
          <w:cantSplit/>
        </w:trPr>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Schulakten der Kinder</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9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Dringend</w:t>
            </w:r>
          </w:p>
        </w:tc>
      </w:tr>
      <w:tr>
        <w:trPr>
          <w:cantSplit/>
        </w:trPr>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Führerschein, internationaler Führerschein, Bescheinigung schadenfreie Jahre</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9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Dringend</w:t>
            </w:r>
          </w:p>
        </w:tc>
      </w:tr>
      <w:tr>
        <w:trPr>
          <w:cantSplit/>
        </w:trPr>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Haustierpapiere, CDC-Formularbestätigung</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9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Optional</w:t>
            </w:r>
          </w:p>
        </w:tc>
      </w:tr>
      <w:tr>
        <w:trPr>
          <w:cantSplit/>
        </w:trPr>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Notizen: Ansprechpartner vor Ort, Adresse der Unterkunft, Transfer, Notfallnummern</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  ]</w:t>
            </w:r>
          </w:p>
        </w:tc>
        <w:tc>
          <w:tcPr>
            <w:tcW w:type="dxa" w:w="19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Dringend</w:t>
            </w:r>
          </w:p>
        </w:tc>
      </w:tr>
    </w:tbl>
    <w:p>
      <w:pPr>
        <w:spacing w:after="200"/>
      </w:pPr>
    </w:p>
    <w:p>
      <w:pPr>
        <w:pStyle w:val="Heading1"/>
        <w:keepNext/>
        <w:pBdr>
          <w:bottom w:val="single" w:color="C4A35A" w:sz="12" w:space="4"/>
        </w:pBdr>
        <w:spacing w:after="160" w:before="360"/>
      </w:pPr>
      <w:bookmarkStart w:id="17" w:name="k17"/>
      <w:r>
        <w:rPr>
          <w:rFonts w:ascii="Calibri" w:cs="Calibri" w:eastAsia="Calibri" w:hAnsi="Calibri"/>
          <w:b/>
          <w:bCs/>
          <w:color w:val="1B365D"/>
          <w:sz w:val="32"/>
          <w:szCs w:val="32"/>
        </w:rPr>
        <w:t xml:space="preserve">17. 90-Tage-Erfolg messen</w:t>
      </w:r>
      <w:bookmarkEnd w:id="17"/>
    </w:p>
    <w:p>
      <w:pPr>
        <w:spacing w:after="160" w:before="0" w:line="276"/>
      </w:pPr>
      <w:r>
        <w:rPr>
          <w:rFonts w:ascii="Calibri" w:cs="Calibri" w:eastAsia="Calibri" w:hAnsi="Calibri"/>
          <w:color w:val="222222"/>
          <w:sz w:val="22"/>
          <w:szCs w:val="22"/>
        </w:rPr>
        <w:t xml:space="preserve">Nach etwa drei Monaten ehrlich beantworten – jede erwachsene Person für sich, dann gemeinsam. Grün heißt weitermachen, Gelb heißt gezielt nachsteuern, Rot heißt: innerhalb von zwei Wochen einen Plan mit Termin festlegen. Drei oder mehr rote Felder: Rückkehrbedingung aus Kapitel 1 (Frage 6) ernsthaft prüfen.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2800"/>
        <w:gridCol w:w="2806"/>
      </w:tblGrid>
      <w:tr>
        <w:trPr>
          <w:tblHeader/>
          <w:cantSplit/>
        </w:trPr>
        <w:tc>
          <w:tcPr>
            <w:tcW w:type="dxa" w:w="2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Bereich</w:t>
            </w:r>
          </w:p>
        </w:tc>
        <w:tc>
          <w:tcPr>
            <w:tcW w:type="dxa" w:w="2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Grün</w:t>
            </w:r>
          </w:p>
        </w:tc>
        <w:tc>
          <w:tcPr>
            <w:tcW w:type="dxa" w:w="2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Gelb</w:t>
            </w:r>
          </w:p>
        </w:tc>
        <w:tc>
          <w:tcPr>
            <w:tcW w:type="dxa" w:w="28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Rot</w:t>
            </w:r>
          </w:p>
        </w:tc>
      </w:tr>
      <w:tr>
        <w:trPr>
          <w:cantSplit/>
        </w:trPr>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Status</w:t>
            </w:r>
          </w:p>
        </w:tc>
        <w:tc>
          <w:tcPr>
            <w:tcW w:type="dxa" w:w="2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I-94 korrekt, alle Fristen im Kalender, EAD bzw. Arbeitsnachweis des Partners geklärt</w:t>
            </w:r>
          </w:p>
        </w:tc>
        <w:tc>
          <w:tcPr>
            <w:tcW w:type="dxa" w:w="2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Ein offener Antrag ohne Fristproblem</w:t>
            </w:r>
          </w:p>
        </w:tc>
        <w:tc>
          <w:tcPr>
            <w:tcW w:type="dxa" w:w="2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Status unklar, Frist in weniger als 60 Tagen ohne Plan</w:t>
            </w:r>
          </w:p>
        </w:tc>
      </w:tr>
      <w:tr>
        <w:trPr>
          <w:cantSplit/>
        </w:trPr>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Arbeit</w:t>
            </w:r>
          </w:p>
        </w:tc>
        <w:tc>
          <w:tcPr>
            <w:tcW w:type="dxa" w:w="2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Probezeit ohne Warnsignale, klare Ziele mit der Führungskraft</w:t>
            </w:r>
          </w:p>
        </w:tc>
        <w:tc>
          <w:tcPr>
            <w:tcW w:type="dxa" w:w="2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Unklare Erwartungen, kein Feedback</w:t>
            </w:r>
          </w:p>
        </w:tc>
        <w:tc>
          <w:tcPr>
            <w:tcW w:type="dxa" w:w="2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Konflikte, Gerüchte über Stellenabbau, kein Plan B</w:t>
            </w:r>
          </w:p>
        </w:tc>
      </w:tr>
      <w:tr>
        <w:trPr>
          <w:cantSplit/>
        </w:trPr>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Geld</w:t>
            </w:r>
          </w:p>
        </w:tc>
        <w:tc>
          <w:tcPr>
            <w:tcW w:type="dxa" w:w="2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Reserve mindestens auf Zielniveau, Ausgaben wie geplant</w:t>
            </w:r>
          </w:p>
        </w:tc>
        <w:tc>
          <w:tcPr>
            <w:tcW w:type="dxa" w:w="2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Reserve um bis zu 20 % unter Plan</w:t>
            </w:r>
          </w:p>
        </w:tc>
        <w:tc>
          <w:tcPr>
            <w:tcW w:type="dxa" w:w="2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Reserve unter drei Monatsausgaben oder steigende Kreditkartenschulden</w:t>
            </w:r>
          </w:p>
        </w:tc>
      </w:tr>
      <w:tr>
        <w:trPr>
          <w:cantSplit/>
        </w:trPr>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Wohnen</w:t>
            </w:r>
          </w:p>
        </w:tc>
        <w:tc>
          <w:tcPr>
            <w:tcW w:type="dxa" w:w="2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Feste Wohnung, Mietvertrag verstanden, Nachbarn bekannt</w:t>
            </w:r>
          </w:p>
        </w:tc>
        <w:tc>
          <w:tcPr>
            <w:tcW w:type="dxa" w:w="2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Noch in temporärer Unterkunft, aber mit Termin</w:t>
            </w:r>
          </w:p>
        </w:tc>
        <w:tc>
          <w:tcPr>
            <w:tcW w:type="dxa" w:w="2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Keine Perspektive auf feste Wohnung</w:t>
            </w:r>
          </w:p>
        </w:tc>
      </w:tr>
      <w:tr>
        <w:trPr>
          <w:cantSplit/>
        </w:trPr>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Gesundheit</w:t>
            </w:r>
          </w:p>
        </w:tc>
        <w:tc>
          <w:tcPr>
            <w:tcW w:type="dxa" w:w="2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Versicherung aktiv, Hausarzt gewählt, Medikamente versorgt</w:t>
            </w:r>
          </w:p>
        </w:tc>
        <w:tc>
          <w:tcPr>
            <w:tcW w:type="dxa" w:w="2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Versicherung aktiv, noch kein Hausarzt</w:t>
            </w:r>
          </w:p>
        </w:tc>
        <w:tc>
          <w:tcPr>
            <w:tcW w:type="dxa" w:w="2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Lücke in der Deckung oder unversorgte Behandlung</w:t>
            </w:r>
          </w:p>
        </w:tc>
      </w:tr>
      <w:tr>
        <w:trPr>
          <w:cantSplit/>
        </w:trPr>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Kinder</w:t>
            </w:r>
          </w:p>
        </w:tc>
        <w:tc>
          <w:tcPr>
            <w:tcW w:type="dxa" w:w="2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Gehen gern zur Schule, mindestens ein Freund, Sprache wächst</w:t>
            </w:r>
          </w:p>
        </w:tc>
        <w:tc>
          <w:tcPr>
            <w:tcW w:type="dxa" w:w="2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Rückzug, aber Kontakt zur Lehrkraft besteht</w:t>
            </w:r>
          </w:p>
        </w:tc>
        <w:tc>
          <w:tcPr>
            <w:tcW w:type="dxa" w:w="2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Anhaltende Ablehnung, Schlafprobleme, Leistungseinbruch ohne Hilfe</w:t>
            </w:r>
          </w:p>
        </w:tc>
      </w:tr>
      <w:tr>
        <w:trPr>
          <w:cantSplit/>
        </w:trPr>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Partner</w:t>
            </w:r>
          </w:p>
        </w:tc>
        <w:tc>
          <w:tcPr>
            <w:tcW w:type="dxa" w:w="2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Eigener Wochenrhythmus, eigene Kontakte, Ziel für Monat 6</w:t>
            </w:r>
          </w:p>
        </w:tc>
        <w:tc>
          <w:tcPr>
            <w:tcW w:type="dxa" w:w="2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Tage ohne Struktur, Ziel unklar</w:t>
            </w:r>
          </w:p>
        </w:tc>
        <w:tc>
          <w:tcPr>
            <w:tcW w:type="dxa" w:w="2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Isolation, Konflikte, Wunsch nach Rückkehr wird nicht besprochen</w:t>
            </w:r>
          </w:p>
        </w:tc>
      </w:tr>
      <w:tr>
        <w:trPr>
          <w:cantSplit/>
        </w:trPr>
        <w:tc>
          <w:tcPr>
            <w:tcW w:type="dxa" w:w="2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Soziales</w:t>
            </w:r>
          </w:p>
        </w:tc>
        <w:tc>
          <w:tcPr>
            <w:tcW w:type="dxa" w:w="2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Mindestens zwei Kontakte, die man anrufen könnte</w:t>
            </w:r>
          </w:p>
        </w:tc>
        <w:tc>
          <w:tcPr>
            <w:tcW w:type="dxa" w:w="2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Bekannte, aber niemand für Notfälle</w:t>
            </w:r>
          </w:p>
        </w:tc>
        <w:tc>
          <w:tcPr>
            <w:tcW w:type="dxa" w:w="28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Niemand vor Ort</w:t>
            </w:r>
          </w:p>
        </w:tc>
      </w:tr>
      <w:tr>
        <w:trPr>
          <w:cantSplit/>
        </w:trPr>
        <w:tc>
          <w:tcPr>
            <w:tcW w:type="dxa" w:w="2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Deutschland</w:t>
            </w:r>
          </w:p>
        </w:tc>
        <w:tc>
          <w:tcPr>
            <w:tcW w:type="dxa" w:w="2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Alle Verträge geschlossen oder bewusst behalten, Post läuft</w:t>
            </w:r>
          </w:p>
        </w:tc>
        <w:tc>
          <w:tcPr>
            <w:tcW w:type="dxa" w:w="2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Einzelne Mahnungen oder offene Punkte</w:t>
            </w:r>
          </w:p>
        </w:tc>
        <w:tc>
          <w:tcPr>
            <w:tcW w:type="dxa" w:w="28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Unbeantwortete Behördenschreiben, Kindergeld- oder Steuerrückforderungen</w:t>
            </w:r>
          </w:p>
        </w:tc>
      </w:tr>
    </w:tbl>
    <w:p>
      <w:pPr>
        <w:spacing w:after="200"/>
      </w:pPr>
    </w:p>
    <w:p>
      <w:pPr>
        <w:pStyle w:val="Heading1"/>
        <w:keepNext/>
        <w:pBdr>
          <w:bottom w:val="single" w:color="C4A35A" w:sz="12" w:space="4"/>
        </w:pBdr>
        <w:spacing w:after="160" w:before="360"/>
      </w:pPr>
      <w:bookmarkStart w:id="18" w:name="k18"/>
      <w:r>
        <w:rPr>
          <w:rFonts w:ascii="Calibri" w:cs="Calibri" w:eastAsia="Calibri" w:hAnsi="Calibri"/>
          <w:b/>
          <w:bCs/>
          <w:color w:val="1B365D"/>
          <w:sz w:val="32"/>
          <w:szCs w:val="32"/>
        </w:rPr>
        <w:t xml:space="preserve">18. Eigene Regeln, die Umzüge retten</w:t>
      </w:r>
      <w:bookmarkEnd w:id="18"/>
    </w:p>
    <w:p>
      <w:pPr>
        <w:spacing w:after="160" w:before="0" w:line="276"/>
      </w:pPr>
      <w:r>
        <w:rPr>
          <w:rFonts w:ascii="Calibri" w:cs="Calibri" w:eastAsia="Calibri" w:hAnsi="Calibri"/>
          <w:color w:val="222222"/>
          <w:sz w:val="22"/>
          <w:szCs w:val="22"/>
        </w:rPr>
        <w:t xml:space="preserve">Die folgenden Punkte stehen in keinem Amtsformular. Sie entscheiden trotzdem, ob der Umzug trägt oder nach neun Monaten in einem teuren Rückflug endet.</w:t>
      </w:r>
    </w:p>
    <w:p>
      <w:pPr>
        <w:pStyle w:val="Heading2"/>
        <w:keepNext/>
        <w:spacing w:after="120" w:before="280"/>
      </w:pPr>
      <w:r>
        <w:rPr>
          <w:rFonts w:ascii="Calibri" w:cs="Calibri" w:eastAsia="Calibri" w:hAnsi="Calibri"/>
          <w:b/>
          <w:bCs/>
          <w:color w:val="0F5C6B"/>
          <w:sz w:val="26"/>
          <w:szCs w:val="26"/>
        </w:rPr>
        <w:t xml:space="preserve">Die 72-Stunden-Regel</w:t>
      </w:r>
    </w:p>
    <w:p>
      <w:pPr>
        <w:spacing w:after="160" w:before="0" w:line="276"/>
      </w:pPr>
      <w:r>
        <w:rPr>
          <w:rFonts w:ascii="Calibri" w:cs="Calibri" w:eastAsia="Calibri" w:hAnsi="Calibri"/>
          <w:color w:val="222222"/>
          <w:sz w:val="22"/>
          <w:szCs w:val="22"/>
        </w:rPr>
        <w:t xml:space="preserve">Die ersten drei Tage sind kein Sightseeing. Ziel ist nur: schlafen, essen, erreichbar sein, Schlüssel funktionieren. Wer am Ankunftstag eine Wohnung besichtigt, eine Schule anmeldet und ein Auto kauft, trifft müde Fehlentscheidungen.</w:t>
      </w:r>
    </w:p>
    <w:p>
      <w:pPr>
        <w:pStyle w:val="Heading2"/>
        <w:keepNext/>
        <w:spacing w:after="120" w:before="280"/>
      </w:pPr>
      <w:r>
        <w:rPr>
          <w:rFonts w:ascii="Calibri" w:cs="Calibri" w:eastAsia="Calibri" w:hAnsi="Calibri"/>
          <w:b/>
          <w:bCs/>
          <w:color w:val="0F5C6B"/>
          <w:sz w:val="26"/>
          <w:szCs w:val="26"/>
        </w:rPr>
        <w:t xml:space="preserve">Stadt-Score statt Bauchgefühl</w:t>
      </w:r>
    </w:p>
    <w:p>
      <w:pPr>
        <w:spacing w:after="160" w:before="0" w:line="276"/>
      </w:pPr>
      <w:r>
        <w:rPr>
          <w:rFonts w:ascii="Calibri" w:cs="Calibri" w:eastAsia="Calibri" w:hAnsi="Calibri"/>
          <w:color w:val="222222"/>
          <w:sz w:val="22"/>
          <w:szCs w:val="22"/>
        </w:rPr>
        <w:t xml:space="preserve">Bevor Sie eine Stadt „lieben“, bewerten Sie sie nüchtern. Jede Kategorie bekommt 1–5 Punkte, maximal 40. Unter 28 Punkten: nicht ziehen, nur besuchen.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3200"/>
        <w:gridCol w:w="3753"/>
        <w:gridCol w:w="3753"/>
      </w:tblGrid>
      <w:tr>
        <w:trPr>
          <w:tblHeader/>
          <w:cantSplit/>
        </w:trPr>
        <w:tc>
          <w:tcPr>
            <w:tcW w:type="dxa" w:w="32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Kriterium</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1 Punkt heißt</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5 Punkte heißt</w:t>
            </w:r>
          </w:p>
        </w:tc>
      </w:tr>
      <w:tr>
        <w:trPr>
          <w:cantSplit/>
        </w:trP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Jobdichte in Ihrem Feld</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Ein Arbeitgeber in 80 km</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Mehrere realistische Arbeitgeber</w:t>
            </w:r>
          </w:p>
        </w:tc>
      </w:tr>
      <w:tr>
        <w:trPr>
          <w:cantSplit/>
        </w:trP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Wohnen + Schule</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Gute Schule nur in unbezahlbarer Lage</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Bezahlbar und tragbarer Bezirk</w:t>
            </w:r>
          </w:p>
        </w:tc>
      </w:tr>
      <w:tr>
        <w:trPr>
          <w:cantSplit/>
        </w:trP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Gesundheit</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Nächstes Krankenhaus weit, keine Netzwerkärzte</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Netzwerkärzte in 20 Minuten</w:t>
            </w:r>
          </w:p>
        </w:tc>
      </w:tr>
      <w:tr>
        <w:trPr>
          <w:cantSplit/>
        </w:trP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Alltag ohne Auto</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Unmöglich</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Alltag teilweise ohne Auto möglich</w:t>
            </w:r>
          </w:p>
        </w:tc>
      </w:tr>
      <w:tr>
        <w:trPr>
          <w:cantSplit/>
        </w:trP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Flug nach Deutschland</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Zwei Umstiege, teuer</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Direkt oder ein Umstieg, erträglich</w:t>
            </w:r>
          </w:p>
        </w:tc>
      </w:tr>
      <w:tr>
        <w:trPr>
          <w:cantSplit/>
        </w:trP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Klima / Allergien</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Gesundheitlich belastend</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Sie funktionieren dort</w:t>
            </w:r>
          </w:p>
        </w:tc>
      </w:tr>
      <w:tr>
        <w:trPr>
          <w:cantSplit/>
        </w:trP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Soziales Netz</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Niemand</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Familie oder belastbare Kontakte</w:t>
            </w:r>
          </w:p>
        </w:tc>
      </w:tr>
      <w:tr>
        <w:trPr>
          <w:cantSplit/>
        </w:trP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20"/>
                <w:szCs w:val="20"/>
              </w:rPr>
              <w:t xml:space="preserve">Visum-Passung</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Nur eine fragile Firma</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Mehrere Wege, Status zu halten</w:t>
            </w:r>
          </w:p>
        </w:tc>
      </w:tr>
    </w:tbl>
    <w:p>
      <w:pPr>
        <w:spacing w:after="200"/>
      </w:pPr>
    </w:p>
    <w:p>
      <w:pPr>
        <w:pStyle w:val="Heading2"/>
        <w:keepNext/>
        <w:spacing w:after="120" w:before="280"/>
      </w:pPr>
      <w:r>
        <w:rPr>
          <w:rFonts w:ascii="Calibri" w:cs="Calibri" w:eastAsia="Calibri" w:hAnsi="Calibri"/>
          <w:b/>
          <w:bCs/>
          <w:color w:val="0F5C6B"/>
          <w:sz w:val="26"/>
          <w:szCs w:val="26"/>
        </w:rPr>
        <w:t xml:space="preserve">Nicht im ersten Jahr kaufen</w:t>
      </w:r>
    </w:p>
    <w:p>
      <w:pPr>
        <w:spacing w:after="160" w:before="0" w:line="276"/>
      </w:pPr>
      <w:r>
        <w:rPr>
          <w:rFonts w:ascii="Calibri" w:cs="Calibri" w:eastAsia="Calibri" w:hAnsi="Calibri"/>
          <w:color w:val="222222"/>
          <w:sz w:val="22"/>
          <w:szCs w:val="22"/>
        </w:rPr>
        <w:t xml:space="preserve">Ausnahme nur, wenn der Arbeitgeber den Umzug dauerhaft angelegt hat, Sie die Gegend schon kennen und das Visum langfristig stabil ist. Im ersten Jahr lernen Sie Schulbezirke, Pendelzeit, Nachbarn und ob der Job hält. Ein Haus bindet Kapital, verlangt ohne Kreditgeschichte hohe Eigenkapitalquoten und macht den Rückweg teuer.</w:t>
      </w:r>
    </w:p>
    <w:p>
      <w:pPr>
        <w:pStyle w:val="Heading2"/>
        <w:keepNext/>
        <w:spacing w:after="120" w:before="280"/>
      </w:pPr>
      <w:r>
        <w:rPr>
          <w:rFonts w:ascii="Calibri" w:cs="Calibri" w:eastAsia="Calibri" w:hAnsi="Calibri"/>
          <w:b/>
          <w:bCs/>
          <w:color w:val="0F5C6B"/>
          <w:sz w:val="26"/>
          <w:szCs w:val="26"/>
        </w:rPr>
        <w:t xml:space="preserve">Digitale Basis, bevor das WLAN in der neuen Wohnung steht</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Deutsche Mobilfunknummer behalten oder portieren, solange Banken, Behörden und ELSTER Codes per SMS schicken.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Zwei-Faktor-Anmeldung auf eine Authenticator-App umstellen, wo möglich; Wiederherstellungscodes ausdrucken und in die Handgepäck-Mappe.</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Passwort-Manager mit Notfallzugang für den Partner.</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Telefon entsperrt (ohne Netzsperre) und eSIM-fähig; vorher prüfen, ob es die Frequenzen der US-Netze unterstützt.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Alle Dokumente gescannt, Dateinamen nach Schema „Jahr-Person-Dokument“, in zwei getrennten Speichern.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Mobiler WLAN-Router oder Datentarif mit Hotspot für die ersten Wochen.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Auto: der teuerste Anfängerfehler</w:t>
      </w:r>
    </w:p>
    <w:p>
      <w:pPr>
        <w:spacing w:after="160" w:before="0" w:line="276"/>
      </w:pPr>
      <w:r>
        <w:rPr>
          <w:rFonts w:ascii="Calibri" w:cs="Calibri" w:eastAsia="Calibri" w:hAnsi="Calibri"/>
          <w:color w:val="222222"/>
          <w:sz w:val="22"/>
          <w:szCs w:val="22"/>
        </w:rPr>
        <w:t xml:space="preserve">In den meisten Regionen brauchen Sie ein Auto. Kaufen Sie es nicht am dritten Tag beim ersten Händler am Flughafen.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Erst Versicherungsangebote einholen, dann kaufen. Ohne US-Fahrgeschichte sind Prämien hoch; fragen Sie nach Anrechnung deutscher schadenfreier Jahre.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Haftpflichtdeckung deutlich über dem gesetzlichen Minimum des Staates wählen; die Mindestsummen sind oft niedrig im Verhältnis zu US-Behandlungskosten.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Gebrauchtwagen: Fahrzeughistorie über das bundesweite Register NMVTIS abfragen und eine unabhängige Werkstatt vor dem Kauf prüfen lassen (Pre-Purchase Inspection).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Fristen der Kfz-Behörde für Zulassung, Kennzeichen und Führerscheinwechsel nach Zuzug notieren; sie unterscheiden sich je Staat.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Die ersten vier bis acht Wochen mieten oder leasen über den Arbeitgeber; Kauf erst, wenn Wohnung und Pendelweg feststehen.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p>
      <w:pPr>
        <w:pStyle w:val="Heading2"/>
        <w:keepNext/>
        <w:spacing w:after="120" w:before="280"/>
      </w:pPr>
      <w:r>
        <w:rPr>
          <w:rFonts w:ascii="Calibri" w:cs="Calibri" w:eastAsia="Calibri" w:hAnsi="Calibri"/>
          <w:b/>
          <w:bCs/>
          <w:color w:val="0F5C6B"/>
          <w:sz w:val="26"/>
          <w:szCs w:val="26"/>
        </w:rPr>
        <w:t xml:space="preserve">Rote-Team-Übung: Was, wenn es schiefgeht?</w:t>
      </w:r>
    </w:p>
    <w:p>
      <w:pPr>
        <w:spacing w:after="160" w:before="0" w:line="276"/>
      </w:pPr>
      <w:r>
        <w:rPr>
          <w:rFonts w:ascii="Calibri" w:cs="Calibri" w:eastAsia="Calibri" w:hAnsi="Calibri"/>
          <w:color w:val="222222"/>
          <w:sz w:val="22"/>
          <w:szCs w:val="22"/>
        </w:rPr>
        <w:t xml:space="preserve">Schreiben Sie für jedes Szenario eine halbe Seite: Geld, Visum, Wohnung, Rückflug, Kinder. Wer entscheidet, wer zahlt, wen rufen Sie an?</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3906"/>
      </w:tblGrid>
      <w:tr>
        <w:trPr>
          <w:tblHeader/>
          <w:cantSplit/>
        </w:trPr>
        <w:tc>
          <w:tcPr>
            <w:tcW w:type="dxa" w:w="25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Szenario</w:t>
            </w:r>
          </w:p>
        </w:tc>
        <w:tc>
          <w:tcPr>
            <w:tcW w:type="dxa" w:w="43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Erste 72 Stunden</w:t>
            </w:r>
          </w:p>
        </w:tc>
        <w:tc>
          <w:tcPr>
            <w:tcW w:type="dxa" w:w="390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19"/>
                <w:szCs w:val="19"/>
              </w:rPr>
              <w:t xml:space="preserve">Was vorher vorbereitet sein muss</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Jobverlust</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Schonfrist (bis zu 60 Tage, höchstens bis I-94-Ende) notieren, Anwalt anrufen, COBRA-Frist notieren</w:t>
            </w:r>
          </w:p>
        </w:tc>
        <w:tc>
          <w:tcPr>
            <w:tcW w:type="dxa" w:w="39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Reserve, Kontakte zu Personalvermittlern, Kündigungsklausel im Mietvertrag</w:t>
            </w:r>
          </w:p>
        </w:tc>
      </w:tr>
      <w:tr>
        <w:trPr>
          <w:cantSplit/>
        </w:trPr>
        <w:tc>
          <w:tcPr>
            <w:tcW w:type="dxa" w:w="2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Visum abgelehnt oder Petition verzögert</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Nichts kündigen, was noch nicht gekündigt ist; Ablehnungsgrund schriftlich festhalten</w:t>
            </w:r>
          </w:p>
        </w:tc>
        <w:tc>
          <w:tcPr>
            <w:tcW w:type="dxa" w:w="39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Rücktrittsrechte in Mietvertrag, Umzugsauftrag und Schulanmeldung</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Schwere Krankheit oder Unfall</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Versicherung informieren, Netzwerkklinik wählen, Vorabgenehmigungen anstoßen</w:t>
            </w:r>
          </w:p>
        </w:tc>
        <w:tc>
          <w:tcPr>
            <w:tcW w:type="dxa" w:w="39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Out-of-Pocket-Maximum in der Reserve, Vollmachten, Patientenverfügung auf Englisch</w:t>
            </w:r>
          </w:p>
        </w:tc>
      </w:tr>
      <w:tr>
        <w:trPr>
          <w:cantSplit/>
        </w:trPr>
        <w:tc>
          <w:tcPr>
            <w:tcW w:type="dxa" w:w="2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Notfall in der Familie in Deutschland</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Flug buchen, Arbeitgeber informieren, Status für die Wiedereinreise prüfen</w:t>
            </w:r>
          </w:p>
        </w:tc>
        <w:tc>
          <w:tcPr>
            <w:tcW w:type="dxa" w:w="39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Gültiges Visum im Pass, Kontakte in Deutschland, Budget für kurzfristige Flüge</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Kind kommt nicht an</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Gespräch mit Lehrkraft und Schulpsychologe, Tagesstruktur prüfen</w:t>
            </w:r>
          </w:p>
        </w:tc>
        <w:tc>
          <w:tcPr>
            <w:tcW w:type="dxa" w:w="39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Schulwechsel-Optionen, Kontakt zu anderen deutschen Familien</w:t>
            </w:r>
          </w:p>
        </w:tc>
      </w:tr>
      <w:tr>
        <w:trPr>
          <w:cantSplit/>
        </w:trPr>
        <w:tc>
          <w:tcPr>
            <w:tcW w:type="dxa" w:w="25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Trennung</w:t>
            </w:r>
          </w:p>
        </w:tc>
        <w:tc>
          <w:tcPr>
            <w:tcW w:type="dxa" w:w="43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Getrennte Konten und Zugriffe prüfen, Status des Partners klären (abgeleitetes Visum hängt am Hauptantragsteller)</w:t>
            </w:r>
          </w:p>
        </w:tc>
        <w:tc>
          <w:tcPr>
            <w:tcW w:type="dxa" w:w="390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Eigenes Konto beider Partner, Kopien aller Dokumente, rechtliche Erstberatung</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222222"/>
                <w:sz w:val="19"/>
                <w:szCs w:val="19"/>
              </w:rPr>
              <w:t xml:space="preserve">Naturkatastrophe</w:t>
            </w:r>
          </w:p>
        </w:tc>
        <w:tc>
          <w:tcPr>
            <w:tcW w:type="dxa" w:w="43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Evakuierungsanweisungen folgen, Dokumente und Medikamente mitnehmen</w:t>
            </w:r>
          </w:p>
        </w:tc>
        <w:tc>
          <w:tcPr>
            <w:tcW w:type="dxa" w:w="390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19"/>
                <w:szCs w:val="19"/>
              </w:rPr>
              <w:t xml:space="preserve">Notfallrucksack, Versicherungspolice mit Hochwasser- bzw. Sturmdeckung, Kontaktliste offline</w:t>
            </w:r>
          </w:p>
        </w:tc>
      </w:tr>
    </w:tbl>
    <w:p>
      <w:pPr>
        <w:spacing w:after="200"/>
      </w:pPr>
    </w:p>
    <w:p>
      <w:pPr>
        <w:pStyle w:val="Heading2"/>
        <w:keepNext/>
        <w:spacing w:after="120" w:before="280"/>
      </w:pPr>
      <w:r>
        <w:rPr>
          <w:rFonts w:ascii="Calibri" w:cs="Calibri" w:eastAsia="Calibri" w:hAnsi="Calibri"/>
          <w:b/>
          <w:bCs/>
          <w:color w:val="0F5C6B"/>
          <w:sz w:val="26"/>
          <w:szCs w:val="26"/>
        </w:rPr>
        <w:t xml:space="preserve">Was Sie nicht mitbringen</w:t>
      </w:r>
    </w:p>
    <w:p>
      <w:pPr>
        <w:spacing w:after="160" w:before="0" w:line="276"/>
      </w:pPr>
      <w:r>
        <w:rPr>
          <w:rFonts w:ascii="Calibri" w:cs="Calibri" w:eastAsia="Calibri" w:hAnsi="Calibri"/>
          <w:color w:val="222222"/>
          <w:sz w:val="22"/>
          <w:szCs w:val="22"/>
        </w:rPr>
        <w:t xml:space="preserve">Was nicht in den Container gehört, steht in Kapitel 6. Noch wichtiger sind die Erwartungen, die Sie zu Hause lassen:</w:t>
      </w:r>
    </w:p>
    <w:p>
      <w:pPr>
        <w:pStyle w:val="ListParagraph"/>
        <w:numPr>
          <w:ilvl w:val="0"/>
          <w:numId w:val="2"/>
        </w:numPr>
        <w:spacing w:after="60"/>
      </w:pPr>
      <w:r>
        <w:rPr>
          <w:rFonts w:ascii="Calibri" w:cs="Calibri" w:eastAsia="Calibri" w:hAnsi="Calibri"/>
          <w:color w:val="222222"/>
          <w:sz w:val="22"/>
          <w:szCs w:val="22"/>
        </w:rPr>
        <w:t xml:space="preserve">Die Annahme, dass Behörden Ihnen Fristen mitteilen. In den USA überwachen Sie Ihre Fristen selbst (I-94, EAD, Führerschein, Steuer).</w:t>
      </w:r>
    </w:p>
    <w:p>
      <w:pPr>
        <w:pStyle w:val="ListParagraph"/>
        <w:numPr>
          <w:ilvl w:val="0"/>
          <w:numId w:val="2"/>
        </w:numPr>
        <w:spacing w:after="60"/>
      </w:pPr>
      <w:r>
        <w:rPr>
          <w:rFonts w:ascii="Calibri" w:cs="Calibri" w:eastAsia="Calibri" w:hAnsi="Calibri"/>
          <w:color w:val="222222"/>
          <w:sz w:val="22"/>
          <w:szCs w:val="22"/>
        </w:rPr>
        <w:t xml:space="preserve">Die Gewohnheit, Verträge nicht zu lesen. Mietverträge, Versicherungen und Arbeitsverträge enthalten Klauseln, die in Deutschland unüblich oder unzulässig wären.</w:t>
      </w:r>
    </w:p>
    <w:p>
      <w:pPr>
        <w:pStyle w:val="ListParagraph"/>
        <w:numPr>
          <w:ilvl w:val="0"/>
          <w:numId w:val="2"/>
        </w:numPr>
        <w:spacing w:after="60"/>
      </w:pPr>
      <w:r>
        <w:rPr>
          <w:rFonts w:ascii="Calibri" w:cs="Calibri" w:eastAsia="Calibri" w:hAnsi="Calibri"/>
          <w:color w:val="222222"/>
          <w:sz w:val="22"/>
          <w:szCs w:val="22"/>
        </w:rPr>
        <w:t xml:space="preserve">Den Vergleich mit dem Urlaub. Alltag in Florida oder Kalifornien hat mit zwei Wochen Ferien dort wenig zu tun.</w:t>
      </w:r>
    </w:p>
    <w:p>
      <w:pPr>
        <w:pStyle w:val="ListParagraph"/>
        <w:numPr>
          <w:ilvl w:val="0"/>
          <w:numId w:val="2"/>
        </w:numPr>
        <w:spacing w:after="60"/>
      </w:pPr>
      <w:r>
        <w:rPr>
          <w:rFonts w:ascii="Calibri" w:cs="Calibri" w:eastAsia="Calibri" w:hAnsi="Calibri"/>
          <w:color w:val="222222"/>
          <w:sz w:val="22"/>
          <w:szCs w:val="22"/>
        </w:rPr>
        <w:t xml:space="preserve">Den Plan, „erst mal“ beim Partner mitzuarbeiten oder schwarz zu jobben. Das gefährdet den Status der ganzen Familie.</w:t>
      </w:r>
    </w:p>
    <w:p>
      <w:pPr>
        <w:pStyle w:val="Heading2"/>
        <w:keepNext/>
        <w:spacing w:after="120" w:before="280"/>
      </w:pPr>
      <w:r>
        <w:rPr>
          <w:rFonts w:ascii="Calibri" w:cs="Calibri" w:eastAsia="Calibri" w:hAnsi="Calibri"/>
          <w:b/>
          <w:bCs/>
          <w:color w:val="0F5C6B"/>
          <w:sz w:val="26"/>
          <w:szCs w:val="26"/>
        </w:rPr>
        <w:t xml:space="preserve">Arbeitgeberpaket verhandeln, falls es eines gibt</w:t>
      </w: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
        <w:gridCol w:w="8346"/>
        <w:gridCol w:w="1800"/>
      </w:tblGrid>
      <w:tr>
        <w:trPr>
          <w:tblHeader/>
          <w:cantSplit/>
        </w:trPr>
        <w:tc>
          <w:tcPr>
            <w:tcW w:type="dxa" w:w="56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w:t>
            </w:r>
          </w:p>
        </w:tc>
        <w:tc>
          <w:tcPr>
            <w:tcW w:type="dxa" w:w="8346"/>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Aufgabe</w:t>
            </w:r>
          </w:p>
        </w:tc>
        <w:tc>
          <w:tcPr>
            <w:tcW w:type="dxa" w:w="18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pPr>
              <w:spacing w:after="0"/>
            </w:pPr>
            <w:r>
              <w:rPr>
                <w:rFonts w:ascii="Calibri" w:cs="Calibri" w:eastAsia="Calibri" w:hAnsi="Calibri"/>
                <w:b/>
                <w:bCs/>
                <w:color w:val="FFFFFF"/>
                <w:sz w:val="20"/>
                <w:szCs w:val="20"/>
              </w:rPr>
              <w:t xml:space="preserve">Stufe</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Visum: Wer zahlt Anwalt und Gebühren für Sie und alle Angehörigen? Wird der Green-Card-Antrag unterstützt, und ab wann?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9B1C1C"/>
                <w:sz w:val="20"/>
                <w:szCs w:val="20"/>
              </w:rPr>
              <w:t xml:space="preserve">Pflicht</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Umzug: Obergrenze in kg oder USD, Versicherung, Luftfracht, Lager.</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Temporäre Wohnung: Dauer (30, 60 oder 90 Tage) und Verlängerung bei Verzögerung.</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Steuer: Übernahme der Steuer auf Umzugszahlungen („Gross-up“) und Steuerberatung für das erste und zweite Jahr in beiden Ländern.</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Krankenversicherung ab dem ersten Arbeitstag ohne Wartezeit; sonst Kostenübernahme der Brückenversicherung.</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Rückführung (Repatriation): Kostenübernahme bei Kündigung durch den Arbeitgeber oder Statusverlust.</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B35C00"/>
                <w:sz w:val="20"/>
                <w:szCs w:val="20"/>
              </w:rPr>
              <w:t xml:space="preserve">Dringend</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Unterstützung für den Partner: Jobsuche, Sprachkurs, Zeugnisbewertung.</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Heimflüge (Home Leave) und Erkundungsreise vor dem Umzug.</w:t>
            </w:r>
          </w:p>
        </w:tc>
        <w:tc>
          <w:tcPr>
            <w:tcW w:type="dxa" w:w="18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r>
        <w:trPr>
          <w:cantSplit/>
        </w:trPr>
        <w:tc>
          <w:tcPr>
            <w:tcW w:type="dxa" w:w="56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2"/>
                <w:szCs w:val="22"/>
              </w:rPr>
              <w:t xml:space="preserve">☐</w:t>
            </w:r>
          </w:p>
        </w:tc>
        <w:tc>
          <w:tcPr>
            <w:tcW w:type="dxa" w:w="8346"/>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color w:val="222222"/>
                <w:sz w:val="20"/>
                <w:szCs w:val="20"/>
              </w:rPr>
              <w:t xml:space="preserve">Rückzahlungsklausel: Muss das Paket zurückgezahlt werden, wenn Sie innerhalb von 12 oder 24 Monaten kündigen? Anteilige Rückzahlung verhandeln.</w:t>
            </w:r>
          </w:p>
        </w:tc>
        <w:tc>
          <w:tcPr>
            <w:tcW w:type="dxa" w:w="18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pPr>
              <w:spacing w:after="0"/>
            </w:pPr>
            <w:r>
              <w:rPr>
                <w:rFonts w:ascii="Calibri" w:cs="Calibri" w:eastAsia="Calibri" w:hAnsi="Calibri"/>
                <w:b/>
                <w:bCs/>
                <w:color w:val="4D5B66"/>
                <w:sz w:val="20"/>
                <w:szCs w:val="20"/>
              </w:rPr>
              <w:t xml:space="preserve">Optional</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8EEF3"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Stand prüfen</w:t>
            </w:r>
          </w:p>
          <w:p>
            <w:pPr>
              <w:spacing w:after="60"/>
            </w:pPr>
            <w:r>
              <w:rPr>
                <w:rFonts w:ascii="Calibri" w:cs="Calibri" w:eastAsia="Calibri" w:hAnsi="Calibri"/>
                <w:b/>
                <w:bCs/>
                <w:color w:val="222222"/>
                <w:sz w:val="21"/>
                <w:szCs w:val="21"/>
              </w:rPr>
              <w:t xml:space="preserve">Offizielle Quellen:</w:t>
            </w:r>
            <w:r>
              <w:rPr>
                <w:rFonts w:ascii="Calibri" w:cs="Calibri" w:eastAsia="Calibri" w:hAnsi="Calibri"/>
                <w:color w:val="222222"/>
                <w:sz w:val="21"/>
                <w:szCs w:val="21"/>
              </w:rPr>
              <w:t xml:space="preserve"> </w:t>
            </w:r>
            <w:hyperlink r:id="rIdL43" w:history="1">
              <w:r>
                <w:rPr>
                  <w:rStyle w:val="Hyperlink"/>
                  <w:rFonts w:ascii="Calibri" w:cs="Calibri" w:eastAsia="Calibri" w:hAnsi="Calibri"/>
                  <w:color w:val="0563C1"/>
                  <w:u w:val="single"/>
                  <w:sz w:val="21"/>
                  <w:szCs w:val="21"/>
                </w:rPr>
                <w:t xml:space="preserve">8 CFR 214.1(l)(2) – Schonfrist bis zu 60 Tage nach Jobverlust</w:t>
              </w:r>
            </w:hyperlink>
            <w:r>
              <w:rPr>
                <w:rFonts w:ascii="Calibri" w:cs="Calibri" w:eastAsia="Calibri" w:hAnsi="Calibri"/>
                <w:color w:val="222222"/>
                <w:sz w:val="21"/>
                <w:szCs w:val="21"/>
              </w:rPr>
              <w:t xml:space="preserve">, </w:t>
            </w:r>
            <w:hyperlink r:id="rIdL72" w:history="1">
              <w:r>
                <w:rPr>
                  <w:rStyle w:val="Hyperlink"/>
                  <w:rFonts w:ascii="Calibri" w:cs="Calibri" w:eastAsia="Calibri" w:hAnsi="Calibri"/>
                  <w:color w:val="0563C1"/>
                  <w:u w:val="single"/>
                  <w:sz w:val="21"/>
                  <w:szCs w:val="21"/>
                </w:rPr>
                <w:t xml:space="preserve">NMVTIS – Fahrzeughistorie (US-Justizministerium)</w:t>
              </w:r>
            </w:hyperlink>
            <w:r>
              <w:rPr>
                <w:rFonts w:ascii="Calibri" w:cs="Calibri" w:eastAsia="Calibri" w:hAnsi="Calibri"/>
                <w:color w:val="222222"/>
                <w:sz w:val="21"/>
                <w:szCs w:val="21"/>
              </w:rPr>
              <w:t xml:space="preserve">, </w:t>
            </w:r>
            <w:hyperlink r:id="rIdL12" w:history="1">
              <w:r>
                <w:rPr>
                  <w:rStyle w:val="Hyperlink"/>
                  <w:rFonts w:ascii="Calibri" w:cs="Calibri" w:eastAsia="Calibri" w:hAnsi="Calibri"/>
                  <w:color w:val="0563C1"/>
                  <w:u w:val="single"/>
                  <w:sz w:val="21"/>
                  <w:szCs w:val="21"/>
                </w:rPr>
                <w:t xml:space="preserve">U.S. Department of Labor – COBRA</w:t>
              </w:r>
            </w:hyperlink>
            <w:r>
              <w:rPr>
                <w:rFonts w:ascii="Calibri" w:cs="Calibri" w:eastAsia="Calibri" w:hAnsi="Calibri"/>
                <w:color w:val="222222"/>
                <w:sz w:val="21"/>
                <w:szCs w:val="21"/>
              </w:rPr>
              <w:t xml:space="preserve">, Kfz-Behörde (DMV) des Bundesstaats.</w:t>
            </w:r>
          </w:p>
          <w:p>
            <w:pPr>
              <w:spacing w:after="60"/>
            </w:pPr>
            <w:r>
              <w:rPr>
                <w:rFonts w:ascii="Calibri" w:cs="Calibri" w:eastAsia="Calibri" w:hAnsi="Calibri"/>
                <w:b/>
                <w:bCs/>
                <w:color w:val="222222"/>
                <w:sz w:val="21"/>
                <w:szCs w:val="21"/>
              </w:rPr>
              <w:t xml:space="preserve">Geprüft:</w:t>
            </w:r>
            <w:r>
              <w:rPr>
                <w:rFonts w:ascii="Calibri" w:cs="Calibri" w:eastAsia="Calibri" w:hAnsi="Calibri"/>
                <w:color w:val="222222"/>
                <w:sz w:val="21"/>
                <w:szCs w:val="21"/>
              </w:rPr>
              <w:t xml:space="preserve"> Oktober 2026. Regeln, Gebühren und Fristen können sich jederzeit ändern – vor jeder Entscheidung die verlinkte Amtsseite erneut öffnen.</w:t>
            </w:r>
          </w:p>
          <w:p>
            <w:pPr>
              <w:spacing w:after="0"/>
            </w:pPr>
            <w:r>
              <w:rPr>
                <w:rFonts w:ascii="Calibri" w:cs="Calibri" w:eastAsia="Calibri" w:hAnsi="Calibri"/>
                <w:b/>
                <w:bCs/>
                <w:color w:val="222222"/>
                <w:sz w:val="21"/>
                <w:szCs w:val="21"/>
              </w:rPr>
              <w:t xml:space="preserve">Individuelle Beratung:</w:t>
            </w:r>
            <w:r>
              <w:rPr>
                <w:rFonts w:ascii="Calibri" w:cs="Calibri" w:eastAsia="Calibri" w:hAnsi="Calibri"/>
                <w:color w:val="222222"/>
                <w:sz w:val="21"/>
                <w:szCs w:val="21"/>
              </w:rPr>
              <w:t xml:space="preserve"> Dieses Kapitel ersetzt keine Beratung durch einen zugelassenen Einwanderungsanwalt (Immigration Attorney), Steuerberater oder Versicherungsfachmann, der Ihren Einzelfall kennt.</w:t>
            </w:r>
          </w:p>
        </w:tc>
      </w:tr>
    </w:tbl>
    <w:p>
      <w:pPr>
        <w:spacing w:after="200"/>
      </w:pPr>
    </w:p>
    <w:tbl>
      <w:tblPr>
        <w:tblW w:type="dxa" w:w="1070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0706"/>
      </w:tblGrid>
      <w:tr>
        <w:trPr>
          <w:cantSplit/>
        </w:trPr>
        <w:tc>
          <w:tcPr>
            <w:tcW w:type="dxa" w:w="10706"/>
            <w:tcBorders>
              <w:top w:val="single" w:color="C4A35A" w:sz="16"/>
              <w:left w:val="single" w:color="CCCCCC" w:sz="4"/>
              <w:bottom w:val="single" w:color="CCCCCC" w:sz="4"/>
              <w:right w:val="single" w:color="CCCCCC" w:sz="4"/>
            </w:tcBorders>
            <w:shd w:fill="E6F2EA" w:val="clear"/>
            <w:tcMar>
              <w:top w:type="dxa" w:w="100"/>
              <w:left w:type="dxa" w:w="140"/>
              <w:bottom w:type="dxa" w:w="100"/>
              <w:right w:type="dxa" w:w="140"/>
            </w:tcMar>
            <w:vAlign w:val="center"/>
          </w:tcPr>
          <w:p>
            <w:pPr>
              <w:spacing w:after="80"/>
            </w:pPr>
            <w:r>
              <w:rPr>
                <w:rFonts w:ascii="Calibri" w:cs="Calibri" w:eastAsia="Calibri" w:hAnsi="Calibri"/>
                <w:b/>
                <w:bCs/>
                <w:color w:val="1B365D"/>
                <w:sz w:val="22"/>
                <w:szCs w:val="22"/>
              </w:rPr>
              <w:t xml:space="preserve">Nächster konkreter Schritt</w:t>
            </w:r>
          </w:p>
          <w:p>
            <w:pPr>
              <w:spacing w:after="0"/>
            </w:pPr>
            <w:r>
              <w:rPr>
                <w:rFonts w:ascii="Calibri" w:cs="Calibri" w:eastAsia="Calibri" w:hAnsi="Calibri"/>
                <w:color w:val="222222"/>
                <w:sz w:val="21"/>
                <w:szCs w:val="21"/>
              </w:rPr>
              <w:t xml:space="preserve">Heute: Passgültigkeit prüfen, Visumskategorie in einem Satz aufschreiben, travel.state.gov und U.S. Travel Docs öffnen und die 10 Fragen aus Kapitel 1 schriftlich beantworten. Alles andere kommt danach.</w:t>
            </w:r>
          </w:p>
        </w:tc>
      </w:tr>
    </w:tbl>
    <w:p>
      <w:pPr>
        <w:spacing w:after="200"/>
      </w:pPr>
    </w:p>
    <w:p>
      <w:pPr>
        <w:spacing w:after="160" w:before="0" w:line="276"/>
      </w:pPr>
      <w:r>
        <w:rPr>
          <w:rFonts w:ascii="Calibri" w:cs="Calibri" w:eastAsia="Calibri" w:hAnsi="Calibri"/>
          <w:i/>
          <w:iCs/>
          <w:color w:val="555555"/>
          <w:sz w:val="22"/>
          <w:szCs w:val="22"/>
        </w:rPr>
        <w:t xml:space="preserve">Ende des Arbeitsdokuments. Keine Garantie auf Vollständigkeit. Vor Antragstellung immer die genannten Amtsseiten und bei Bedarf einen zugelassenen Fachberater nutzen. © 2026 Lothar J. Musiol.</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6"/>
        <w:szCs w:val="16"/>
      </w:rPr>
      <w:t xml:space="preserve">Arbeitsdokument — kein Rechtsrat    Seite </w:t>
    </w:r>
    <w:r>
      <w:rPr>
        <w:rFonts w:ascii="Calibri" w:cs="Calibri" w:eastAsia="Calibri" w:hAnsi="Calibri"/>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55555"/>
        <w:sz w:val="16"/>
        <w:szCs w:val="16"/>
      </w:rPr>
      <w:t xml:space="preserve">Auswandern in die USA  ·  Praxisleitfaden  ·  Lothar J. Musiol  ·  Okt.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de-D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B365D"/>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0F5C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B365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L1" Type="http://schemas.openxmlformats.org/officeDocument/2006/relationships/hyperlink" Target="https://travel.state.gov/content/travel/en/us-visas.html" TargetMode="External"/><Relationship Id="rIdL2" Type="http://schemas.openxmlformats.org/officeDocument/2006/relationships/hyperlink" Target="https://travel.state.gov/content/travel/en/us-visas/employment/temporary-worker-visas.html" TargetMode="External"/><Relationship Id="rIdL3" Type="http://schemas.openxmlformats.org/officeDocument/2006/relationships/hyperlink" Target="https://de.usembassy.gov/de/visa/" TargetMode="External"/><Relationship Id="rIdL4" Type="http://schemas.openxmlformats.org/officeDocument/2006/relationships/hyperlink" Target="https://www.ustraveldocs.com/" TargetMode="External"/><Relationship Id="rIdL5" Type="http://schemas.openxmlformats.org/officeDocument/2006/relationships/hyperlink" Target="https://www.uscis.gov" TargetMode="External"/><Relationship Id="rIdL6" Type="http://schemas.openxmlformats.org/officeDocument/2006/relationships/hyperlink" Target="https://www.uscis.gov/i-765" TargetMode="External"/><Relationship Id="rIdL7" Type="http://schemas.openxmlformats.org/officeDocument/2006/relationships/hyperlink" Target="https://i94.cbp.dhs.gov" TargetMode="External"/><Relationship Id="rIdL8" Type="http://schemas.openxmlformats.org/officeDocument/2006/relationships/hyperlink" Target="https://esta.cbp.dhs.gov" TargetMode="External"/><Relationship Id="rIdL9" Type="http://schemas.openxmlformats.org/officeDocument/2006/relationships/hyperlink" Target="https://wwwnc.cdc.gov/travel" TargetMode="External"/><Relationship Id="rIdL10" Type="http://schemas.openxmlformats.org/officeDocument/2006/relationships/hyperlink" Target="https://www.cdc.gov/importation/dogs/index.html" TargetMode="External"/><Relationship Id="rIdL11" Type="http://schemas.openxmlformats.org/officeDocument/2006/relationships/hyperlink" Target="https://www.healthcare.gov/glossary/" TargetMode="External"/><Relationship Id="rIdL12" Type="http://schemas.openxmlformats.org/officeDocument/2006/relationships/hyperlink" Target="https://www.dol.gov/general/topic/health-plans/cobra" TargetMode="External"/><Relationship Id="rIdL13" Type="http://schemas.openxmlformats.org/officeDocument/2006/relationships/hyperlink" Target="https://www.irs.gov" TargetMode="External"/><Relationship Id="rIdL14" Type="http://schemas.openxmlformats.org/officeDocument/2006/relationships/hyperlink" Target="https://www.irs.gov/businesses/international-businesses/germany-tax-treaty-documents" TargetMode="External"/><Relationship Id="rIdL15" Type="http://schemas.openxmlformats.org/officeDocument/2006/relationships/hyperlink" Target="https://www.bzst.de" TargetMode="External"/><Relationship Id="rIdL16" Type="http://schemas.openxmlformats.org/officeDocument/2006/relationships/hyperlink" Target="https://www.ssa.gov" TargetMode="External"/><Relationship Id="rIdL17" Type="http://schemas.openxmlformats.org/officeDocument/2006/relationships/hyperlink" Target="https://www.ssa.gov/international/Agreement_Pamphlets/germany.html" TargetMode="External"/><Relationship Id="rIdL18" Type="http://schemas.openxmlformats.org/officeDocument/2006/relationships/hyperlink" Target="https://www.deutsche-rentenversicherung.de/SharedDocs/Downloads/DE/Broschueren/international/weitere_abkommen/13_arbeiten_deutschland_usa.pdf?__blob=publicationFile&amp;v=8" TargetMode="External"/><Relationship Id="rIdL19" Type="http://schemas.openxmlformats.org/officeDocument/2006/relationships/hyperlink" Target="https://www.dvka.de/de/arbeitgeber-erwerbstaetige/laenderspezifische-informationen/abkommenstaaten/usa/entsendung.html" TargetMode="External"/><Relationship Id="rIdL20" Type="http://schemas.openxmlformats.org/officeDocument/2006/relationships/hyperlink" Target="https://www.arbeitsagentur.de/familie-und-kinder/infos-rund-um-kindergeld/kindergeld-ausland" TargetMode="External"/><Relationship Id="rIdL21" Type="http://schemas.openxmlformats.org/officeDocument/2006/relationships/hyperlink" Target="https://www.annualcreditreport.com" TargetMode="External"/><Relationship Id="rIdL22" Type="http://schemas.openxmlformats.org/officeDocument/2006/relationships/hyperlink" Target="https://nces.ed.gov/ccd/schoolsearch/" TargetMode="External"/><Relationship Id="rIdL23" Type="http://schemas.openxmlformats.org/officeDocument/2006/relationships/hyperlink" Target="https://travel.state.gov/content/travel/en/News/visas-news/interview-waiver-update-sept-18-2025.html" TargetMode="External"/><Relationship Id="rIdL24" Type="http://schemas.openxmlformats.org/officeDocument/2006/relationships/hyperlink" Target="https://travel.state.gov/content/travel/en/News/visas-news/adjudicating-niv-applicants-in-their-country-of-residence.html" TargetMode="External"/><Relationship Id="rIdL25" Type="http://schemas.openxmlformats.org/officeDocument/2006/relationships/hyperlink" Target="https://www.uscis.gov/newsroom/alerts/h-1b-faq" TargetMode="External"/><Relationship Id="rIdL26" Type="http://schemas.openxmlformats.org/officeDocument/2006/relationships/hyperlink" Target="https://www.uscis.gov/working-in-the-united-states/temporary-workers/h-1b-specialty-occupations/employment-authorization-for-certain-h-4-dependent-spouses" TargetMode="External"/><Relationship Id="rIdL27" Type="http://schemas.openxmlformats.org/officeDocument/2006/relationships/hyperlink" Target="https://www.uscis.gov/policy-manual/volume-10-part-b-chapter-2" TargetMode="External"/><Relationship Id="rIdL28" Type="http://schemas.openxmlformats.org/officeDocument/2006/relationships/hyperlink" Target="https://www.uscis.gov/working-in-the-united-states/permanent-workers/employment-based-immigration-fifth-preference-eb-5/about-the-eb-5-visa-classification" TargetMode="External"/><Relationship Id="rIdL29" Type="http://schemas.openxmlformats.org/officeDocument/2006/relationships/hyperlink" Target="https://travel.state.gov/content/travel/en/News/visas-news/changes-to-2027-dv-program-entry-period.html" TargetMode="External"/><Relationship Id="rIdL30" Type="http://schemas.openxmlformats.org/officeDocument/2006/relationships/hyperlink" Target="https://travel.state.gov/content/travel/en/us-visas/Visa-Reciprocity-and-Civil-Documents-by-Country/Germany.html" TargetMode="External"/><Relationship Id="rIdL31" Type="http://schemas.openxmlformats.org/officeDocument/2006/relationships/hyperlink" Target="https://www.gesetze-im-internet.de/bmg/__17.html" TargetMode="External"/><Relationship Id="rIdL32" Type="http://schemas.openxmlformats.org/officeDocument/2006/relationships/hyperlink" Target="https://msc.fema.gov/portal/home" TargetMode="External"/><Relationship Id="rIdL33" Type="http://schemas.openxmlformats.org/officeDocument/2006/relationships/hyperlink" Target="https://dor.wa.gov/taxes-rates/other-taxes/capital-gains-tax" TargetMode="External"/><Relationship Id="rIdL34" Type="http://schemas.openxmlformats.org/officeDocument/2006/relationships/hyperlink" Target="https://lawfilesext.leg.wa.gov/biennium/2025-26/Pdf/Bills/Session%20Laws/Senate/6346-S.SL.pdf" TargetMode="External"/><Relationship Id="rIdL35" Type="http://schemas.openxmlformats.org/officeDocument/2006/relationships/hyperlink" Target="https://www.revenue.nh.gov/taxes-glance/interest-dividends-tax" TargetMode="External"/><Relationship Id="rIdL36" Type="http://schemas.openxmlformats.org/officeDocument/2006/relationships/hyperlink" Target="https://www.cbp.gov/travel/us-citizens/know-before-you-go/prohibited-and-restricted-items" TargetMode="External"/><Relationship Id="rIdL37" Type="http://schemas.openxmlformats.org/officeDocument/2006/relationships/hyperlink" Target="https://www.cbp.gov/travel/international-visitors/money-monetary-instruments" TargetMode="External"/><Relationship Id="rIdL38" Type="http://schemas.openxmlformats.org/officeDocument/2006/relationships/hyperlink" Target="https://www.ssa.gov/pubs/EN-05-10096.pdf" TargetMode="External"/><Relationship Id="rIdL39" Type="http://schemas.openxmlformats.org/officeDocument/2006/relationships/hyperlink" Target="https://www.uscis.gov/addresschange" TargetMode="External"/><Relationship Id="rIdL40" Type="http://schemas.openxmlformats.org/officeDocument/2006/relationships/hyperlink" Target="https://www.uscis.gov/i-9" TargetMode="External"/><Relationship Id="rIdL41" Type="http://schemas.openxmlformats.org/officeDocument/2006/relationships/hyperlink" Target="https://krisenvorsorgeliste.diplo.de" TargetMode="External"/><Relationship Id="rIdL42" Type="http://schemas.openxmlformats.org/officeDocument/2006/relationships/hyperlink" Target="https://travel.state.gov/content/travel/en/us-visas/visa-information-resources/fees/fees-visa-services.html" TargetMode="External"/><Relationship Id="rIdL43" Type="http://schemas.openxmlformats.org/officeDocument/2006/relationships/hyperlink" Target="https://www.ecfr.gov/current/title-8/chapter-I/subchapter-B/part-214/section-214.1" TargetMode="External"/><Relationship Id="rIdL44" Type="http://schemas.openxmlformats.org/officeDocument/2006/relationships/hyperlink" Target="https://www.irs.gov/publications/p15b" TargetMode="External"/><Relationship Id="rIdL45" Type="http://schemas.openxmlformats.org/officeDocument/2006/relationships/hyperlink" Target="https://leginfo.legislature.ca.gov/faces/billNavClient.xhtml?bill_id=202320240AB12" TargetMode="External"/><Relationship Id="rIdL46" Type="http://schemas.openxmlformats.org/officeDocument/2006/relationships/hyperlink" Target="https://www.dol.gov/agencies/ebsa/laws-and-regulations/laws/affordable-care-act/for-employers-and-advisers/90-day" TargetMode="External"/><Relationship Id="rIdL47" Type="http://schemas.openxmlformats.org/officeDocument/2006/relationships/hyperlink" Target="https://www.cms.gov/nosurprises" TargetMode="External"/><Relationship Id="rIdL48" Type="http://schemas.openxmlformats.org/officeDocument/2006/relationships/hyperlink" Target="https://www.irs.gov/individuals/international-taxpayers/substantial-presence-test" TargetMode="External"/><Relationship Id="rIdL49" Type="http://schemas.openxmlformats.org/officeDocument/2006/relationships/hyperlink" Target="https://www.irs.gov/individuals/international-taxpayers/us-tax-residency-green-card-test" TargetMode="External"/><Relationship Id="rIdL50" Type="http://schemas.openxmlformats.org/officeDocument/2006/relationships/hyperlink" Target="https://www.irs.gov/businesses/small-businesses-self-employed/report-of-foreign-bank-and-financial-accounts-fbar" TargetMode="External"/><Relationship Id="rIdL51" Type="http://schemas.openxmlformats.org/officeDocument/2006/relationships/hyperlink" Target="https://www.irs.gov/instructions/i8621" TargetMode="External"/><Relationship Id="rIdL52" Type="http://schemas.openxmlformats.org/officeDocument/2006/relationships/hyperlink" Target="https://www.gesetze-im-internet.de/astg/__6.html" TargetMode="External"/><Relationship Id="rIdL53" Type="http://schemas.openxmlformats.org/officeDocument/2006/relationships/hyperlink" Target="https://www.gesetze-im-internet.de/invstg_2018/__19.html" TargetMode="External"/><Relationship Id="rIdL54" Type="http://schemas.openxmlformats.org/officeDocument/2006/relationships/hyperlink" Target="https://www.germany.info/us-de/service/steuern/rente-2309190" TargetMode="External"/><Relationship Id="rIdL55" Type="http://schemas.openxmlformats.org/officeDocument/2006/relationships/hyperlink" Target="https://consumer.ftc.gov/articles/free-credit-reports" TargetMode="External"/><Relationship Id="rIdL56" Type="http://schemas.openxmlformats.org/officeDocument/2006/relationships/hyperlink" Target="https://consumer.ftc.gov/articles/what-know-about-credit-freezes-and-fraud-alerts" TargetMode="External"/><Relationship Id="rIdL57" Type="http://schemas.openxmlformats.org/officeDocument/2006/relationships/hyperlink" Target="https://www.consumerfinance.gov/consumer-tools/credit-reports-and-scores/" TargetMode="External"/><Relationship Id="rIdL58" Type="http://schemas.openxmlformats.org/officeDocument/2006/relationships/hyperlink" Target="https://www.irs.gov/tin/itin/individual-taxpayer-identification-number-itin" TargetMode="External"/><Relationship Id="rIdL59" Type="http://schemas.openxmlformats.org/officeDocument/2006/relationships/hyperlink" Target="https://consumer.ftc.gov/articles/rental-listing-scams" TargetMode="External"/><Relationship Id="rIdL60" Type="http://schemas.openxmlformats.org/officeDocument/2006/relationships/hyperlink" Target="https://www.dol.gov/general/topic/workhours/vacation_leave" TargetMode="External"/><Relationship Id="rIdL61" Type="http://schemas.openxmlformats.org/officeDocument/2006/relationships/hyperlink" Target="https://uscode.house.gov/view.xhtml?req=granuleid:USC-prelim-title20-section1703&amp;num=0&amp;edition=prelim" TargetMode="External"/><Relationship Id="rIdL62" Type="http://schemas.openxmlformats.org/officeDocument/2006/relationships/hyperlink" Target="https://www.kmk.org/zab/zentralstelle-fuer-auslaendisches-bildungswesen/allgemeines-zur-anerkennung/anerkennung-im-hochschulbereich/hochschulzugang/" TargetMode="External"/><Relationship Id="rIdL63" Type="http://schemas.openxmlformats.org/officeDocument/2006/relationships/hyperlink" Target="https://anabin.kmk.org/db/schulabschluesse-mit-hochschulzugang" TargetMode="External"/><Relationship Id="rIdL64" Type="http://schemas.openxmlformats.org/officeDocument/2006/relationships/hyperlink" Target="https://www.gesetze-im-internet.de/ao_1977/__169.html" TargetMode="External"/><Relationship Id="rIdL65" Type="http://schemas.openxmlformats.org/officeDocument/2006/relationships/hyperlink" Target="https://www.gesetze-im-internet.de/ao_1977/__147.html" TargetMode="External"/><Relationship Id="rIdL66" Type="http://schemas.openxmlformats.org/officeDocument/2006/relationships/hyperlink" Target="https://www.gesetze-im-internet.de/ao_1977/__123.html" TargetMode="External"/><Relationship Id="rIdL67" Type="http://schemas.openxmlformats.org/officeDocument/2006/relationships/hyperlink" Target="https://www.gesetze-im-internet.de/tkg_2021/__60.html" TargetMode="External"/><Relationship Id="rIdL68" Type="http://schemas.openxmlformats.org/officeDocument/2006/relationships/hyperlink" Target="https://www.gesetze-im-internet.de/sgb_3/__28a.html" TargetMode="External"/><Relationship Id="rIdL69" Type="http://schemas.openxmlformats.org/officeDocument/2006/relationships/hyperlink" Target="https://www.deutsche-rentenversicherung.de" TargetMode="External"/><Relationship Id="rIdL70" Type="http://schemas.openxmlformats.org/officeDocument/2006/relationships/hyperlink" Target="https://www.irs.gov/businesses/small-businesses-self-employed/how-long-should-i-keep-records" TargetMode="External"/><Relationship Id="rIdL71" Type="http://schemas.openxmlformats.org/officeDocument/2006/relationships/hyperlink" Target="https://www.rundfunkbeitrag.de" TargetMode="External"/><Relationship Id="rIdL72" Type="http://schemas.openxmlformats.org/officeDocument/2006/relationships/hyperlink" Target="https://vehiclehistory.bja.ojp.gov"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in die USA – Praxisleitfaden</dc:title>
  <dc:creator>Lothar J. Musiol</dc:creator>
  <dc:language>de-DE</dc:language>
  <cp:lastModifiedBy>Lothar J. Musiol</cp:lastModifiedBy>
  <cp:revision>2</cp:revision>
  <dcterms:created xsi:type="dcterms:W3CDTF">2026-09-23T19:20:46.041Z</dcterms:created>
  <dcterms:modified xsi:type="dcterms:W3CDTF">2026-10-04T00:09:58Z</dcterms:modified>
</cp:coreProperties>
</file>

<file path=docProps/custom.xml><?xml version="1.0" encoding="utf-8"?>
<Properties xmlns="http://schemas.openxmlformats.org/officeDocument/2006/custom-properties" xmlns:vt="http://schemas.openxmlformats.org/officeDocument/2006/docPropsVTypes"/>
</file>