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25: Spain, Convivencia and the General</w:t>
      </w:r>
    </w:p>
    <w:p>
      <w:pPr>
        <w:spacing w:after="200"/>
      </w:pPr>
      <w:r>
        <w:t xml:space="preserve">Dolphin historians open this chapter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centuries of coexistence and scholarship among Muslim, Christian, and Jewish communities — convivencia — with Córdoba and Toledo among the era's great centers of translation and learning, preserving and extending Greek philosophy, mathematics, and medicine at a time large parts of Christian Europe had less access to them.</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covered elsewhere in this book.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 deliberate rehearsal of the aerial terror tactics that would soon be turned on far larger cities.</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book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2026-09-26T22:21:27.074Z</dcterms:created>
  <dcterms:modified xsi:type="dcterms:W3CDTF">2026-09-26T22:21:27.074Z</dcterms:modified>
</cp:coreProperties>
</file>

<file path=docProps/custom.xml><?xml version="1.0" encoding="utf-8"?>
<Properties xmlns="http://schemas.openxmlformats.org/officeDocument/2006/custom-properties" xmlns:vt="http://schemas.openxmlformats.org/officeDocument/2006/docPropsVTypes"/>
</file>