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President Kennedy's May 1961 commitment to land a man on the Moon “before this decade is out” turned prestige into a program: at its peak, Apollo employed around 400,000 people and consumed a meaningful share of the entire US federal budget.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long been working toward changing that.</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ending the two-country era for good.</w:t>
      </w:r>
    </w:p>
    <w:p>
      <w:pPr>
        <w:spacing w:after="200"/>
      </w:pPr>
      <w:r>
        <w:t xml:space="preserve">Mars settlement is discussed publicly and seriously by several of these programs and companies as a stated long-term goal. It remains, as this book is written, exactly that: a stated goal. No human has yet traveled beyond the Moon's orbit,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Fifty years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2026-09-26T22:21:27.166Z</dcterms:created>
  <dcterms:modified xsi:type="dcterms:W3CDTF">2026-09-26T22:21:27.166Z</dcterms:modified>
</cp:coreProperties>
</file>

<file path=docProps/custom.xml><?xml version="1.0" encoding="utf-8"?>
<Properties xmlns="http://schemas.openxmlformats.org/officeDocument/2006/custom-properties" xmlns:vt="http://schemas.openxmlformats.org/officeDocument/2006/docPropsVTypes"/>
</file>