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Somewhere, a dolphin named Sherlock was already thinking about it, which nobody had yet found stranger than the case itself.</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pronounced,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 beside a glass Klein bottle bought at a maths conference and never quite forgiven for its inability to hold tea - Trevor removed his glasses,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bookmarkStart w:id="4816" w:name="Penny_had_decided_that_Derek_was"/>
      <w:bookmarkEnd w:id="4816"/>
      <w:r>
        <w:t xml:space="preserve">What was unusual was the film she chose: Everything Everywhere All at Once. She settled in with popcorn, watched Jamie Lee Curtis survive yet another franchise, and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bookmarkStart w:id="4816" w:name="Penny_had_decided_that_Derek_was"/>
      <w:bookmarkEnd w:id="4816"/>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 xml:space="preserve">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 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 "That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 xml:space="preserve">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 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 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pPr>
      <w:bookmarkStart w:id="4816" w:name="Penny_had_decided_that_Derek_was"/>
      <w:bookmarkEnd w:id="4816"/>
      <w:r>
        <w:t xml:space="preserve">-&gt; Lesson for this chapter: 13 - Curved Corridors and Tidal Gravity</w:t>
      </w:r>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t>Derek indicated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conceded.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returned.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bookmarkEnd w:id="5833"/>
      <w:r>
        <w:t xml:space="preserve">Neither of them reached for a notebook. After the week they'd had, some things no longer needed writing down. They had simply become family shorthand - the kind their grandmother would have recognised, and approved of, in her own alarming way.</w:t>
      </w:r>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confirmed.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Penny's mouth curved.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