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18: Machines and Manifestos — Renaissance, Enlightenment, and Industry</w:t>
      </w:r>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In the century and a half after Copernicus proposed, in 1543, that the Earth orbited the sun, not the other way around,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and unleashing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Steam power, made practical by Thomas Newcomen's pumping engine of 1712 and efficient by James Watt's improved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other side of the ledger was immediate, and dolphin historians insist on stating it beside the productivity gains, not tucked in afterward: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a week of unfiltered coal smoke that killed thousands of people in a few days, a rare occasion on which British weather was not entirely the weather's fault.</w:t>
      </w:r>
    </w:p>
    <w:p>
      <w:pPr>
        <w:spacing w:after="200"/>
      </w:pPr>
      <w:r>
        <w:rPr>
          <w:i/>
          <w:iCs/>
        </w:rPr>
        <w:t xml:space="preserve">“Humans solved many problems,” dolphin historians noted, “by creating larger problems.”</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arming and allying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2026-10-02T02:23:17.796Z</dcterms:created>
  <dcterms:modified xsi:type="dcterms:W3CDTF">2026-10-02T02:23:17.796Z</dcterms:modified>
</cp:coreProperties>
</file>

<file path=docProps/custom.xml><?xml version="1.0" encoding="utf-8"?>
<Properties xmlns="http://schemas.openxmlformats.org/officeDocument/2006/custom-properties" xmlns:vt="http://schemas.openxmlformats.org/officeDocument/2006/docPropsVTypes"/>
</file>