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Electron-Photon Vertex</w:t>
      </w:r>
    </w:p>
    <w:p>
      <w:pPr>
        <w:pStyle w:val="Subtitle"/>
        <w:jc w:val="center"/>
      </w:pPr>
      <w:r>
        <w:t>Lesson 44 of the Complete Quantum Electrodynamics Course</w:t>
      </w:r>
    </w:p>
    <w:p>
      <w:r>
        <w:br/>
      </w:r>
    </w:p>
    <w:p>
      <w:pPr>
        <w:jc w:val="center"/>
      </w:pPr>
      <w:r>
        <w:rPr>
          <w:b/>
          <w:sz w:val="26"/>
        </w:rPr>
        <w:t>Deriving the +ieγ^μ vertex factor from first-order perturbation theory and the mode expansions, and showing why a single vertex is never a complete physical process</w:t>
      </w:r>
    </w:p>
    <w:p>
      <w:r>
        <w:br/>
        <w:br/>
      </w:r>
    </w:p>
    <w:p>
      <w:pPr>
        <w:jc w:val="center"/>
      </w:pPr>
      <w:r>
        <w:t>Course edition 1.0</w:t>
      </w:r>
    </w:p>
    <w:p>
      <w:r>
        <w:br w:type="page"/>
      </w:r>
    </w:p>
    <w:p>
      <w:pPr>
        <w:pStyle w:val="Heading1"/>
      </w:pPr>
      <w:r>
        <w:t>How to use this lesson</w:t>
      </w:r>
    </w:p>
    <w:p>
      <w:r>
        <w:t>The interaction term eψ̄γ^μψA_μ has appeared since Lesson 39, and the value +ieγ^μ has been quoted as its associated vertex factor since as early as Lesson 22,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35 and 37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2"/>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39)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39,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37</w:t>
            </w:r>
          </w:p>
        </w:tc>
      </w:tr>
    </w:tbl>
    <w:p>
      <w:pPr>
        <w:pStyle w:val="Heading1"/>
      </w:pPr>
      <w:r>
        <w:t>1 A first look at time-dependent perturbation theory</w:t>
      </w:r>
    </w:p>
    <w:p>
      <w:pPr>
        <w:pStyle w:val="Heading2"/>
      </w:pPr>
      <w:r>
        <w:t>1.1 The interaction picture</w:t>
      </w:r>
    </w:p>
    <w:p>
      <w:r>
        <w:t>Split the full Hamiltonian as H=H_0+H_int, with H_0 the free (quadratic, already-diagonalized) part governing the mode expansions of Lessons 35 and 37,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160"/>
        <w:jc w:val="center"/>
      </w:pPr>
      <m:oMathPara>
        <m:oMath>
          <m:r>
            <m:t xml:space="preserve">i</m:t>
          </m:r>
          <m:sSub>
            <m:e>
              <m:r>
                <m:t xml:space="preserve">∂</m:t>
              </m:r>
            </m:e>
            <m:sub>
              <m:r>
                <m:t xml:space="preserve">t</m:t>
              </m:r>
            </m:sub>
          </m:sSub>
          <m:r>
            <m:t xml:space="preserve">|</m:t>
          </m:r>
          <m:r>
            <m:t xml:space="preserve">ψ</m:t>
          </m:r>
          <m:r>
            <m:t xml:space="preserve">t</m:t>
          </m:r>
          <m:sSub>
            <m:e>
              <m:r>
                <m:t xml:space="preserve">⟩</m:t>
              </m:r>
            </m:e>
            <m:sub>
              <m:r>
                <m:t xml:space="preserve">I</m:t>
              </m:r>
            </m:sub>
          </m:sSub>
          <m:r>
            <m:t xml:space="preserve">=</m:t>
          </m:r>
          <m:sSub>
            <m:e>
              <m:r>
                <m:t xml:space="preserve">H</m:t>
              </m:r>
            </m:e>
            <m:sub>
              <m:r>
                <m:t xml:space="preserve">int</m:t>
              </m:r>
            </m:sub>
          </m:sSub>
          <m:r>
            <m:t xml:space="preserve">,</m:t>
          </m:r>
          <m:r>
            <m:t xml:space="preserve">I</m:t>
          </m:r>
          <m:r>
            <m:t xml:space="preserve">t</m:t>
          </m:r>
          <m:r>
            <m:t xml:space="preserve">|</m:t>
          </m:r>
          <m:r>
            <m:t xml:space="preserve">ψ</m:t>
          </m:r>
          <m:r>
            <m:t xml:space="preserve">t</m:t>
          </m:r>
          <m:sSub>
            <m:e>
              <m:r>
                <m:t xml:space="preserve">⟩</m:t>
              </m:r>
            </m:e>
            <m:sub>
              <m:r>
                <m:t xml:space="preserve">I</m:t>
              </m:r>
            </m:sub>
          </m:sSub>
          <m:r>
            <m:t xml:space="preserve">,</m:t>
          </m:r>
          <m:sSub>
            <m:e>
              <m:r>
                <m:t xml:space="preserve">H</m:t>
              </m:r>
            </m:e>
            <m:sub>
              <m:r>
                <m:t xml:space="preserve">int</m:t>
              </m:r>
            </m:sub>
          </m:sSub>
          <m:r>
            <m:t xml:space="preserve">,</m:t>
          </m:r>
          <m:r>
            <m:t xml:space="preserve">I</m:t>
          </m:r>
          <m:r>
            <m:t xml:space="preserve">t</m:t>
          </m:r>
          <m:r>
            <m:t xml:space="preserve">=</m:t>
          </m:r>
          <m:sSup>
            <m:e>
              <m:r>
                <m:t xml:space="preserve">e</m:t>
              </m:r>
            </m:e>
            <m:sup>
              <m:sSub>
                <m:e>
                  <m:r>
                    <m:t xml:space="preserve">iH</m:t>
                  </m:r>
                </m:e>
                <m:sub>
                  <m:r>
                    <m:t xml:space="preserve">0t</m:t>
                  </m:r>
                </m:sub>
              </m:sSub>
            </m:sup>
          </m:sSup>
          <m:sSub>
            <m:e>
              <m:r>
                <m:t xml:space="preserve">H</m:t>
              </m:r>
            </m:e>
            <m:sub>
              <m:r>
                <m:t xml:space="preserve">int</m:t>
              </m:r>
            </m:sub>
          </m:sSub>
          <m:sSup>
            <m:e>
              <m:r>
                <m:t xml:space="preserve">e</m:t>
              </m:r>
            </m:e>
            <m:sup>
              <m:r>
                <m:t xml:space="preserve">−</m:t>
              </m:r>
              <m:sSub>
                <m:e>
                  <m:r>
                    <m:t xml:space="preserve">iH</m:t>
                  </m:r>
                </m:e>
                <m:sub>
                  <m:r>
                    <m:t xml:space="preserve">0t</m:t>
                  </m:r>
                </m:sub>
              </m:sSub>
            </m:sup>
          </m:sSup>
        </m:oMath>
      </m:oMathPara>
    </w:p>
    <w:p>
      <w:r>
        <w:t>an equation with exactly the same form as the ordinary Schrödinger equation, but with only the interaction, not the full Hamiltonian, generating the (now generally nontrivial) time dependence of the state.</w:t>
      </w:r>
    </w:p>
    <w:p>
      <w:pPr>
        <w:pStyle w:val="Heading2"/>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r>
                <m:t xml:space="preserve">1</m:t>
              </m:r>
            </m:sup>
          </m:sSubSup>
          <m:r>
            <m:t xml:space="preserve">t</m:t>
          </m:r>
          <m:r>
            <m:t xml:space="preserve">,</m:t>
          </m:r>
          <m:sSub>
            <m:e>
              <m:r>
                <m:t xml:space="preserve">t</m:t>
              </m:r>
            </m:e>
            <m:sub>
              <m:r>
                <m:t xml:space="preserve">0</m:t>
              </m:r>
            </m:sub>
          </m:sSub>
          <m:r>
            <m:t xml:space="preserve">=</m:t>
          </m:r>
          <m:r>
            <m:t xml:space="preserve">−</m:t>
          </m:r>
          <m:r>
            <m:t xml:space="preserve">i</m:t>
          </m:r>
          <m:sSubSup>
            <m:e>
              <m:r>
                <m:t xml:space="preserve">∫</m:t>
              </m:r>
            </m:e>
            <m:sub>
              <m:sSub>
                <m:e>
                  <m:r>
                    <m:t xml:space="preserve">t</m:t>
                  </m:r>
                </m:e>
                <m:sub>
                  <m:r>
                    <m:t xml:space="preserve">0</m:t>
                  </m:r>
                </m:sub>
              </m:sSub>
            </m:sub>
            <m:sup>
              <m:r>
                <m:t xml:space="preserve">t</m:t>
              </m:r>
            </m:sup>
          </m:sSubSup>
          <m:r>
            <m:t xml:space="preserve">dt</m:t>
          </m:r>
          <m:r>
            <m:t xml:space="preserve">′</m:t>
          </m:r>
          <m:sSub>
            <m:e>
              <m:r>
                <m:t xml:space="preserve">H</m:t>
              </m:r>
            </m:e>
            <m:sub>
              <m:r>
                <m:t xml:space="preserve">int</m:t>
              </m:r>
            </m:sub>
          </m:sSub>
          <m:r>
            <m:t xml:space="preserve">,</m:t>
          </m:r>
          <m:r>
            <m:t xml:space="preserve">I</m:t>
          </m:r>
          <m:r>
            <m:t xml:space="preserve">t</m:t>
          </m:r>
          <m:r>
            <m:t xml:space="preserve">′</m:t>
          </m:r>
        </m:oMath>
      </m:oMathPara>
    </w:p>
    <w:p>
      <w:r>
        <w:t>Taking t_0→−∞ and t→+∞, the standard scattering setup, and defining the S-matrix S=U_I(+∞,−∞), the first-order term is</w:t>
      </w:r>
    </w:p>
    <w:p>
      <w:pPr>
        <w:spacing w:before="100" w:after="160"/>
        <w:jc w:val="center"/>
      </w:pPr>
      <m:oMathPara>
        <m:oMath>
          <m:sSup>
            <m:e>
              <m:r>
                <m:t xml:space="preserve">S</m:t>
              </m:r>
            </m:e>
            <m:sup>
              <m:r>
                <m:t xml:space="preserve">1</m:t>
              </m:r>
            </m:sup>
          </m:sSup>
          <m:r>
            <m:t xml:space="preserve">=</m:t>
          </m:r>
          <m:r>
            <m:t xml:space="preserve">−</m:t>
          </m:r>
          <m:r>
            <m:t xml:space="preserve">i</m:t>
          </m:r>
          <m:r>
            <m:t xml:space="preserve">∫</m:t>
          </m:r>
          <m:sSup>
            <m:e>
              <m:r>
                <m:t xml:space="preserve">d</m:t>
              </m:r>
            </m:e>
            <m:sup>
              <m:r>
                <m:t xml:space="preserve">4</m:t>
              </m:r>
            </m:sup>
          </m:sSup>
          <m:r>
            <m:t xml:space="preserve">x</m:t>
          </m:r>
          <m:sSub>
            <m:e>
              <m:r>
                <m:t xml:space="preserve">ℋ</m:t>
              </m:r>
            </m:e>
            <m:sub>
              <m:r>
                <m:t xml:space="preserve">int</m:t>
              </m:r>
            </m:sub>
          </m:sSub>
          <m:r>
            <m:t xml:space="preserve">x</m:t>
          </m:r>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pPr>
        <w:pStyle w:val="Heading3"/>
      </w:pPr>
      <w:r>
        <w:t>Worked example 1</w:t>
      </w:r>
    </w:p>
    <w:p>
      <w:r>
        <w:t>Using ℋ_int=−ℒ_int (Lesson 39, Worked example 4) and ℒ_int=eψ̄γ^μψA_μ for the electron (Lesson 39, Section 2.2), rewrite S^(1) directly in terms of the QED interaction Lagrangian. S^(1)=−i∫d⁴x(−eψ̄γ^μψA_μ)=ie∫d⁴x ψ̄γ^μψA_μ, the expression Section 3 evaluates between specific external states.</w:t>
      </w:r>
    </w:p>
    <w:p>
      <w:pPr>
        <w:pStyle w:val="Heading1"/>
      </w:pPr>
      <w:r>
        <w:t>2 Reading external particles off the mode expansions</w:t>
      </w:r>
    </w:p>
    <w:p>
      <w:pPr>
        <w:pStyle w:val="Heading2"/>
      </w:pPr>
      <w:r>
        <w:t>2.1 An incoming electron</w:t>
      </w:r>
    </w:p>
    <w:p>
      <w:r>
        <w:t>The Dirac field's mode expansion (Lesson 35)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2"/>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2"/>
      </w:pPr>
      <w:r>
        <w:t>2.3 An incoming photon</w:t>
      </w:r>
    </w:p>
    <w:p>
      <w:r>
        <w:t>Lesson 37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pPr>
        <w:pStyle w:val="Heading3"/>
      </w:pPr>
      <w:r>
        <w:t>Worked example 2</w:t>
      </w:r>
    </w:p>
    <w:p>
      <w:r>
        <w:t>Explain why the specific process chosen here, e⁻(p)+γ(k)→e⁻(p′), uses the b(p) piece of ψ and not the d(p) piece. The b operators are associated with the electron (the particle, in the charge convention fixed since Lesson 22), and the d operators with the positron (the antiparticle); since the process being evaluated involves an electron in the initial state, not a positron, only the b(p) piece of ψ has a nonzero matrix element with that initial state.</w:t>
      </w:r>
    </w:p>
    <w:p>
      <w:pPr>
        <w:pStyle w:val="Heading1"/>
      </w:pPr>
      <w:r>
        <w:t>3 Assembling the amplitude</w:t>
      </w:r>
    </w:p>
    <w:p>
      <w:pPr>
        <w:pStyle w:val="Heading2"/>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m:t>
          </m:r>
          <m:r>
            <m:t xml:space="preserve">s</m:t>
          </m:r>
          <m:r>
            <m:t xml:space="preserve">′</m:t>
          </m:r>
          <m:r>
            <m:t xml:space="preserve">|</m:t>
          </m:r>
          <m:sSup>
            <m:e>
              <m:r>
                <m:t xml:space="preserve">S</m:t>
              </m:r>
            </m:e>
            <m:sup>
              <m:r>
                <m:t xml:space="preserve">1</m:t>
              </m:r>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m:t>
          </m:r>
          <m:sSup>
            <m:e>
              <m:r>
                <m:t xml:space="preserve">d</m:t>
              </m:r>
            </m:e>
            <m:sup>
              <m:r>
                <m:t xml:space="preserve">4</m:t>
              </m:r>
            </m:sup>
          </m:sSup>
          <m:r>
            <m:t xml:space="preserve">x</m:t>
          </m:r>
          <m:r>
            <m:t xml:space="preserve">[</m:t>
          </m:r>
          <m:sSub>
            <m:e>
              <m:r>
                <m:t xml:space="preserve">ū</m:t>
              </m:r>
            </m:e>
            <m:sub>
              <m:r>
                <m:t xml:space="preserve">s</m:t>
              </m:r>
            </m:sub>
          </m:sSub>
          <m:r>
            <m:t xml:space="preserve">′</m:t>
          </m:r>
          <m:r>
            <m:t xml:space="preserve">p</m:t>
          </m:r>
          <m:r>
            <m:t xml:space="preserve">′</m:t>
          </m:r>
          <m:sSup>
            <m:e>
              <m:r>
                <m:t xml:space="preserve">e</m:t>
              </m:r>
            </m:e>
            <m:sup>
              <m:r>
                <m:t xml:space="preserve">ip</m:t>
              </m:r>
              <m:r>
                <m:t xml:space="preserve">′</m:t>
              </m:r>
              <m:r>
                <m:t xml:space="preserve">x</m:t>
              </m:r>
            </m:sup>
          </m:sSup>
          <m:r>
            <m:t xml:space="preserve">]</m:t>
          </m:r>
          <m:sSup>
            <m:e>
              <m:r>
                <m:t xml:space="preserve">γ</m:t>
              </m:r>
            </m:e>
            <m:sup>
              <m:r>
                <m:t xml:space="preserve">μ</m:t>
              </m:r>
            </m:sup>
          </m:sSup>
          <m:r>
            <m:t xml:space="preserve">[</m:t>
          </m:r>
          <m:sSub>
            <m:e>
              <m:r>
                <m:t xml:space="preserve">u</m:t>
              </m:r>
            </m:e>
            <m:sub>
              <m:r>
                <m:t xml:space="preserve">s</m:t>
              </m:r>
            </m:sub>
          </m:sSub>
          <m:r>
            <m:t xml:space="preserve">p</m:t>
          </m:r>
          <m:sSup>
            <m:e>
              <m:r>
                <m:t xml:space="preserve">e</m:t>
              </m:r>
            </m:e>
            <m:sup>
              <m:r>
                <m:t xml:space="preserve">−</m:t>
              </m:r>
              <m:r>
                <m:t xml:space="preserve">ipx</m:t>
              </m:r>
            </m:sup>
          </m:sSup>
          <m:r>
            <m:t xml:space="preserve">]</m:t>
          </m:r>
          <m:r>
            <m:t xml:space="preserve">[</m:t>
          </m:r>
          <m:sSub>
            <m:e>
              <m:r>
                <m:t xml:space="preserve">ε</m:t>
              </m:r>
            </m:e>
            <m:sub>
              <m:r>
                <m:t xml:space="preserve">λ</m:t>
              </m:r>
            </m:sub>
          </m:sSub>
          <m:r>
            <m:t xml:space="preserve">,</m:t>
          </m:r>
          <m:r>
            <m:t xml:space="preserve">μ</m:t>
          </m:r>
          <m:r>
            <m:t xml:space="preserve">k</m:t>
          </m:r>
          <m:sSup>
            <m:e>
              <m:r>
                <m:t xml:space="preserve">e</m:t>
              </m:r>
            </m:e>
            <m:sup>
              <m:r>
                <m:t xml:space="preserve">−</m:t>
              </m:r>
              <m:r>
                <m:t xml:space="preserve">ikx</m:t>
              </m:r>
            </m:sup>
          </m:sSup>
          <m:r>
            <m:t xml:space="preserve">]</m:t>
          </m:r>
        </m:oMath>
      </m:oMathPara>
    </w:p>
    <w:p>
      <w:r>
        <w:t>The spinor and polarization factors carry no x-dependence and pull outside the integral, leaving only the exponential factors and the integral over x.</w:t>
      </w:r>
    </w:p>
    <w:p>
      <w:pPr>
        <w:pStyle w:val="Heading2"/>
      </w:pPr>
      <w:r>
        <w:t>3.2 Momentum conservation</w:t>
      </w:r>
    </w:p>
    <w:p>
      <w:pPr>
        <w:spacing w:before="100" w:after="160"/>
        <w:jc w:val="center"/>
      </w:pPr>
      <m:oMathPara>
        <m:oMath>
          <m:r>
            <m:t xml:space="preserve">∫</m:t>
          </m:r>
          <m:sSup>
            <m:e>
              <m:r>
                <m:t xml:space="preserve">d</m:t>
              </m:r>
            </m:e>
            <m:sup>
              <m:r>
                <m:t xml:space="preserve">4</m:t>
              </m:r>
            </m:sup>
          </m:sSup>
          <m:r>
            <m:t xml:space="preserve">x</m:t>
          </m:r>
          <m:r>
            <m:t xml:space="preserve">,</m:t>
          </m:r>
          <m:sSup>
            <m:e>
              <m:r>
                <m:t xml:space="preserve">e</m:t>
              </m:r>
            </m:e>
            <m:sup>
              <m:r>
                <m:t xml:space="preserve">i</m:t>
              </m:r>
              <m:r>
                <m:t xml:space="preserve">p</m:t>
              </m:r>
              <m:r>
                <m:t xml:space="preserve">′</m:t>
              </m:r>
              <m:r>
                <m:t xml:space="preserve">−</m:t>
              </m:r>
              <m:r>
                <m:t xml:space="preserve">p</m:t>
              </m:r>
              <m:r>
                <m:t xml:space="preserve">−</m:t>
              </m:r>
              <m:r>
                <m:t xml:space="preserve">k</m:t>
              </m:r>
              <m:r>
                <m:t xml:space="preserve">x</m:t>
              </m:r>
            </m:sup>
          </m:sSup>
          <m:r>
            <m:t xml:space="preserve">=</m:t>
          </m:r>
          <m:sSup>
            <m:e>
              <m:r>
                <m:t xml:space="preserve">2π</m:t>
              </m:r>
            </m:e>
            <m:sup>
              <m:r>
                <m:t xml:space="preserve">4</m:t>
              </m:r>
            </m:sup>
          </m:sSup>
          <m:sSup>
            <m:e>
              <m:r>
                <m:t xml:space="preserve">δ</m:t>
              </m:r>
            </m:e>
            <m:sup>
              <m:r>
                <m:t xml:space="preserve">4</m:t>
              </m:r>
            </m:sup>
          </m:sSup>
          <m:r>
            <m:t xml:space="preserve">p</m:t>
          </m:r>
          <m:r>
            <m:t xml:space="preserve">′</m:t>
          </m:r>
          <m:r>
            <m:t xml:space="preserve">−</m:t>
          </m:r>
          <m:r>
            <m:t xml:space="preserve">p</m:t>
          </m:r>
          <m:r>
            <m:t xml:space="preserve">−</m:t>
          </m:r>
          <m:r>
            <m:t xml:space="preserve">k</m:t>
          </m:r>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m:t>
          </m:r>
          <m:r>
            <m:t xml:space="preserve">s</m:t>
          </m:r>
          <m:r>
            <m:t xml:space="preserve">′</m:t>
          </m:r>
          <m:r>
            <m:t xml:space="preserve">|</m:t>
          </m:r>
          <m:sSup>
            <m:e>
              <m:r>
                <m:t xml:space="preserve">S</m:t>
              </m:r>
            </m:e>
            <m:sup>
              <m:r>
                <m:t xml:space="preserve">1</m:t>
              </m:r>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m:t>
          </m:r>
          <m:sSub>
            <m:e>
              <m:r>
                <m:t xml:space="preserve">ū</m:t>
              </m:r>
            </m:e>
            <m:sub>
              <m:r>
                <m:t xml:space="preserve">s</m:t>
              </m:r>
            </m:sub>
          </m:sSub>
          <m:r>
            <m:t xml:space="preserve">′</m:t>
          </m:r>
          <m:r>
            <m:t xml:space="preserve">p</m:t>
          </m:r>
          <m:r>
            <m:t xml:space="preserve">′</m:t>
          </m:r>
          <m:sSup>
            <m:e>
              <m:r>
                <m:t xml:space="preserve">γ</m:t>
              </m:r>
            </m:e>
            <m:sup>
              <m:r>
                <m:t xml:space="preserve">μ</m:t>
              </m:r>
            </m:sup>
          </m:sSup>
          <m:sSub>
            <m:e>
              <m:r>
                <m:t xml:space="preserve">u</m:t>
              </m:r>
            </m:e>
            <m:sub>
              <m:r>
                <m:t xml:space="preserve">s</m:t>
              </m:r>
            </m:sub>
          </m:sSub>
          <m:r>
            <m:t xml:space="preserve">p</m:t>
          </m:r>
          <m:r>
            <m:t xml:space="preserve">,</m:t>
          </m:r>
          <m:sSub>
            <m:e>
              <m:r>
                <m:t xml:space="preserve">ε</m:t>
              </m:r>
            </m:e>
            <m:sub>
              <m:r>
                <m:t xml:space="preserve">λ</m:t>
              </m:r>
            </m:sub>
          </m:sSub>
          <m:r>
            <m:t xml:space="preserve">,</m:t>
          </m:r>
          <m:r>
            <m:t xml:space="preserve">μ</m:t>
          </m:r>
          <m:r>
            <m:t xml:space="preserve">k</m:t>
          </m:r>
          <m:r>
            <m:t xml:space="preserve">,</m:t>
          </m:r>
          <m:sSup>
            <m:e>
              <m:r>
                <m:t xml:space="preserve">2π</m:t>
              </m:r>
            </m:e>
            <m:sup>
              <m:r>
                <m:t xml:space="preserve">4</m:t>
              </m:r>
            </m:sup>
          </m:sSup>
          <m:sSup>
            <m:e>
              <m:r>
                <m:t xml:space="preserve">δ</m:t>
              </m:r>
            </m:e>
            <m:sup>
              <m:r>
                <m:t xml:space="preserve">4</m:t>
              </m:r>
            </m:sup>
          </m:sSup>
          <m:r>
            <m:t xml:space="preserve">p</m:t>
          </m:r>
          <m:r>
            <m:t xml:space="preserve">′</m:t>
          </m:r>
          <m:r>
            <m:t xml:space="preserve">−</m:t>
          </m:r>
          <m:r>
            <m:t xml:space="preserve">p</m:t>
          </m:r>
          <m:r>
            <m:t xml:space="preserve">−</m:t>
          </m:r>
          <m:r>
            <m:t xml:space="preserve">k</m:t>
          </m:r>
        </m:oMath>
      </m:oMathPara>
    </w:p>
    <w:p>
      <w:pPr>
        <w:pStyle w:val="Heading2"/>
      </w:pPr>
      <w:r>
        <w:t>3.3 The vertex factor</w:t>
      </w:r>
    </w:p>
    <w:p>
      <w:pPr>
        <w:spacing w:before="160" w:after="160"/>
        <w:jc w:val="center"/>
      </w:pPr>
      <w:r>
        <w:rPr>
          <w:rFonts w:ascii="Consolas" w:hAnsi="Consolas" w:cs="Consolas" w:eastAsia="Consolas"/>
          <w:sz w:val="20"/>
        </w:rPr>
        <w:t>e^{-}(p) ----*----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e</m:t>
          </m:r>
          <m:sSup>
            <m:e>
              <m:r>
                <m:t xml:space="preserve">γ</m:t>
              </m:r>
            </m:e>
            <m:sup>
              <m:r>
                <m:t xml:space="preserve">μ</m:t>
              </m:r>
            </m:sup>
          </m:sSup>
        </m:oMath>
      </m:oMathPara>
    </w:p>
    <w:p>
      <w:r>
        <w:t>exactly the vertex factor previewed without derivation since Lesson 22, and confirmed in the sign-fix review of Lessons 4–33: this lesson supplies the derivation those earlier forward references assumed.</w:t>
      </w:r>
    </w:p>
    <w:p>
      <w:pPr>
        <w:pStyle w:val="Heading3"/>
      </w:pPr>
      <w: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1"/>
      </w:pPr>
      <w:r>
        <w:t>4 Why the vertex alone is not a complete process</w:t>
      </w:r>
    </w:p>
    <w:p>
      <w:pPr>
        <w:pStyle w:val="Heading2"/>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2"/>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pPr>
        <w:pStyle w:val="Heading3"/>
      </w:pPr>
      <w: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exactly the structure of the Feynman diagrams Part VII constructs, with the single vertex derived in this lesson serving as their fundamental, repeated building block rather than as a diagram in its own right.</w:t>
      </w:r>
    </w:p>
    <w:p>
      <w:pPr>
        <w:pStyle w:val="Heading1"/>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exactly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45.</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43)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41), its field content examined (Lesson 42), its coupling constant characterized (Lesson 43), and its fundamental interaction now reduced to a single, reusable Feynman rule.</w:t>
      </w:r>
    </w:p>
    <w:p>
      <w:pPr>
        <w:pStyle w:val="Heading1"/>
      </w:pPr>
      <w:r>
        <w:t>7 Summary</w:t>
      </w:r>
    </w:p>
    <w:p>
      <w:pPr>
        <w:pStyle w:val="ListNumber"/>
        <w:numPr>
          <w:ilvl w:val="0"/>
          <w:numId w:val="10"/>
        </w:numPr>
      </w:pPr>
      <w:r>
        <w:t>First-order time-dependent perturbation theory in the interaction picture gives S^(1)=−i∫d⁴xℋ_int(x)=ie∫d⁴xψ̄γ^μψA_μ for the electron.</w:t>
      </w:r>
    </w:p>
    <w:p>
      <w:pPr>
        <w:pStyle w:val="ListNumber"/>
        <w:numPr>
          <w:ilvl w:val="0"/>
          <w:numId w:val="10"/>
        </w:numPr>
      </w:pPr>
      <w:r>
        <w:t>Contracting ψ, ψ̄, and A_μ against an incoming electron, an outgoing electron, and an incoming photon respectively picks out u(p)e^(−ipx), ū(p′)e^(ip′x), and ε_μ(k)e^(−ikx) from their mode expansions.</w:t>
      </w:r>
    </w:p>
    <w:p>
      <w:pPr>
        <w:pStyle w:val="ListNumber"/>
        <w:numPr>
          <w:ilvl w:val="0"/>
          <w:numId w:val="10"/>
        </w:numPr>
      </w:pPr>
      <w:r>
        <w:t>Substituting and integrating over x gives ie ū(p′)γ^μu(p)ε_μ(k)(2π)⁴δ⁴(p′−p−k).</w:t>
      </w:r>
    </w:p>
    <w:p>
      <w:pPr>
        <w:pStyle w:val="ListNumber"/>
        <w:numPr>
          <w:ilvl w:val="0"/>
          <w:numId w:val="10"/>
        </w:numPr>
      </w:pPr>
      <w:r>
        <w:t>Stripping the external wavefunctions and delta function leaves the vertex factor, +ieγ^μ, matching every earlier forward reference in the course.</w:t>
      </w:r>
    </w:p>
    <w:p>
      <w:pPr>
        <w:pStyle w:val="ListNumber"/>
        <w:numPr>
          <w:ilvl w:val="0"/>
          <w:numId w:val="10"/>
        </w:numPr>
      </w:pPr>
      <w:r>
        <w:t>The on-shell conditions for a single vertex force p·k=0, which in the electron's rest frame requires a zero-energy photon.</w:t>
      </w:r>
    </w:p>
    <w:p>
      <w:pPr>
        <w:pStyle w:val="ListNumber"/>
        <w:numPr>
          <w:ilvl w:val="0"/>
          <w:numId w:val="10"/>
        </w:numPr>
      </w:pPr>
      <w:r>
        <w:t>Consequently, no genuine physical process is described by a single vertex alone; real processes require at least two vertices connected by an internal, off-shell line.</w:t>
      </w:r>
    </w:p>
    <w:p>
      <w:pPr>
        <w:pStyle w:val="ListNumber"/>
        <w:numPr>
          <w:ilvl w:val="0"/>
          <w:numId w:val="10"/>
        </w:numPr>
      </w:pPr>
      <w:r>
        <w:t>This vertex factor is universal, reused unchanged in every diagram built from ℒ_QED, a property Part VII's diagrammatic methods depend on.</w:t>
      </w:r>
    </w:p>
    <w:p>
      <w:pPr>
        <w:pStyle w:val="ListNumber"/>
        <w:numPr>
          <w:ilvl w:val="0"/>
          <w:numId w:val="10"/>
        </w:numPr>
      </w:pPr>
      <w:r>
        <w:t>Part VI is now complete: the QED Lagrangian, its field tensor, its coupling constant, and its fundamental vertex have all been assembled from first principles.</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Starting from</w:t>
            </w:r>
          </w:p>
        </w:tc>
        <w:tc>
          <w:tcPr>
            <w:tcW w:type="dxa" w:w="1632"/>
            <w:vAlign w:val="center"/>
            <w:tcMar>
              <w:top w:w="100" w:type="dxa"/>
              <w:start w:w="100" w:type="dxa"/>
              <w:bottom w:w="100" w:type="dxa"/>
              <w:end w:w="100" w:type="dxa"/>
            </w:tcMar>
          </w:tcPr>
          <w:p>
            <w:r>
              <w:t>ψ(t)⟩_I=U_I(t,t_0)</w:t>
            </w:r>
          </w:p>
        </w:tc>
        <w:tc>
          <w:tcPr>
            <w:tcW w:type="dxa" w:w="1632"/>
            <w:vAlign w:val="center"/>
            <w:tcMar>
              <w:top w:w="100" w:type="dxa"/>
              <w:start w:w="100" w:type="dxa"/>
              <w:bottom w:w="100" w:type="dxa"/>
              <w:end w:w="100" w:type="dxa"/>
            </w:tcMar>
          </w:tcPr>
          <w:p>
            <w:r>
              <w:t>ψ(t_0)⟩_I and i∂_t</w:t>
            </w:r>
          </w:p>
        </w:tc>
        <w:tc>
          <w:tcPr>
            <w:tcW w:type="dxa" w:w="1632"/>
            <w:vAlign w:val="center"/>
            <w:tcMar>
              <w:top w:w="100" w:type="dxa"/>
              <w:start w:w="100" w:type="dxa"/>
              <w:bottom w:w="100" w:type="dxa"/>
              <w:end w:w="100" w:type="dxa"/>
            </w:tcMar>
          </w:tcPr>
          <w:p>
            <w:r>
              <w:t>ψ(t)⟩_I=H_int,I(t)</w:t>
            </w:r>
          </w:p>
        </w:tc>
        <w:tc>
          <w:tcPr>
            <w:tcW w:type="dxa" w:w="1632"/>
            <w:vAlign w:val="center"/>
            <w:tcMar>
              <w:top w:w="100" w:type="dxa"/>
              <w:start w:w="100" w:type="dxa"/>
              <w:bottom w:w="100" w:type="dxa"/>
              <w:end w:w="100" w:type="dxa"/>
            </w:tcMar>
          </w:tcPr>
          <w:p>
            <w:r>
              <w:t>ψ(t)⟩_I, derive the integral equation U_I(t,t_0)=1−i∫_(t_0)^t dt′H_int,I(t′)U_I(t′,t_0) by direct integration.</w:t>
            </w: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Starting from H_int(t)=∫d³xℋ_int(x,t), rewrite U_I^(1)(+∞,−∞) as a single four-dimensional integral, ∫d⁴x.</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Using ℋ_int=−ℒ_int and ℒ_int=eψ̄γ^μψA_μ, derive Worked example 1's result S^(1)=ie∫d⁴xψ̄γ^μψA_μ.</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State the mode-expansion contraction used for an incoming photon in Section 2.3, and explain why the relevant matrix element is ⟨0</w:t>
            </w:r>
          </w:p>
        </w:tc>
        <w:tc>
          <w:tcPr>
            <w:tcW w:type="dxa" w:w="1632"/>
            <w:vAlign w:val="center"/>
            <w:tcMar>
              <w:top w:w="100" w:type="dxa"/>
              <w:start w:w="100" w:type="dxa"/>
              <w:bottom w:w="100" w:type="dxa"/>
              <w:end w:w="100" w:type="dxa"/>
            </w:tcMar>
          </w:tcPr>
          <w:p>
            <w:r>
              <w:t>A^i(x)</w:t>
            </w:r>
          </w:p>
        </w:tc>
        <w:tc>
          <w:tcPr>
            <w:tcW w:type="dxa" w:w="1632"/>
            <w:vAlign w:val="center"/>
            <w:tcMar>
              <w:top w:w="100" w:type="dxa"/>
              <w:start w:w="100" w:type="dxa"/>
              <w:bottom w:w="100" w:type="dxa"/>
              <w:end w:w="100" w:type="dxa"/>
            </w:tcMar>
          </w:tcPr>
          <w:p>
            <w:r>
              <w:t>k,λ⟩ rather than ⟨k,λ</w:t>
            </w:r>
          </w:p>
        </w:tc>
        <w:tc>
          <w:tcPr>
            <w:tcW w:type="dxa" w:w="1632"/>
            <w:vAlign w:val="center"/>
            <w:tcMar>
              <w:top w:w="100" w:type="dxa"/>
              <w:start w:w="100" w:type="dxa"/>
              <w:bottom w:w="100" w:type="dxa"/>
              <w:end w:w="100" w:type="dxa"/>
            </w:tcMar>
          </w:tcPr>
          <w:p>
            <w:r>
              <w:t>A^i(x)</w:t>
            </w:r>
          </w:p>
        </w:tc>
        <w:tc>
          <w:tcPr>
            <w:tcW w:type="dxa" w:w="1632"/>
            <w:vAlign w:val="center"/>
            <w:tcMar>
              <w:top w:w="100" w:type="dxa"/>
              <w:start w:w="100" w:type="dxa"/>
              <w:bottom w:w="100" w:type="dxa"/>
              <w:end w:w="100" w:type="dxa"/>
            </w:tcMar>
          </w:tcPr>
          <w:p>
            <w:r>
              <w:t>0⟩.</w:t>
            </w: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Evaluate p·k explicitly in the electron's rest frame, p=(m,0,0,0), for a photon of energy ω and momentum k, and show p·k=mω.</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35 and 37, and the interaction term derived in Lesson 39), and state, for each, what would have had to be different if the derivation had instead been carried out for a hypothetical scalar (rather than Dirac) charged field interacting with the photon.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1"/>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43: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22's antiparticle assignment for the Dirac field, carried through Lessons 29 and 35);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22.</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39), which for a charged scalar field would instead be the different interaction term derived for the complex scalar in Lesson 38's Solutions 9–10, −iqA^μ(φ</w:t>
      </w:r>
      <w:r>
        <w:rPr>
          <w:i/>
        </w:rPr>
        <w:t>∂_μφ−φ∂_μφ</w:t>
      </w:r>
      <w:r>
        <w:t>), producing a different-looking (momentum-dependent, rather than a fixed γ^μ) vertex factor, since that interaction term itself involves derivatives of the scalar field rather than a fixed bilinear like ψ̄γ^μψ.</w:t>
      </w:r>
    </w:p>
    <w:p>
      <w:pPr>
        <w:pStyle w:val="Heading1"/>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1"/>
      </w:pPr>
      <w:r>
        <w:t>Next lesson</w:t>
      </w:r>
    </w:p>
    <w:p>
      <w:r>
        <w:t>Lesson 45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