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FDD02" w14:textId="77777777" w:rsidR="00557D37" w:rsidRDefault="00B54EE6">
      <w:pPr>
        <w:spacing w:before="2000"/>
        <w:jc w:val="left"/>
      </w:pPr>
      <w:r>
        <w:rPr>
          <w:rFonts w:ascii="Georgia" w:hAnsi="Georgia"/>
          <w:b/>
          <w:bCs/>
          <w:sz w:val="22"/>
          <w:szCs w:val="48"/>
        </w:rPr>
        <w:t>Giving Birth to an Ivy League Student</w:t>
      </w:r>
    </w:p>
    <w:p w14:paraId="420E5CE9" w14:textId="77777777" w:rsidR="00557D37" w:rsidRDefault="00B54EE6">
      <w:pPr>
        <w:spacing w:before="400"/>
        <w:jc w:val="left"/>
      </w:pPr>
      <w:r>
        <w:rPr>
          <w:rFonts w:ascii="Georgia" w:hAnsi="Georgia"/>
          <w:i/>
          <w:iCs/>
          <w:sz w:val="22"/>
          <w:szCs w:val="28"/>
        </w:rPr>
        <w:t>A Realistic Parent’s Playbook for Raising a Strong Applicant Without the Burnout</w:t>
      </w:r>
    </w:p>
    <w:p w14:paraId="3C0F1F8D" w14:textId="77777777" w:rsidR="00557D37" w:rsidRDefault="00B54EE6">
      <w:pPr>
        <w:spacing w:before="800"/>
        <w:jc w:val="left"/>
      </w:pPr>
      <w:r>
        <w:rPr>
          <w:rFonts w:ascii="Georgia" w:hAnsi="Georgia"/>
          <w:sz w:val="22"/>
          <w:szCs w:val="32"/>
        </w:rPr>
        <w:t>Sophia Shepherd</w:t>
      </w:r>
    </w:p>
    <w:p w14:paraId="72E7AEF1" w14:textId="77777777" w:rsidR="00557D37" w:rsidRDefault="00B54EE6">
      <w:pPr>
        <w:pageBreakBefore/>
        <w:spacing w:before="400"/>
        <w:jc w:val="left"/>
      </w:pPr>
      <w:r>
        <w:rPr>
          <w:rFonts w:ascii="Georgia" w:hAnsi="Georgia"/>
          <w:sz w:val="22"/>
          <w:szCs w:val="22"/>
        </w:rPr>
        <w:lastRenderedPageBreak/>
        <w:t>Copyright © 2026 Sophia Shepherd. All rights reserved.</w:t>
      </w:r>
    </w:p>
    <w:p w14:paraId="3D2F4033" w14:textId="77777777" w:rsidR="00557D37" w:rsidRDefault="00B54EE6">
      <w:pPr>
        <w:spacing w:before="200"/>
        <w:jc w:val="left"/>
      </w:pPr>
      <w:r>
        <w:rPr>
          <w:rFonts w:ascii="Georgia" w:hAnsi="Georgia"/>
          <w:sz w:val="22"/>
          <w:szCs w:val="22"/>
        </w:rPr>
        <w:t>No part of this publication may be reproduced, distributed, or transmitted in any form or by any means without the prior written permission of the copyright holder, except for brief quotations in critical reviews and certain other noncommercial uses permitted by copyright law.</w:t>
      </w:r>
    </w:p>
    <w:p w14:paraId="58BEA6B0" w14:textId="77777777" w:rsidR="00557D37" w:rsidRDefault="00B54EE6">
      <w:pPr>
        <w:spacing w:before="200"/>
        <w:jc w:val="left"/>
      </w:pPr>
      <w:r>
        <w:rPr>
          <w:rFonts w:ascii="Georgia" w:hAnsi="Georgia"/>
          <w:sz w:val="22"/>
          <w:szCs w:val="22"/>
        </w:rPr>
        <w:t>This book is an independent guide. It is not produced, endorsed, or reviewed by any university, college, or admissions organization. Outcomes are not guaranteed.</w:t>
      </w:r>
    </w:p>
    <w:p w14:paraId="155AB53B" w14:textId="77777777" w:rsidR="00557D37" w:rsidRDefault="00B54EE6">
      <w:pPr>
        <w:pStyle w:val="Heading1"/>
        <w:keepNext/>
        <w:pageBreakBefore/>
        <w:jc w:val="center"/>
      </w:pPr>
      <w:bookmarkStart w:id="0" w:name="readbook"/>
      <w:r>
        <w:rPr>
          <w:rFonts w:ascii="Georgia" w:hAnsi="Georgia"/>
          <w:b/>
          <w:color w:val="2A5CAA"/>
          <w:sz w:val="32"/>
        </w:rPr>
        <w:lastRenderedPageBreak/>
        <w:t>How to Read This Book</w:t>
      </w:r>
      <w:bookmarkEnd w:id="0"/>
    </w:p>
    <w:p w14:paraId="53E7635C" w14:textId="77777777" w:rsidR="00557D37" w:rsidRDefault="00B54EE6">
      <w:pPr>
        <w:spacing w:after="200"/>
        <w:jc w:val="left"/>
      </w:pPr>
      <w:r>
        <w:rPr>
          <w:rFonts w:ascii="Georgia" w:hAnsi="Georgia"/>
          <w:sz w:val="22"/>
        </w:rPr>
        <w:t>This book is for parents of middle-school and high-school students who want their child to be a strong college applicant without turning the household into a pressure cooker. It is not a formula for manufacturing an Ivy League student. No such formula exists, and claiming otherwise would be dishonest.</w:t>
      </w:r>
    </w:p>
    <w:p w14:paraId="6EDBB2D6" w14:textId="77777777" w:rsidR="00557D37" w:rsidRDefault="00B54EE6">
      <w:pPr>
        <w:spacing w:after="200"/>
        <w:jc w:val="left"/>
      </w:pPr>
      <w:r>
        <w:rPr>
          <w:rFonts w:ascii="Georgia" w:hAnsi="Georgia"/>
          <w:sz w:val="22"/>
        </w:rPr>
        <w:t>No parenting choice can manufacture an Ivy League outcome. A child's development reflects many influences, including inherited traits, relationships, health, opportunity, schooling, resources, and chance. This book focuses on what families can support: safety, curiosity, learning, sound routines, access to help, and a student's growing independence. The examples are teaching cases, not research findings or promises. The examples in this book cannot represent every family. Children differ in disability, neurotype, language, culture, health, resources, and family structure. Adapt the suggestions to the child in front of you and consult qualified educators or clinicians when a need goes beyond general parenting guidance. Lack of money or access to an enrichment program is not a parenting failure, and no child needs a perfect childhood to build a meaningful future.</w:t>
      </w:r>
    </w:p>
    <w:p w14:paraId="7D68A397" w14:textId="77777777" w:rsidR="00557D37" w:rsidRDefault="00B54EE6">
      <w:pPr>
        <w:spacing w:after="200"/>
        <w:jc w:val="left"/>
      </w:pPr>
      <w:r>
        <w:rPr>
          <w:rFonts w:ascii="Georgia" w:hAnsi="Georgia"/>
          <w:sz w:val="22"/>
        </w:rPr>
        <w:t>Read the early chapters if you are still choosing a partner or expecting. Jump to the school and application chapters if high school is already underway. The checklists at the end can be copied into a separate note and used as you go.</w:t>
      </w:r>
    </w:p>
    <w:p w14:paraId="0931D915" w14:textId="77777777" w:rsidR="00557D37" w:rsidRDefault="00B54EE6">
      <w:pPr>
        <w:pageBreakBefore/>
        <w:spacing w:after="200"/>
        <w:jc w:val="left"/>
      </w:pPr>
      <w:r>
        <w:rPr>
          <w:rFonts w:ascii="Georgia" w:hAnsi="Georgia"/>
          <w:sz w:val="22"/>
        </w:rPr>
        <w:t>It is not for parents who want a guarantee. It is not for families looking for shortcuts that violate rules. It is not a substitute for the student’s own work. The student still has to do the reading, the problem sets, the practice, and the writing.</w:t>
      </w:r>
    </w:p>
    <w:p w14:paraId="5861BCA4" w14:textId="77777777" w:rsidR="00557D37" w:rsidRDefault="00B54EE6">
      <w:pPr>
        <w:spacing w:after="200"/>
        <w:jc w:val="left"/>
      </w:pPr>
      <w:r>
        <w:rPr>
          <w:rFonts w:ascii="Georgia" w:hAnsi="Georgia"/>
          <w:sz w:val="22"/>
        </w:rPr>
        <w:t>It may be useful to families navigating more than one school system, supporting technical interests, or planning for a long professional path. These situations call for careful research because requirements and costs differ. They do not make a student more or less deserving of an education.</w:t>
      </w:r>
    </w:p>
    <w:p w14:paraId="388EBA64" w14:textId="77777777" w:rsidR="00557D37" w:rsidRDefault="00B54EE6">
      <w:pPr>
        <w:spacing w:after="200"/>
        <w:jc w:val="left"/>
      </w:pPr>
      <w:r>
        <w:rPr>
          <w:rFonts w:ascii="Georgia" w:hAnsi="Georgia"/>
          <w:sz w:val="22"/>
        </w:rPr>
        <w:t>This book is for parents who are willing to do the ordinary, unglamorous work of supporting a student’s actual interests and abilities rather than manufacturing a profile. It is useful if your student is in middle school or high school and you want a realistic timeline and set of decisions. It is also useful earlier, when partner choice and early sensory input are still open.</w:t>
      </w:r>
    </w:p>
    <w:p>
      <w:pPr>
        <w:pStyle w:val="Heading2"/>
        <w:jc w:val="center"/>
      </w:pPr>
      <w:r>
        <w:rPr>
          <w:rFonts w:ascii="Georgia" w:hAnsi="Georgia"/>
          <w:b/>
          <w:color w:val="2A5CAA"/>
          <w:sz w:val="25"/>
        </w:rPr>
        <w:t>The Order of Priorities</w:t>
      </w:r>
    </w:p>
    <w:p>
      <w:pPr>
        <w:jc w:val="left"/>
      </w:pPr>
      <w:r>
        <w:rPr>
          <w:rFonts w:ascii="Georgia" w:hAnsi="Georgia"/>
          <w:sz w:val="22"/>
        </w:rPr>
        <w:t>When choices compete, use this order. First protect safety, health, and enough sleep. Second, make sure the student can complete ordinary schoolwork and handle a sustainable course load. Third, preserve one or two genuine interests and growing independence. Fourth, make any application accurate and student-owned. Fifth, choose colleges by fit and a net price the family can manage, with highly selective schools treated as uncertain options. A lower priority never earns the right to damage a higher one.</w:t>
      </w:r>
    </w:p>
    <w:p w14:paraId="56916DDC" w14:textId="77777777" w:rsidR="00557D37" w:rsidRDefault="00B54EE6">
      <w:pPr>
        <w:pStyle w:val="Heading1"/>
        <w:keepNext/>
        <w:pageBreakBefore/>
        <w:jc w:val="center"/>
      </w:pPr>
      <w:bookmarkStart w:id="1" w:name="sec2"/>
      <w:bookmarkStart w:id="2" w:name="audience"/>
      <w:r>
        <w:rPr>
          <w:rFonts w:ascii="Georgia" w:hAnsi="Georgia"/>
          <w:b/>
          <w:color w:val="2A5CAA"/>
          <w:sz w:val="32"/>
        </w:rPr>
        <w:t>Who This Book Is For</w:t>
      </w:r>
      <w:bookmarkEnd w:id="1"/>
      <w:bookmarkEnd w:id="2"/>
    </w:p>
    <w:p w14:paraId="73E38553" w14:textId="77777777" w:rsidR="00557D37" w:rsidRDefault="00B54EE6">
      <w:pPr>
        <w:pageBreakBefore/>
        <w:spacing w:after="200"/>
        <w:jc w:val="left"/>
      </w:pPr>
      <w:r>
        <w:rPr>
          <w:rFonts w:ascii="Georgia" w:hAnsi="Georgia"/>
          <w:sz w:val="22"/>
        </w:rPr>
        <w:t>Use the guidance as a set of options to adapt, not a formula. Protect the student's health and voice; check current rules with schools and professionals; and stop practices that create more pressure than value.</w:t>
      </w:r>
    </w:p>
    <w:p w14:paraId="7A7EABD9" w14:textId="77777777" w:rsidR="00557D37" w:rsidRDefault="00B54EE6">
      <w:pPr>
        <w:spacing w:after="200"/>
        <w:jc w:val="left"/>
      </w:pPr>
      <w:r>
        <w:rPr>
          <w:rFonts w:ascii="Georgia" w:hAnsi="Georgia"/>
          <w:sz w:val="22"/>
        </w:rPr>
        <w:t>The useful subject of this book is how families can support learning, agency, and well-being over time. Examples are not proof that one parenting pattern caused an admission result. An application is one small part of a student's life, and selective colleges make decisions under constraints that no family can fully control.</w:t>
      </w:r>
    </w:p>
    <w:p w14:paraId="689396D8" w14:textId="77777777" w:rsidR="00557D37" w:rsidRDefault="00B54EE6">
      <w:pPr>
        <w:spacing w:after="200"/>
        <w:jc w:val="left"/>
      </w:pPr>
      <w:r>
        <w:rPr>
          <w:rFonts w:ascii="Georgia" w:hAnsi="Georgia"/>
          <w:sz w:val="22"/>
        </w:rPr>
        <w:t>Elite college admissions are selective. The number of qualified applicants exceeds the number of seats. Strong students are denied every year for reasons that include institutional priorities, geography, major capacity, and chance. A parent who treats an Ivy League outcome as the only measure of success will damage the relationship with their child and still may not get the result they want.</w:t>
      </w:r>
    </w:p>
    <w:p w14:paraId="010ED5C8" w14:textId="77777777" w:rsidR="00557D37" w:rsidRDefault="00B54EE6">
      <w:pPr>
        <w:spacing w:after="200"/>
        <w:jc w:val="left"/>
      </w:pPr>
      <w:r>
        <w:rPr>
          <w:rFonts w:ascii="Georgia" w:hAnsi="Georgia"/>
          <w:sz w:val="22"/>
        </w:rPr>
        <w:t>The title is deliberately provocative. It is a marketing hook, not a description of a predictable process. Following the guidance here cannot produce an Ivy League admission, and the book does not claim that it can.</w:t>
      </w:r>
    </w:p>
    <w:p w14:paraId="312C100E" w14:textId="77777777" w:rsidR="00557D37" w:rsidRDefault="00B54EE6">
      <w:pPr>
        <w:pStyle w:val="Heading1"/>
        <w:keepNext/>
        <w:pageBreakBefore/>
        <w:jc w:val="center"/>
      </w:pPr>
      <w:bookmarkStart w:id="3" w:name="sec1"/>
      <w:bookmarkStart w:id="4" w:name="readtitle"/>
      <w:r>
        <w:rPr>
          <w:rFonts w:ascii="Georgia" w:hAnsi="Georgia"/>
          <w:b/>
          <w:color w:val="2A5CAA"/>
          <w:sz w:val="32"/>
        </w:rPr>
        <w:t>How to Read the Title</w:t>
      </w:r>
      <w:bookmarkEnd w:id="3"/>
      <w:bookmarkEnd w:id="4"/>
    </w:p>
    <w:p w14:paraId="0270BDFC" w14:textId="77777777" w:rsidR="00557D37" w:rsidRDefault="00B54EE6">
      <w:pPr>
        <w:pStyle w:val="Heading1"/>
        <w:keepNext/>
        <w:pageBreakBefore/>
        <w:jc w:val="center"/>
      </w:pPr>
      <w:r>
        <w:rPr>
          <w:rFonts w:ascii="Georgia" w:hAnsi="Georgia"/>
          <w:b/>
          <w:color w:val="2A5CAA"/>
          <w:sz w:val="32"/>
        </w:rPr>
        <w:t>Contents</w:t>
      </w:r>
    </w:p>
    <w:p w14:paraId="3A3523CF" w14:textId="77777777" w:rsidR="00FE1D37" w:rsidRDefault="00CA19A5">
      <w:pPr>
        <w:jc w:val="left"/>
      </w:pPr>
      <w:hyperlink w:anchor="readbook" w:history="1">
        <w:r>
          <w:rPr>
            <w:rStyle w:val="Hyperlink"/>
          </w:rPr>
          <w:t>How to Read This Book</w:t>
        </w:r>
      </w:hyperlink>
    </w:p>
    <w:p w14:paraId="23AB8153" w14:textId="77777777" w:rsidR="00FE1D37" w:rsidRDefault="00CA19A5">
      <w:pPr>
        <w:jc w:val="left"/>
      </w:pPr>
      <w:hyperlink w:anchor="readtitle" w:history="1">
        <w:r>
          <w:rPr>
            <w:rStyle w:val="Hyperlink"/>
          </w:rPr>
          <w:t>How to Read the Title</w:t>
        </w:r>
      </w:hyperlink>
    </w:p>
    <w:p w14:paraId="058D1A08" w14:textId="77777777" w:rsidR="00FE1D37" w:rsidRDefault="00CA19A5">
      <w:pPr>
        <w:jc w:val="left"/>
      </w:pPr>
      <w:hyperlink w:anchor="audience" w:history="1">
        <w:r>
          <w:rPr>
            <w:rStyle w:val="Hyperlink"/>
          </w:rPr>
          <w:t>Who This Book Is For</w:t>
        </w:r>
      </w:hyperlink>
    </w:p>
    <w:p w14:paraId="112C6652" w14:textId="09F61F05" w:rsidR="00FE1D37" w:rsidRDefault="00CA19A5">
      <w:pPr>
        <w:jc w:val="left"/>
      </w:pPr>
      <w:hyperlink w:anchor="sec3" w:history="1">
        <w:r>
          <w:rPr>
            <w:rStyle w:val="Hyperlink"/>
          </w:rPr>
          <w:t>Chapter 1: Starting Well: Co-Parenting, Pregnancy, and Early Interaction</w:t>
        </w:r>
      </w:hyperlink>
    </w:p>
    <w:p w14:paraId="6F5E2137" w14:textId="77777777" w:rsidR="00FE1D37" w:rsidRDefault="00CA19A5">
      <w:pPr>
        <w:jc w:val="left"/>
      </w:pPr>
      <w:hyperlink w:anchor="sec7" w:history="1">
        <w:r>
          <w:rPr>
            <w:rStyle w:val="Hyperlink"/>
          </w:rPr>
          <w:t>Chapter 2: The Daily Environment: Pets, Schools, Media, and Habits</w:t>
        </w:r>
      </w:hyperlink>
    </w:p>
    <w:p w14:paraId="092D3B7C" w14:textId="77777777" w:rsidR="00FE1D37" w:rsidRDefault="00CA19A5">
      <w:pPr>
        <w:jc w:val="left"/>
      </w:pPr>
      <w:hyperlink w:anchor="sec11" w:history="1">
        <w:r>
          <w:rPr>
            <w:rStyle w:val="Hyperlink"/>
          </w:rPr>
          <w:t>Chapter 3: Family Roles, Friends, and Conflict</w:t>
        </w:r>
      </w:hyperlink>
    </w:p>
    <w:p w14:paraId="274FCB4E" w14:textId="77777777" w:rsidR="00FE1D37" w:rsidRDefault="00CA19A5">
      <w:pPr>
        <w:jc w:val="left"/>
      </w:pPr>
      <w:hyperlink w:anchor="sec13" w:history="1">
        <w:r>
          <w:rPr>
            <w:rStyle w:val="Hyperlink"/>
          </w:rPr>
          <w:t>Chapter 4: School Problems and Evaluations</w:t>
        </w:r>
      </w:hyperlink>
    </w:p>
    <w:p w14:paraId="3B373F36" w14:textId="77777777" w:rsidR="00FE1D37" w:rsidRDefault="00CA19A5">
      <w:pPr>
        <w:jc w:val="left"/>
      </w:pPr>
      <w:hyperlink w:anchor="sec14" w:history="1">
        <w:r>
          <w:rPr>
            <w:rStyle w:val="Hyperlink"/>
          </w:rPr>
          <w:t>Chapter 5: Learning and Growing Through the School Years</w:t>
        </w:r>
      </w:hyperlink>
    </w:p>
    <w:p w14:paraId="5180C638" w14:textId="77777777" w:rsidR="00FE1D37" w:rsidRDefault="00CA19A5">
      <w:pPr>
        <w:jc w:val="left"/>
      </w:pPr>
      <w:hyperlink w:anchor="sec19" w:history="1">
        <w:r>
          <w:rPr>
            <w:rStyle w:val="Hyperlink"/>
          </w:rPr>
          <w:t>Chapter 6: Course Choices, Testing, and Academic Support</w:t>
        </w:r>
      </w:hyperlink>
    </w:p>
    <w:p w14:paraId="544136BF" w14:textId="77777777" w:rsidR="00FE1D37" w:rsidRDefault="00CA19A5">
      <w:pPr>
        <w:jc w:val="left"/>
      </w:pPr>
      <w:hyperlink w:anchor="sec20" w:history="1">
        <w:r>
          <w:rPr>
            <w:rStyle w:val="Hyperlink"/>
          </w:rPr>
          <w:t>Chapter 7: Applications, Writing, and Well-Being</w:t>
        </w:r>
      </w:hyperlink>
    </w:p>
    <w:p w14:paraId="64DE2682" w14:textId="77777777" w:rsidR="00FE1D37" w:rsidRDefault="00CA19A5">
      <w:pPr>
        <w:jc w:val="left"/>
      </w:pPr>
      <w:hyperlink w:anchor="sec22" w:history="1">
        <w:r>
          <w:rPr>
            <w:rStyle w:val="Hyperlink"/>
          </w:rPr>
          <w:t>Chapter 8: The Ivy League and Choosing a College List</w:t>
        </w:r>
      </w:hyperlink>
    </w:p>
    <w:p w14:paraId="3978435C" w14:textId="77777777" w:rsidR="00FE1D37" w:rsidRDefault="00CA19A5">
      <w:pPr>
        <w:jc w:val="left"/>
      </w:pPr>
      <w:hyperlink w:anchor="sec24" w:history="1">
        <w:r>
          <w:rPr>
            <w:rStyle w:val="Hyperlink"/>
          </w:rPr>
          <w:t>Chapter 9: Specialized and Nontraditional Paths</w:t>
        </w:r>
      </w:hyperlink>
    </w:p>
    <w:p w14:paraId="55BCFD1B" w14:textId="77777777" w:rsidR="00FE1D37" w:rsidRDefault="00CA19A5">
      <w:pPr>
        <w:jc w:val="left"/>
      </w:pPr>
      <w:hyperlink w:anchor="sec27" w:history="1">
        <w:r>
          <w:rPr>
            <w:rStyle w:val="Hyperlink"/>
          </w:rPr>
          <w:t>Chapter 10: College Costs, Outcomes, and Next Steps</w:t>
        </w:r>
      </w:hyperlink>
    </w:p>
    <w:p w14:paraId="4E46E919" w14:textId="77777777" w:rsidR="00FE1D37" w:rsidRDefault="00CA19A5">
      <w:pPr>
        <w:jc w:val="left"/>
      </w:pPr>
      <w:hyperlink w:anchor="sec31" w:history="1">
        <w:r>
          <w:rPr>
            <w:rStyle w:val="Hyperlink"/>
          </w:rPr>
          <w:t>Chapter 11: A Practical Timeline</w:t>
        </w:r>
      </w:hyperlink>
    </w:p>
    <w:p w14:paraId="11693A54" w14:textId="77777777" w:rsidR="00FE1D37" w:rsidRDefault="00CA19A5">
      <w:pPr>
        <w:jc w:val="left"/>
      </w:pPr>
      <w:hyperlink w:anchor="appxA" w:history="1">
        <w:r>
          <w:rPr>
            <w:rStyle w:val="Hyperlink"/>
          </w:rPr>
          <w:t>Appendix A: Timeline at a Glance</w:t>
        </w:r>
      </w:hyperlink>
    </w:p>
    <w:p w14:paraId="0CEF5E9E" w14:textId="77777777" w:rsidR="00FE1D37" w:rsidRDefault="00CA19A5">
      <w:pPr>
        <w:jc w:val="left"/>
      </w:pPr>
      <w:hyperlink w:anchor="appxB" w:history="1">
        <w:r>
          <w:rPr>
            <w:rStyle w:val="Hyperlink"/>
          </w:rPr>
          <w:t>Appendix B: Questions for the Student</w:t>
        </w:r>
      </w:hyperlink>
    </w:p>
    <w:p w14:paraId="560D8C6B" w14:textId="77777777" w:rsidR="00FE1D37" w:rsidRDefault="00CA19A5">
      <w:pPr>
        <w:jc w:val="left"/>
      </w:pPr>
      <w:hyperlink w:anchor="appx300" w:history="1">
        <w:r>
          <w:rPr>
            <w:rStyle w:val="Hyperlink"/>
          </w:rPr>
          <w:t>Appendix C: Conversations That Support Independence</w:t>
        </w:r>
      </w:hyperlink>
    </w:p>
    <w:p w14:paraId="60D0C77A" w14:textId="77777777" w:rsidR="00FE1D37" w:rsidRDefault="00CA19A5">
      <w:pPr>
        <w:jc w:val="left"/>
      </w:pPr>
      <w:hyperlink w:anchor="appx301" w:history="1">
        <w:r>
          <w:rPr>
            <w:rStyle w:val="Hyperlink"/>
          </w:rPr>
          <w:t>Appendix D: A Calm College Research Routine</w:t>
        </w:r>
      </w:hyperlink>
    </w:p>
    <w:p w14:paraId="44816EA8" w14:textId="77777777" w:rsidR="00FE1D37" w:rsidRDefault="00CA19A5">
      <w:pPr>
        <w:jc w:val="left"/>
      </w:pPr>
      <w:hyperlink w:anchor="appx302" w:history="1">
        <w:r>
          <w:rPr>
            <w:rStyle w:val="Hyperlink"/>
          </w:rPr>
          <w:t>Appendix E: Application Integrity and Digital Tools</w:t>
        </w:r>
      </w:hyperlink>
    </w:p>
    <w:p w14:paraId="347F0CFB" w14:textId="77777777" w:rsidR="00FE1D37" w:rsidRDefault="00CA19A5">
      <w:pPr>
        <w:jc w:val="left"/>
      </w:pPr>
      <w:hyperlink w:anchor="appx303" w:history="1">
        <w:r>
          <w:rPr>
            <w:rStyle w:val="Hyperlink"/>
          </w:rPr>
          <w:t>Appendix F: Financial Aid Terms to Compare</w:t>
        </w:r>
      </w:hyperlink>
    </w:p>
    <w:p w14:paraId="0921CCE2" w14:textId="77777777" w:rsidR="00FE1D37" w:rsidRDefault="00CA19A5">
      <w:pPr>
        <w:jc w:val="left"/>
      </w:pPr>
      <w:hyperlink w:anchor="appx304" w:history="1">
        <w:r>
          <w:rPr>
            <w:rStyle w:val="Hyperlink"/>
          </w:rPr>
          <w:t>Appendix G: What to Recheck Each Application Year</w:t>
        </w:r>
      </w:hyperlink>
    </w:p>
    <w:p w14:paraId="70BDA974" w14:textId="77777777" w:rsidR="00FE1D37" w:rsidRDefault="00CA19A5">
      <w:pPr>
        <w:jc w:val="left"/>
      </w:pPr>
      <w:hyperlink w:anchor="appxH" w:history="1">
        <w:r>
          <w:rPr>
            <w:rStyle w:val="Hyperlink"/>
          </w:rPr>
          <w:t>Appendix H: Practical Examples and Conversation Guides</w:t>
        </w:r>
      </w:hyperlink>
    </w:p>
    <w:p w14:paraId="371ABF8D" w14:textId="77777777" w:rsidR="00557D37" w:rsidRDefault="00B54EE6">
      <w:pPr>
        <w:pStyle w:val="Heading1"/>
        <w:keepNext/>
        <w:pageBreakBefore/>
        <w:jc w:val="center"/>
      </w:pPr>
      <w:bookmarkStart w:id="5" w:name="sec3"/>
      <w:r>
        <w:rPr>
          <w:rFonts w:ascii="Georgia" w:hAnsi="Georgia"/>
          <w:b/>
          <w:color w:val="2A5CAA"/>
          <w:sz w:val="32"/>
        </w:rPr>
        <w:t>Chapter 1: Starting Well: Co-Parenting, Pregnancy, and Early Interaction</w:t>
      </w:r>
      <w:bookmarkEnd w:id="5"/>
    </w:p>
    <w:p>
      <w:pPr>
        <w:jc w:val="left"/>
      </w:pPr>
      <w:r>
        <w:rPr>
          <w:rFonts w:ascii="Georgia" w:hAnsi="Georgia"/>
          <w:sz w:val="22"/>
        </w:rPr>
        <w:t>A child’s early academic environment is not a prenatal project. It begins with how adults treat one another and how they respond to the child in front of them.</w:t>
      </w:r>
    </w:p>
    <w:p w14:paraId="18335A2B" w14:textId="77777777" w:rsidR="00FE1D37" w:rsidRDefault="00CA19A5">
      <w:pPr>
        <w:pStyle w:val="Heading2"/>
        <w:keepNext/>
        <w:jc w:val="center"/>
      </w:pPr>
      <w:r>
        <w:rPr>
          <w:rFonts w:ascii="Georgia" w:hAnsi="Georgia"/>
          <w:b/>
          <w:color w:val="2A5CAA"/>
          <w:sz w:val="25"/>
        </w:rPr>
        <w:t>Choosing a Co-Parent—Compatibility, Context, and Limits</w:t>
      </w:r>
    </w:p>
    <w:p>
      <w:pPr>
        <w:jc w:val="left"/>
      </w:pPr>
      <w:r>
        <w:rPr>
          <w:rFonts w:ascii="Georgia" w:hAnsi="Georgia"/>
          <w:sz w:val="22"/>
        </w:rPr>
        <w:t>Choose a co-parent for kindness, reliability, emotional safety, and the ability to share work and repair a disagreement. You cannot choose one for a child’s future SAT range. Heritability estimates describe variation across a population in a particular setting; they do not predict one child’s outcome or provide a partner-selection method. [1]</w:t>
      </w:r>
    </w:p>
    <w:p>
      <w:pPr>
        <w:jc w:val="left"/>
      </w:pPr>
      <w:r>
        <w:rPr>
          <w:rFonts w:ascii="Georgia" w:hAnsi="Georgia"/>
          <w:sz w:val="22"/>
        </w:rPr>
        <w:t>Look for the practical evidence of a workable partnership: Can each person listen without keeping score? Can they apologize, divide routine tasks, discuss money, and ask for help? These qualities do not guarantee an easy family life, but they shape the environment a child actually experiences. Pregnancy and family formation involve personal, medical, and cultural decisions; this guide does not prescribe who should have a child or when.</w:t>
      </w:r>
    </w:p>
    <w:p w14:paraId="481832AF" w14:textId="77777777" w:rsidR="00557D37" w:rsidRDefault="00B54EE6">
      <w:pPr>
        <w:pStyle w:val="Heading2"/>
        <w:keepNext/>
        <w:pageBreakBefore/>
        <w:jc w:val="center"/>
      </w:pPr>
      <w:bookmarkStart w:id="6" w:name="sec4"/>
      <w:r>
        <w:rPr>
          <w:rFonts w:ascii="Georgia" w:hAnsi="Georgia"/>
          <w:b/>
          <w:color w:val="2A5CAA"/>
          <w:sz w:val="25"/>
        </w:rPr>
        <w:t>During Pregnancy — Sensory Exposure</w:t>
      </w:r>
      <w:bookmarkEnd w:id="6"/>
    </w:p>
    <w:p>
      <w:pPr>
        <w:jc w:val="left"/>
      </w:pPr>
      <w:r>
        <w:rPr>
          <w:rFonts w:ascii="Georgia" w:hAnsi="Georgia"/>
          <w:sz w:val="22"/>
        </w:rPr>
        <w:t>An unborn baby can respond to some sounds, and newborns may recognize familiar features of speech or music. That finding does not show that a sound program raises later intelligence or achievement. [2]</w:t>
      </w:r>
    </w:p>
    <w:p>
      <w:pPr>
        <w:jc w:val="left"/>
      </w:pPr>
      <w:r>
        <w:rPr>
          <w:rFonts w:ascii="Georgia" w:hAnsi="Georgia"/>
          <w:sz w:val="22"/>
        </w:rPr>
        <w:t>Talk or sing if it makes pregnancy more enjoyable. Routine prenatal care and the pregnant person’s health matter more than a speaker placed near the abdomen. The market will gladly turn a quiet moment into a development plan; you do not need to buy one.</w:t>
      </w:r>
    </w:p>
    <w:p w14:paraId="6C51A9D1" w14:textId="77777777" w:rsidR="00557D37" w:rsidRDefault="00B54EE6">
      <w:pPr>
        <w:pStyle w:val="Heading2"/>
        <w:keepNext/>
        <w:pageBreakBefore/>
        <w:jc w:val="center"/>
      </w:pPr>
      <w:bookmarkStart w:id="7" w:name="sec5"/>
      <w:r>
        <w:rPr>
          <w:rFonts w:ascii="Georgia" w:hAnsi="Georgia"/>
          <w:b/>
          <w:color w:val="2A5CAA"/>
          <w:sz w:val="25"/>
        </w:rPr>
        <w:t>Once Born — Continuous Sensory and Interactive Input</w:t>
      </w:r>
      <w:bookmarkEnd w:id="7"/>
    </w:p>
    <w:p>
      <w:pPr>
        <w:jc w:val="left"/>
      </w:pPr>
      <w:r>
        <w:rPr>
          <w:rFonts w:ascii="Georgia" w:hAnsi="Georgia"/>
          <w:sz w:val="22"/>
        </w:rPr>
        <w:t>After birth, offer a safe, responsive relationship and ordinary chances to explore. Talk, read, sing, play, and answer the child’s cues when it is comfortable and possible. These exchanges support communication and regulation; they do not set a daily quota or manufacture later scores. [3]</w:t>
      </w:r>
    </w:p>
    <w:p>
      <w:pPr>
        <w:jc w:val="left"/>
      </w:pPr>
      <w:r>
        <w:rPr>
          <w:rFonts w:ascii="Georgia" w:hAnsi="Georgia"/>
          <w:sz w:val="22"/>
        </w:rPr>
        <w:t>During breakfast, a baby reaches toward a spoon. The adult says “spoon,” brings it within reach, waits, and smiles when the baby makes a sound. That small pause is the lesson: notice the child, answer what they are doing, and leave room for their next turn. No equipment is required.</w:t>
      </w:r>
    </w:p>
    <w:p w14:paraId="10872805" w14:textId="77777777" w:rsidR="00557D37" w:rsidRDefault="00B54EE6">
      <w:pPr>
        <w:pStyle w:val="Heading2"/>
        <w:keepNext/>
        <w:jc w:val="center"/>
      </w:pPr>
      <w:r>
        <w:rPr>
          <w:rFonts w:ascii="Georgia" w:hAnsi="Georgia"/>
          <w:b/>
          <w:color w:val="2A5CAA"/>
          <w:sz w:val="25"/>
        </w:rPr>
        <w:t>Serve-and-Return in Real Life</w:t>
      </w:r>
    </w:p>
    <w:p>
      <w:pPr>
        <w:jc w:val="left"/>
      </w:pPr>
      <w:r>
        <w:rPr>
          <w:rFonts w:ascii="Georgia" w:hAnsi="Georgia"/>
          <w:sz w:val="22"/>
        </w:rPr>
        <w:t>Serve-and-return is the useful core of responsive interaction. A child looks, reaches, vocalizes, or points; the adult notices and answers in a way that fits the moment. Then the adult waits. The child may continue, change the subject, or stop.</w:t>
      </w:r>
    </w:p>
    <w:p>
      <w:pPr>
        <w:jc w:val="left"/>
      </w:pPr>
      <w:r>
        <w:rPr>
          <w:rFonts w:ascii="Georgia" w:hAnsi="Georgia"/>
          <w:sz w:val="22"/>
        </w:rPr>
        <w:t>With an infant, you might imitate a coo and pause. With a toddler pointing at a dog, you might say, “Yes, a brown dog,” then follow the child’s gaze. If the child turns away or fusses, reduce the input. The adult’s job is to make an exchange possible, not to keep the performance going.</w:t>
      </w:r>
    </w:p>
    <w:p>
      <w:pPr>
        <w:jc w:val="left"/>
      </w:pPr>
      <w:r>
        <w:rPr>
          <w:rFonts w:ascii="Georgia" w:hAnsi="Georgia"/>
          <w:sz w:val="22"/>
        </w:rPr>
        <w:t>Responsive interaction describes the adult’s timely, fitting response; reciprocity describes the back-and-forth that develops when both people take turns influencing what happens next. In ordinary family life they are connected parts of the same exchange, so there is no need to turn them into separate training systems.</w:t>
      </w:r>
    </w:p>
    <w:p w14:paraId="3C98C4F3" w14:textId="77777777" w:rsidR="00557D37" w:rsidRDefault="00B54EE6">
      <w:pPr>
        <w:pStyle w:val="Heading2"/>
        <w:keepNext/>
        <w:jc w:val="center"/>
      </w:pPr>
      <w:r>
        <w:rPr>
          <w:rFonts w:ascii="Georgia" w:hAnsi="Georgia"/>
          <w:b/>
          <w:color w:val="2A5CAA"/>
          <w:sz w:val="25"/>
        </w:rPr>
        <w:t>Attachment Patterns</w:t>
      </w:r>
    </w:p>
    <w:p w14:paraId="4BC864EF" w14:textId="77777777" w:rsidR="00557D37" w:rsidRDefault="00B54EE6">
      <w:pPr>
        <w:spacing w:after="200"/>
        <w:jc w:val="left"/>
      </w:pPr>
      <w:r>
        <w:rPr>
          <w:rFonts w:ascii="Georgia" w:hAnsi="Georgia"/>
          <w:sz w:val="22"/>
        </w:rPr>
        <w:t>Attachment types describe patterns of how an infant seeks and uses a caregiver for comfort and security under stress. They come mainly from the Strange Situation procedure.</w:t>
      </w:r>
    </w:p>
    <w:p w14:paraId="61D509AD" w14:textId="77777777" w:rsidR="00557D37" w:rsidRDefault="00B54EE6">
      <w:pPr>
        <w:spacing w:after="200"/>
        <w:jc w:val="left"/>
      </w:pPr>
      <w:r>
        <w:rPr>
          <w:rFonts w:ascii="Georgia" w:hAnsi="Georgia"/>
          <w:sz w:val="22"/>
        </w:rPr>
        <w:t>Secure attachment: the child uses the caregiver as a secure base, explores when present, shows distress on separation, and is readily comforted on return. Associated with consistent sensitive responsiveness.</w:t>
      </w:r>
    </w:p>
    <w:p w14:paraId="44E11E6B" w14:textId="77777777" w:rsidR="00557D37" w:rsidRDefault="00B54EE6">
      <w:pPr>
        <w:spacing w:after="200"/>
        <w:jc w:val="left"/>
      </w:pPr>
      <w:r>
        <w:rPr>
          <w:rFonts w:ascii="Georgia" w:hAnsi="Georgia"/>
          <w:sz w:val="22"/>
        </w:rPr>
        <w:t>Anxious-ambivalent (resistant) attachment: the child is often clingy, has difficulty being comforted, and mixes seeking contact with resistance. Associated with inconsistent responsiveness.</w:t>
      </w:r>
    </w:p>
    <w:p w14:paraId="0B58D048" w14:textId="77777777" w:rsidR="00557D37" w:rsidRDefault="00B54EE6">
      <w:pPr>
        <w:spacing w:after="200"/>
        <w:jc w:val="left"/>
      </w:pPr>
      <w:r>
        <w:rPr>
          <w:rFonts w:ascii="Georgia" w:hAnsi="Georgia"/>
          <w:sz w:val="22"/>
        </w:rPr>
        <w:t>Anxious-avoidant attachment: the child shows little overt distress and tends to avoid the caregiver on reunion. Associated with consistent rejection or minimization of bids for comfort.</w:t>
      </w:r>
    </w:p>
    <w:p w14:paraId="693B12BA" w14:textId="77777777" w:rsidR="00557D37" w:rsidRDefault="00B54EE6">
      <w:pPr>
        <w:spacing w:after="200"/>
        <w:jc w:val="left"/>
      </w:pPr>
      <w:r>
        <w:rPr>
          <w:rFonts w:ascii="Georgia" w:hAnsi="Georgia"/>
          <w:sz w:val="22"/>
        </w:rPr>
        <w:t>Disorganized attachment: the child shows contradictory, confused, or fearful behaviors with no coherent strategy. Associated with frightened, frightening, or highly inconsistent caregiving.</w:t>
      </w:r>
    </w:p>
    <w:p w14:paraId="1A4A48BB" w14:textId="77777777" w:rsidR="00557D37" w:rsidRDefault="00B54EE6">
      <w:pPr>
        <w:spacing w:after="200"/>
        <w:jc w:val="left"/>
      </w:pPr>
      <w:r>
        <w:rPr>
          <w:rFonts w:ascii="Georgia" w:hAnsi="Georgia"/>
          <w:sz w:val="22"/>
        </w:rPr>
        <w:t>These are relationship-specific patterns, not fixed traits. Secure attachment is linked to sensitive responsive caregiving. Patterns can change with later experiences. Attachment relates more directly to emotion regulation and social expectations than to later academic metrics. Consistent responsive and reciprocal interaction supports the conditions under which secure attachment is more likely.</w:t>
      </w:r>
    </w:p>
    <w:p w14:paraId="2ED4FBA3" w14:textId="77777777" w:rsidR="00557D37" w:rsidRDefault="00B54EE6">
      <w:pPr>
        <w:pStyle w:val="Heading2"/>
        <w:keepNext/>
        <w:jc w:val="center"/>
      </w:pPr>
      <w:r>
        <w:rPr>
          <w:rFonts w:ascii="Georgia" w:hAnsi="Georgia"/>
          <w:b/>
          <w:color w:val="2A5CAA"/>
          <w:sz w:val="25"/>
        </w:rPr>
        <w:t>Caution: Overnight Audiobooks and Continuous Audio</w:t>
      </w:r>
    </w:p>
    <w:p w14:paraId="3BC65D8E" w14:textId="77777777" w:rsidR="00557D37" w:rsidRDefault="00B54EE6">
      <w:pPr>
        <w:spacing w:after="200"/>
        <w:jc w:val="left"/>
      </w:pPr>
      <w:r>
        <w:rPr>
          <w:rFonts w:ascii="Georgia" w:hAnsi="Georgia"/>
          <w:sz w:val="22"/>
        </w:rPr>
        <w:t>Running audiobooks or other continuous audio all night is not recommended. Sleep is essential for learning, memory consolidation, attention, and emotional regulation. Even moderate background sound can fragment sleep or reduce its quality, particularly if the volume is high enough for an awake child to follow the text. The cost to sleep usually outweighs any language exposure.</w:t>
      </w:r>
    </w:p>
    <w:p w14:paraId="43FFD30C" w14:textId="77777777" w:rsidR="00557D37" w:rsidRDefault="00B54EE6">
      <w:pPr>
        <w:spacing w:after="200"/>
        <w:jc w:val="left"/>
      </w:pPr>
      <w:r>
        <w:rPr>
          <w:rFonts w:ascii="Georgia" w:hAnsi="Georgia"/>
          <w:sz w:val="22"/>
        </w:rPr>
        <w:t>Passive overnight audio has weak evidence as a learning tool. Language growth comes mainly from live, contingent interaction while the child is awake and from engaged shared reading. Continuous speech the child is not actively processing does not produce comparable gains. Practical risks include difficulty sleeping in quiet later, dependence on sound, and interference with normal overnight brain processes.</w:t>
      </w:r>
    </w:p>
    <w:p w14:paraId="4850519E" w14:textId="77777777" w:rsidR="00557D37" w:rsidRDefault="00B54EE6">
      <w:pPr>
        <w:spacing w:after="200"/>
        <w:jc w:val="left"/>
      </w:pPr>
      <w:r>
        <w:rPr>
          <w:rFonts w:ascii="Georgia" w:hAnsi="Georgia"/>
          <w:sz w:val="22"/>
        </w:rPr>
        <w:t>Better alternatives are short interactive bedtime reading or storytelling while the child is still awake, followed by quiet for sleep; daytime audiobooks during play with occasional conversation about the content; and ordinary responsive talk throughout the day. Protecting full nights of sleep remains the stronger priority for later academic strength.</w:t>
      </w:r>
    </w:p>
    <w:p w14:paraId="4C580792" w14:textId="77777777" w:rsidR="00557D37" w:rsidRDefault="00B54EE6">
      <w:pPr>
        <w:pStyle w:val="Heading2"/>
        <w:keepNext/>
        <w:jc w:val="center"/>
      </w:pPr>
      <w:r>
        <w:rPr>
          <w:rFonts w:ascii="Georgia" w:hAnsi="Georgia"/>
          <w:b/>
          <w:color w:val="2A5CAA"/>
          <w:sz w:val="25"/>
        </w:rPr>
        <w:t>Daytime Audiobooks</w:t>
      </w:r>
    </w:p>
    <w:p w14:paraId="68273877" w14:textId="77777777" w:rsidR="00557D37" w:rsidRDefault="00B54EE6">
      <w:pPr>
        <w:spacing w:after="200"/>
        <w:jc w:val="left"/>
      </w:pPr>
      <w:r>
        <w:rPr>
          <w:rFonts w:ascii="Georgia" w:hAnsi="Georgia"/>
          <w:sz w:val="22"/>
        </w:rPr>
        <w:t>Daytime audiobooks are more reasonable than overnight ones, but they remain a secondary tool. They can help when the child is awake and at least partly attending, the content matches their level, and you pause occasionally to talk about what was heard. They work better during car rides, quiet play, or low-demand activities than as constant background.</w:t>
      </w:r>
    </w:p>
    <w:p w14:paraId="43AE118F" w14:textId="77777777" w:rsidR="00557D37" w:rsidRDefault="00B54EE6">
      <w:pPr>
        <w:spacing w:after="200"/>
        <w:jc w:val="left"/>
      </w:pPr>
      <w:r>
        <w:rPr>
          <w:rFonts w:ascii="Georgia" w:hAnsi="Georgia"/>
          <w:sz w:val="22"/>
        </w:rPr>
        <w:t>Passive listening produces smaller language gains than live contingent interaction. For infants and young toddlers, live speech and shared reading remain stronger. Use short sessions, choose clear narration, and treat audiobooks as a supplement rather than a replacement for responsive talk.</w:t>
      </w:r>
    </w:p>
    <w:p w14:paraId="07E47D1C" w14:textId="77777777" w:rsidR="00557D37" w:rsidRDefault="00B54EE6">
      <w:pPr>
        <w:pStyle w:val="Heading2"/>
        <w:keepNext/>
        <w:jc w:val="center"/>
      </w:pPr>
      <w:r>
        <w:rPr>
          <w:rFonts w:ascii="Georgia" w:hAnsi="Georgia"/>
          <w:b/>
          <w:color w:val="2A5CAA"/>
          <w:sz w:val="25"/>
        </w:rPr>
        <w:t>Live Interaction During Homemaker Chores</w:t>
      </w:r>
    </w:p>
    <w:p w14:paraId="63A04CB3" w14:textId="77777777" w:rsidR="00557D37" w:rsidRDefault="00B54EE6">
      <w:pPr>
        <w:spacing w:after="200"/>
        <w:jc w:val="left"/>
      </w:pPr>
      <w:r>
        <w:rPr>
          <w:rFonts w:ascii="Georgia" w:hAnsi="Georgia"/>
          <w:sz w:val="22"/>
        </w:rPr>
        <w:t>Ordinary chores are natural settings for responsive and reciprocal interaction. Narrate what you are doing, name objects and actions, pause for the child to respond or join, and follow their signals. The goal is frequent short exchanges, not a performance.</w:t>
      </w:r>
    </w:p>
    <w:p w14:paraId="17AB4B57" w14:textId="77777777" w:rsidR="00557D37" w:rsidRDefault="00B54EE6">
      <w:pPr>
        <w:spacing w:after="200"/>
        <w:jc w:val="left"/>
      </w:pPr>
      <w:r>
        <w:rPr>
          <w:rFonts w:ascii="Georgia" w:hAnsi="Georgia"/>
          <w:sz w:val="22"/>
        </w:rPr>
        <w:t>Cooking and meal preparation: name ingredients as you handle them (“This is a carrot. It is orange and crunchy”). Let a toddler stir, pour, or wash vegetables when safe. Describe steps (“Now we mix”). Ask simple questions and wait (“What color is this?”). Hand over safe items and comment when the child explores them.</w:t>
      </w:r>
    </w:p>
    <w:p w14:paraId="21761A0E" w14:textId="77777777" w:rsidR="00557D37" w:rsidRDefault="00B54EE6">
      <w:pPr>
        <w:spacing w:after="200"/>
        <w:jc w:val="left"/>
      </w:pPr>
      <w:r>
        <w:rPr>
          <w:rFonts w:ascii="Georgia" w:hAnsi="Georgia"/>
          <w:sz w:val="22"/>
        </w:rPr>
        <w:t>Laundry: sort colors together and name them. Count socks or shirts. Let the child put items in the basket or machine. Narrate (“Soft towel. In it goes”). Pause so the child can hand you something or repeat a word.</w:t>
      </w:r>
    </w:p>
    <w:p w14:paraId="4AD24F92" w14:textId="77777777" w:rsidR="00557D37" w:rsidRDefault="00B54EE6">
      <w:pPr>
        <w:spacing w:after="200"/>
        <w:jc w:val="left"/>
      </w:pPr>
      <w:r>
        <w:rPr>
          <w:rFonts w:ascii="Georgia" w:hAnsi="Georgia"/>
          <w:sz w:val="22"/>
        </w:rPr>
        <w:t>Cleaning and tidying: make it a shared activity. “We put the blocks in the box.” Hand the child one item at a time and wait for them to place it. Name locations (“On the shelf”). Wipe a surface together and comment on the motion.</w:t>
      </w:r>
    </w:p>
    <w:p w14:paraId="01436EA2" w14:textId="77777777" w:rsidR="00557D37" w:rsidRDefault="00B54EE6">
      <w:pPr>
        <w:spacing w:after="200"/>
        <w:jc w:val="left"/>
      </w:pPr>
      <w:r>
        <w:rPr>
          <w:rFonts w:ascii="Georgia" w:hAnsi="Georgia"/>
          <w:sz w:val="22"/>
        </w:rPr>
        <w:t>Dishwashing or setting the table: name utensils and their uses. Let the child hand you plates or spoons. Count them. Describe temperature or texture of water if the child is nearby and interested.</w:t>
      </w:r>
    </w:p>
    <w:p w14:paraId="12F7E11F" w14:textId="77777777" w:rsidR="00557D37" w:rsidRDefault="00B54EE6">
      <w:pPr>
        <w:spacing w:after="200"/>
        <w:jc w:val="left"/>
      </w:pPr>
      <w:r>
        <w:rPr>
          <w:rFonts w:ascii="Georgia" w:hAnsi="Georgia"/>
          <w:sz w:val="22"/>
        </w:rPr>
        <w:t>Grocery unpacking or organizing: name each item as it comes out of the bag. Sort by category with the child. Let them place safe items on a low shelf. Expand what they say (“Yes, apple. Red apple”).</w:t>
      </w:r>
    </w:p>
    <w:p w14:paraId="4A841271" w14:textId="77777777" w:rsidR="00557D37" w:rsidRDefault="00B54EE6">
      <w:pPr>
        <w:spacing w:after="200"/>
        <w:jc w:val="left"/>
      </w:pPr>
      <w:r>
        <w:rPr>
          <w:rFonts w:ascii="Georgia" w:hAnsi="Georgia"/>
          <w:sz w:val="22"/>
        </w:rPr>
        <w:t>General approach: keep turns short. Follow the child’s interest if they pick up an object or point. Stop or reduce talk if they disengage. These moments accumulate language, joint attention, and motor practice without requiring separate “teaching” time.</w:t>
      </w:r>
    </w:p>
    <w:p w14:paraId="47C45686" w14:textId="77777777" w:rsidR="00557D37" w:rsidRDefault="00B54EE6">
      <w:pPr>
        <w:pStyle w:val="Heading2"/>
        <w:keepNext/>
        <w:jc w:val="center"/>
      </w:pPr>
      <w:r>
        <w:rPr>
          <w:rFonts w:ascii="Georgia" w:hAnsi="Georgia"/>
          <w:b/>
          <w:color w:val="2A5CAA"/>
          <w:sz w:val="25"/>
        </w:rPr>
        <w:t>Asking Questions and Telling Stories</w:t>
      </w:r>
    </w:p>
    <w:p w14:paraId="52383030" w14:textId="77777777" w:rsidR="00557D37" w:rsidRDefault="00B54EE6">
      <w:pPr>
        <w:spacing w:after="200"/>
        <w:jc w:val="left"/>
      </w:pPr>
      <w:r>
        <w:rPr>
          <w:rFonts w:ascii="Georgia" w:hAnsi="Georgia"/>
          <w:sz w:val="22"/>
        </w:rPr>
        <w:t>Ask questions throughout ordinary activities and wait for a response. Use simple, open questions the child can answer with a word, point, or action: “What color is this?” “Where does the spoon go?” “What happens next?” Pause longer than feels natural. Accept any attempt and expand it (“Yes, red. The apple is red”).</w:t>
      </w:r>
    </w:p>
    <w:p w14:paraId="509D95A7" w14:textId="77777777" w:rsidR="00557D37" w:rsidRDefault="00B54EE6">
      <w:pPr>
        <w:spacing w:after="200"/>
        <w:jc w:val="left"/>
      </w:pPr>
      <w:r>
        <w:rPr>
          <w:rFonts w:ascii="Georgia" w:hAnsi="Georgia"/>
          <w:sz w:val="22"/>
        </w:rPr>
        <w:t>Questions during chores work well because the objects and actions are right there. “Which one is bigger?” while sorting laundry. “What do we do next?” while cooking. “Can you find the blue cup?” while setting the table. The question invites the child to serve; your expansion is the return.</w:t>
      </w:r>
    </w:p>
    <w:p w14:paraId="4882F6F1" w14:textId="77777777" w:rsidR="00557D37" w:rsidRDefault="00B54EE6">
      <w:pPr>
        <w:spacing w:after="200"/>
        <w:jc w:val="left"/>
      </w:pPr>
      <w:r>
        <w:rPr>
          <w:rFonts w:ascii="Georgia" w:hAnsi="Georgia"/>
          <w:sz w:val="22"/>
        </w:rPr>
        <w:t>Tell short stories tied to what is happening or to the child’s recent experience. Narrate a simple sequence: “This morning we went outside and you picked up a leaf. The leaf was yellow.” Or invent a tiny story about the objects in front of you: “The sock is looking for its friend.” Keep them brief. Pause so the child can add a word or point.</w:t>
      </w:r>
    </w:p>
    <w:p w14:paraId="63485C22" w14:textId="77777777" w:rsidR="00557D37" w:rsidRDefault="00B54EE6">
      <w:pPr>
        <w:spacing w:after="200"/>
        <w:jc w:val="left"/>
      </w:pPr>
      <w:r>
        <w:rPr>
          <w:rFonts w:ascii="Georgia" w:hAnsi="Georgia"/>
          <w:sz w:val="22"/>
        </w:rPr>
        <w:t>Personal stories about the family or the child’s own day also work. “Remember when you stacked the blocks and they fell? Then you tried again.” Repetition of the same short story across days helps memory and language. The child does not need a long plot; a few connected sentences with pauses are enough.</w:t>
      </w:r>
    </w:p>
    <w:p w14:paraId="6A03635C" w14:textId="77777777" w:rsidR="00557D37" w:rsidRDefault="00B54EE6">
      <w:pPr>
        <w:spacing w:after="200"/>
        <w:jc w:val="left"/>
      </w:pPr>
      <w:r>
        <w:rPr>
          <w:rFonts w:ascii="Georgia" w:hAnsi="Georgia"/>
          <w:sz w:val="22"/>
        </w:rPr>
        <w:t>Both questions and stories stay responsive: notice when the child is engaged and continue; notice when they turn away and stop. They turn routine moments into reciprocal exchanges without adding extra scheduled activities.</w:t>
      </w:r>
    </w:p>
    <w:p w14:paraId="1F07A68D" w14:textId="77777777" w:rsidR="00557D37" w:rsidRDefault="00B54EE6">
      <w:pPr>
        <w:pStyle w:val="Heading2"/>
        <w:keepNext/>
        <w:jc w:val="center"/>
      </w:pPr>
      <w:r>
        <w:rPr>
          <w:rFonts w:ascii="Georgia" w:hAnsi="Georgia"/>
          <w:b/>
          <w:color w:val="2A5CAA"/>
          <w:sz w:val="25"/>
        </w:rPr>
        <w:t>Laughter and Gentle Surprises</w:t>
      </w:r>
    </w:p>
    <w:p w14:paraId="038D38CE" w14:textId="77777777" w:rsidR="00557D37" w:rsidRDefault="00B54EE6">
      <w:pPr>
        <w:spacing w:after="200"/>
        <w:jc w:val="left"/>
      </w:pPr>
      <w:r>
        <w:rPr>
          <w:rFonts w:ascii="Georgia" w:hAnsi="Georgia"/>
          <w:sz w:val="22"/>
        </w:rPr>
        <w:t>Small actions that make the child laugh or produce a moment of surprise strengthen engagement and turn ordinary routines into reciprocal play. The child is more likely to stay in the exchange and to initiate the next turn when the interaction feels enjoyable.</w:t>
      </w:r>
    </w:p>
    <w:p w14:paraId="5BC8F88C" w14:textId="77777777" w:rsidR="00557D37" w:rsidRDefault="00B54EE6">
      <w:pPr>
        <w:spacing w:after="200"/>
        <w:jc w:val="left"/>
      </w:pPr>
      <w:r>
        <w:rPr>
          <w:rFonts w:ascii="Georgia" w:hAnsi="Georgia"/>
          <w:sz w:val="22"/>
        </w:rPr>
        <w:t>During chores: hide a spoon behind your back and reveal it with a sound. Make a silly face while handing over a sock. Pretend the dish towel is a puppet for a few seconds. Drop a safe object into a container with an exaggerated “plop” and wait for the child’s reaction.</w:t>
      </w:r>
    </w:p>
    <w:p w14:paraId="47F3F82A" w14:textId="77777777" w:rsidR="00557D37" w:rsidRDefault="00B54EE6">
      <w:pPr>
        <w:spacing w:after="200"/>
        <w:jc w:val="left"/>
      </w:pPr>
      <w:r>
        <w:rPr>
          <w:rFonts w:ascii="Georgia" w:hAnsi="Georgia"/>
          <w:sz w:val="22"/>
        </w:rPr>
        <w:t>In play and daily care: peek-a-boo variations, sudden gentle tickles followed by a pause, or an unexpected funny voice when naming an object. Change the expected action once (“The block goes… on your head!”) then return to the normal pattern.</w:t>
      </w:r>
    </w:p>
    <w:p w14:paraId="75842CE9" w14:textId="77777777" w:rsidR="00557D37" w:rsidRDefault="00B54EE6">
      <w:pPr>
        <w:spacing w:after="200"/>
        <w:jc w:val="left"/>
      </w:pPr>
      <w:r>
        <w:rPr>
          <w:rFonts w:ascii="Georgia" w:hAnsi="Georgia"/>
          <w:sz w:val="22"/>
        </w:rPr>
        <w:t>Keep the surprises mild and contingent. Watch the child’s face. If they laugh, smile, or lean in, you can repeat or vary it once or twice. If they startle, turn away, or fuss, stop immediately and return to calm narration or quiet. The goal is shared amusement that invites another serve, not overstimulation.</w:t>
      </w:r>
    </w:p>
    <w:p w14:paraId="6ABBD5B0" w14:textId="77777777" w:rsidR="00557D37" w:rsidRDefault="00B54EE6">
      <w:pPr>
        <w:spacing w:after="200"/>
        <w:jc w:val="left"/>
      </w:pPr>
      <w:r>
        <w:rPr>
          <w:rFonts w:ascii="Georgia" w:hAnsi="Georgia"/>
          <w:sz w:val="22"/>
        </w:rPr>
        <w:t>These moments do not require special toys or scheduled playtime. A few seconds of playful unpredictability inside an ordinary chore or care routine is enough. They support joint attention and positive association with interaction while remaining secondary to consistent responsive caregiving.</w:t>
      </w:r>
    </w:p>
    <w:p w14:paraId="4301A245" w14:textId="77777777" w:rsidR="00557D37" w:rsidRDefault="00B54EE6">
      <w:pPr>
        <w:pStyle w:val="Heading2"/>
        <w:keepNext/>
        <w:jc w:val="center"/>
      </w:pPr>
      <w:r>
        <w:rPr>
          <w:rFonts w:ascii="Georgia" w:hAnsi="Georgia"/>
          <w:b/>
          <w:color w:val="2A5CAA"/>
          <w:sz w:val="25"/>
        </w:rPr>
        <w:t>Sensory Play Materials</w:t>
      </w:r>
    </w:p>
    <w:p w14:paraId="30BB0909" w14:textId="77777777" w:rsidR="00557D37" w:rsidRDefault="00B54EE6">
      <w:pPr>
        <w:spacing w:after="200"/>
        <w:jc w:val="left"/>
      </w:pPr>
      <w:r>
        <w:rPr>
          <w:rFonts w:ascii="Georgia" w:hAnsi="Georgia"/>
          <w:sz w:val="22"/>
        </w:rPr>
        <w:t>Sensory materials let the child explore texture, weight, sound, and movement with ordinary objects. Useful low-cost options include water with cups and sponges, dry rice or oats in a tray (supervised), fabric scraps, household containers and lids, leaves or smooth stones, and simple dough. Offer one or two at a time.</w:t>
      </w:r>
    </w:p>
    <w:p w14:paraId="12565B30" w14:textId="77777777" w:rsidR="00557D37" w:rsidRDefault="00B54EE6">
      <w:pPr>
        <w:spacing w:after="200"/>
        <w:jc w:val="left"/>
      </w:pPr>
      <w:r>
        <w:rPr>
          <w:rFonts w:ascii="Georgia" w:hAnsi="Georgia"/>
          <w:sz w:val="22"/>
        </w:rPr>
        <w:t>Sit nearby, narrate what the child does, hand over a tool when they reach, and pause. Stop if they disengage or if safety requires it. These materials support tactile and motor input and give concrete objects for serve-and-return turns. No commercial sensory bins are needed.</w:t>
      </w:r>
    </w:p>
    <w:p w14:paraId="15F50DC4" w14:textId="77777777" w:rsidR="00557D37" w:rsidRDefault="00B54EE6">
      <w:pPr>
        <w:pStyle w:val="Heading2"/>
        <w:keepNext/>
        <w:jc w:val="center"/>
      </w:pPr>
      <w:r>
        <w:rPr>
          <w:rFonts w:ascii="Georgia" w:hAnsi="Georgia"/>
          <w:b/>
          <w:color w:val="2A5CAA"/>
          <w:sz w:val="25"/>
        </w:rPr>
        <w:t>Useful Toys, Dancing, and Rhymes</w:t>
      </w:r>
    </w:p>
    <w:p w14:paraId="751DDD0F" w14:textId="77777777" w:rsidR="00557D37" w:rsidRDefault="00B54EE6">
      <w:pPr>
        <w:spacing w:after="200"/>
        <w:jc w:val="left"/>
      </w:pPr>
      <w:r>
        <w:rPr>
          <w:rFonts w:ascii="Georgia" w:hAnsi="Georgia"/>
          <w:sz w:val="22"/>
        </w:rPr>
        <w:t>Prefer open-ended toys the child can act on in multiple ways: blocks and containers, balls, simple dolls or stuffed animals, push toys, or a cardboard box. Avoid single-function electronic toys. The child should initiate so you can respond.</w:t>
      </w:r>
    </w:p>
    <w:p w14:paraId="15B685E2" w14:textId="77777777" w:rsidR="00557D37" w:rsidRDefault="00B54EE6">
      <w:pPr>
        <w:spacing w:after="200"/>
        <w:jc w:val="left"/>
      </w:pPr>
      <w:r>
        <w:rPr>
          <w:rFonts w:ascii="Georgia" w:hAnsi="Georgia"/>
          <w:sz w:val="22"/>
        </w:rPr>
        <w:t>Dance briefly together: hold hands and sway or bounce to a song or your own singing, copy the child’s movements, narrate simply, then pause. Stop when interest fades. A minute is enough.</w:t>
      </w:r>
    </w:p>
    <w:p w14:paraId="163AE547" w14:textId="77777777" w:rsidR="00557D37" w:rsidRDefault="00B54EE6">
      <w:pPr>
        <w:spacing w:after="200"/>
        <w:jc w:val="left"/>
      </w:pPr>
      <w:r>
        <w:rPr>
          <w:rFonts w:ascii="Georgia" w:hAnsi="Georgia"/>
          <w:sz w:val="22"/>
        </w:rPr>
        <w:t>Make up short rhymes using the child’s name or current action (“Jamie is jumping high”). Repeat two or three times and pause for a vocalization or movement. Perfect rhyme is unnecessary; rhythm and turn-taking matter.</w:t>
      </w:r>
    </w:p>
    <w:p w14:paraId="6C7A94C8" w14:textId="77777777" w:rsidR="00557D37" w:rsidRDefault="00B54EE6">
      <w:pPr>
        <w:pStyle w:val="Heading2"/>
        <w:keepNext/>
        <w:jc w:val="center"/>
      </w:pPr>
      <w:r>
        <w:rPr>
          <w:rFonts w:ascii="Georgia" w:hAnsi="Georgia"/>
          <w:b/>
          <w:color w:val="2A5CAA"/>
          <w:sz w:val="25"/>
        </w:rPr>
        <w:t>Additional Everyday Interactions</w:t>
      </w:r>
    </w:p>
    <w:p w14:paraId="35AA9B24" w14:textId="77777777" w:rsidR="00557D37" w:rsidRDefault="00B54EE6">
      <w:pPr>
        <w:spacing w:after="200"/>
        <w:jc w:val="left"/>
      </w:pPr>
      <w:r>
        <w:rPr>
          <w:rFonts w:ascii="Georgia" w:hAnsi="Georgia"/>
          <w:sz w:val="22"/>
        </w:rPr>
        <w:t>Movement during routines: narrate lifting, gentle bouncing, or crawling to a toy, then pause. Object exploration: hand over safe household items and comment on filling, dumping, or stacking. Outdoor moments: name what the child notices and stop when they point.</w:t>
      </w:r>
    </w:p>
    <w:p w14:paraId="6D0E8FDD" w14:textId="77777777" w:rsidR="00557D37" w:rsidRDefault="00B54EE6">
      <w:pPr>
        <w:spacing w:after="200"/>
        <w:jc w:val="left"/>
      </w:pPr>
      <w:r>
        <w:rPr>
          <w:rFonts w:ascii="Georgia" w:hAnsi="Georgia"/>
          <w:sz w:val="22"/>
        </w:rPr>
        <w:t>Helping with real work: give a tiny genuine job such as wiping a spill or placing one item in a bag, then narrate their contribution. Emotion labeling: name the feeling briefly in the moment and stay responsive. Transitions: use the same short phrase to signal endings so the child can anticipate and participate.</w:t>
      </w:r>
    </w:p>
    <w:p w14:paraId="62B1FEAE" w14:textId="77777777" w:rsidR="00557D37" w:rsidRDefault="00B54EE6">
      <w:pPr>
        <w:spacing w:after="200"/>
        <w:jc w:val="left"/>
      </w:pPr>
      <w:r>
        <w:rPr>
          <w:rFonts w:ascii="Georgia" w:hAnsi="Georgia"/>
          <w:sz w:val="22"/>
        </w:rPr>
        <w:t>Notice one sustained interest across days and add language and materials only in that area for a while. All of these remain inside ordinary life and emphasize responsive turns rather than extra programs.</w:t>
      </w:r>
    </w:p>
    <w:p w14:paraId="61843A8B" w14:textId="77777777" w:rsidR="00557D37" w:rsidRDefault="00B54EE6">
      <w:pPr>
        <w:spacing w:after="200"/>
        <w:jc w:val="left"/>
      </w:pPr>
      <w:r>
        <w:rPr>
          <w:rFonts w:ascii="Georgia" w:hAnsi="Georgia"/>
          <w:sz w:val="22"/>
        </w:rPr>
        <w:t>These early inputs and interaction patterns do not guarantee later academic outcomes. They support language development, attachment, and motor competence, which form part of the foundation the later chapters build on. Screen-based passive content is a poor substitute for live interaction in the first years.</w:t>
      </w:r>
    </w:p>
    <w:p w14:paraId="6B859825" w14:textId="77777777" w:rsidR="00557D37" w:rsidRDefault="00B54EE6">
      <w:pPr>
        <w:pStyle w:val="Heading2"/>
        <w:keepNext/>
        <w:pageBreakBefore/>
        <w:jc w:val="center"/>
      </w:pPr>
      <w:bookmarkStart w:id="8" w:name="sec6"/>
      <w:r>
        <w:rPr>
          <w:rFonts w:ascii="Georgia" w:hAnsi="Georgia"/>
          <w:b/>
          <w:color w:val="2A5CAA"/>
          <w:sz w:val="25"/>
        </w:rPr>
        <w:t>Pre-Kindergarten Years</w:t>
      </w:r>
      <w:bookmarkEnd w:id="8"/>
    </w:p>
    <w:p w14:paraId="7F2AB721" w14:textId="77777777" w:rsidR="00557D37" w:rsidRDefault="00B54EE6">
      <w:pPr>
        <w:spacing w:after="200"/>
        <w:jc w:val="left"/>
      </w:pPr>
      <w:r>
        <w:rPr>
          <w:rFonts w:ascii="Georgia" w:hAnsi="Georgia"/>
          <w:sz w:val="22"/>
        </w:rPr>
        <w:t>The pre-kindergarten years (roughly birth to age five) are when ordinary daily habits compound. The highest-return activities remain responsive and reciprocal interaction, serve-and-return, shared reading, language-rich talk, motor exploration, and protected sleep. Everything else is secondary.</w:t>
      </w:r>
    </w:p>
    <w:p w14:paraId="24C05836" w14:textId="77777777" w:rsidR="00557D37" w:rsidRDefault="00B54EE6">
      <w:pPr>
        <w:pStyle w:val="Heading2"/>
        <w:keepNext/>
        <w:jc w:val="center"/>
      </w:pPr>
      <w:r>
        <w:rPr>
          <w:rFonts w:ascii="Georgia" w:hAnsi="Georgia"/>
          <w:b/>
          <w:color w:val="2A5CAA"/>
          <w:sz w:val="25"/>
        </w:rPr>
        <w:t>Language and Early Literacy</w:t>
      </w:r>
    </w:p>
    <w:p w14:paraId="0204E6C3" w14:textId="77777777" w:rsidR="00557D37" w:rsidRDefault="00B54EE6">
      <w:pPr>
        <w:spacing w:after="200"/>
        <w:jc w:val="left"/>
      </w:pPr>
      <w:r>
        <w:rPr>
          <w:rFonts w:ascii="Georgia" w:hAnsi="Georgia"/>
          <w:sz w:val="22"/>
        </w:rPr>
        <w:t>Shared book reading every day, even short sessions. Point to pictures, name objects, ask simple questions, and let the child turn pages or point. Narrate ordinary routines. Expand what the child says rather than correcting constantly. Songs, rhymes, and finger plays build phonological awareness through repetition. Limit background television and passive video. Live speech and joint attention outperform screens for language growth in these years.</w:t>
      </w:r>
    </w:p>
    <w:p w14:paraId="111583D6" w14:textId="77777777" w:rsidR="00557D37" w:rsidRDefault="00B54EE6">
      <w:pPr>
        <w:pStyle w:val="Heading2"/>
        <w:keepNext/>
        <w:jc w:val="center"/>
      </w:pPr>
      <w:r>
        <w:rPr>
          <w:rFonts w:ascii="Georgia" w:hAnsi="Georgia"/>
          <w:b/>
          <w:color w:val="2A5CAA"/>
          <w:sz w:val="25"/>
        </w:rPr>
        <w:t>Early Math and Pattern Sense</w:t>
      </w:r>
    </w:p>
    <w:p w14:paraId="016F56AE" w14:textId="77777777" w:rsidR="00557D37" w:rsidRDefault="00B54EE6">
      <w:pPr>
        <w:spacing w:after="200"/>
        <w:jc w:val="left"/>
      </w:pPr>
      <w:r>
        <w:rPr>
          <w:rFonts w:ascii="Georgia" w:hAnsi="Georgia"/>
          <w:sz w:val="22"/>
        </w:rPr>
        <w:t>Count real objects during meals, stairs, or cleanup. Notice and name shapes, sizes, and simple patterns in the environment. Simple sorting and matching games with household items. No worksheets are required. Daily language about quantity and comparison is sufficient.</w:t>
      </w:r>
    </w:p>
    <w:p w14:paraId="275D0297" w14:textId="77777777" w:rsidR="00557D37" w:rsidRDefault="00B54EE6">
      <w:pPr>
        <w:pStyle w:val="Heading2"/>
        <w:keepNext/>
        <w:jc w:val="center"/>
      </w:pPr>
      <w:r>
        <w:rPr>
          <w:rFonts w:ascii="Georgia" w:hAnsi="Georgia"/>
          <w:b/>
          <w:color w:val="2A5CAA"/>
          <w:sz w:val="25"/>
        </w:rPr>
        <w:t>Motor Development and Outdoor Time</w:t>
      </w:r>
    </w:p>
    <w:p w14:paraId="3639293C" w14:textId="77777777" w:rsidR="00557D37" w:rsidRDefault="00B54EE6">
      <w:pPr>
        <w:spacing w:after="200"/>
        <w:jc w:val="left"/>
      </w:pPr>
      <w:r>
        <w:rPr>
          <w:rFonts w:ascii="Georgia" w:hAnsi="Georgia"/>
          <w:sz w:val="22"/>
        </w:rPr>
        <w:t>Daily floor time, crawling, climbing, running, and ball play appropriate to age. Outdoor time most days for gross-motor practice, varied sensory input, and daylight. Fine-motor practice through drawing, stacking, pouring, and manipulating objects. Messy play is useful.</w:t>
      </w:r>
    </w:p>
    <w:p w14:paraId="49EFA1A0" w14:textId="77777777" w:rsidR="00557D37" w:rsidRDefault="00B54EE6">
      <w:pPr>
        <w:pStyle w:val="Heading2"/>
        <w:keepNext/>
        <w:jc w:val="center"/>
      </w:pPr>
      <w:r>
        <w:rPr>
          <w:rFonts w:ascii="Georgia" w:hAnsi="Georgia"/>
          <w:b/>
          <w:color w:val="2A5CAA"/>
          <w:sz w:val="25"/>
        </w:rPr>
        <w:t>Social-Emotional and Self-Regulation Foundations</w:t>
      </w:r>
    </w:p>
    <w:p w14:paraId="0918498D" w14:textId="77777777" w:rsidR="00557D37" w:rsidRDefault="00B54EE6">
      <w:pPr>
        <w:spacing w:after="200"/>
        <w:jc w:val="left"/>
      </w:pPr>
      <w:r>
        <w:rPr>
          <w:rFonts w:ascii="Georgia" w:hAnsi="Georgia"/>
          <w:sz w:val="22"/>
        </w:rPr>
        <w:t>Consistent routines for meals, sleep, and transitions support regulation. Label emotions simply when they occur. Practice short waits and simple turn-taking in play. Independent play time lets the child sustain attention without constant adult direction. Responsive caregiving supports secure attachment, which in turn supports exploration and emotion regulation.</w:t>
      </w:r>
    </w:p>
    <w:p w14:paraId="03CA5236" w14:textId="77777777" w:rsidR="00557D37" w:rsidRDefault="00B54EE6">
      <w:pPr>
        <w:pStyle w:val="Heading2"/>
        <w:keepNext/>
        <w:jc w:val="center"/>
      </w:pPr>
      <w:r>
        <w:rPr>
          <w:rFonts w:ascii="Georgia" w:hAnsi="Georgia"/>
          <w:b/>
          <w:color w:val="2A5CAA"/>
          <w:sz w:val="25"/>
        </w:rPr>
        <w:t>Following Interests with Depth</w:t>
      </w:r>
    </w:p>
    <w:p w14:paraId="03C086A3" w14:textId="77777777" w:rsidR="00557D37" w:rsidRDefault="00B54EE6">
      <w:pPr>
        <w:spacing w:after="200"/>
        <w:jc w:val="left"/>
      </w:pPr>
      <w:r>
        <w:rPr>
          <w:rFonts w:ascii="Georgia" w:hAnsi="Georgia"/>
          <w:sz w:val="22"/>
        </w:rPr>
        <w:t>Notice what the child returns to and provide more materials and language in that area rather than rotating through many short activities. Document simple projects or repeated play if useful later. The value is the sustained engagement, not the record.</w:t>
      </w:r>
    </w:p>
    <w:p w14:paraId="0BF9C45B" w14:textId="77777777" w:rsidR="00557D37" w:rsidRDefault="00B54EE6">
      <w:pPr>
        <w:pStyle w:val="Heading2"/>
        <w:keepNext/>
        <w:jc w:val="center"/>
      </w:pPr>
      <w:r>
        <w:rPr>
          <w:rFonts w:ascii="Georgia" w:hAnsi="Georgia"/>
          <w:b/>
          <w:color w:val="2A5CAA"/>
          <w:sz w:val="25"/>
        </w:rPr>
        <w:t>Health Basics</w:t>
      </w:r>
    </w:p>
    <w:p w14:paraId="07EE7FD3" w14:textId="77777777" w:rsidR="00557D37" w:rsidRDefault="00B54EE6">
      <w:pPr>
        <w:spacing w:after="200"/>
        <w:jc w:val="left"/>
      </w:pPr>
      <w:r>
        <w:rPr>
          <w:rFonts w:ascii="Georgia" w:hAnsi="Georgia"/>
          <w:sz w:val="22"/>
        </w:rPr>
        <w:t>Consistent sleep schedule and sufficient total sleep. Nutritious meals with limited ultra-processed food and sugar. Regular check-ups and addressing hearing or vision issues early. Limited passive screen time; interactive video calls with family are different from background cartoons.</w:t>
      </w:r>
    </w:p>
    <w:p w14:paraId="63AA6DEF" w14:textId="77777777" w:rsidR="00557D37" w:rsidRDefault="00B54EE6">
      <w:pPr>
        <w:pStyle w:val="Heading2"/>
        <w:keepNext/>
        <w:jc w:val="center"/>
      </w:pPr>
      <w:r>
        <w:rPr>
          <w:rFonts w:ascii="Georgia" w:hAnsi="Georgia"/>
          <w:b/>
          <w:color w:val="2A5CAA"/>
          <w:sz w:val="25"/>
        </w:rPr>
        <w:t>What Is Lower Priority</w:t>
      </w:r>
    </w:p>
    <w:p w14:paraId="1C485114" w14:textId="77777777" w:rsidR="00557D37" w:rsidRDefault="00B54EE6">
      <w:pPr>
        <w:spacing w:after="200"/>
        <w:jc w:val="left"/>
      </w:pPr>
      <w:r>
        <w:rPr>
          <w:rFonts w:ascii="Georgia" w:hAnsi="Georgia"/>
          <w:sz w:val="22"/>
        </w:rPr>
        <w:t>Expensive enrichment classes, formal academic drilling, or constant structured learning activities. A child who has rich language input, responsive interaction, physical play, sleep, and one or two sustained interests is already receiving the core pre-kindergarten foundation. Later school performance rests more on these ordinary conditions plus the child’s starting characteristics than on preschool curricula.</w:t>
      </w:r>
    </w:p>
    <w:p>
      <w:pPr>
        <w:jc w:val="left"/>
      </w:pPr>
      <w:r>
        <w:rPr>
          <w:rFonts w:ascii="Georgia" w:hAnsi="Georgia"/>
          <w:sz w:val="22"/>
        </w:rPr>
        <w:t>These early exchanges support language, attention, and a sense of safety. They are foundations for development, not a promise about later grades or admission.</w:t>
      </w:r>
    </w:p>
    <w:p w14:paraId="4D9839C7" w14:textId="77777777" w:rsidR="00557D37" w:rsidRDefault="00B54EE6">
      <w:pPr>
        <w:pStyle w:val="Heading1"/>
        <w:keepNext/>
        <w:pageBreakBefore/>
        <w:jc w:val="center"/>
      </w:pPr>
      <w:bookmarkStart w:id="9" w:name="sec7"/>
      <w:r>
        <w:rPr>
          <w:rFonts w:ascii="Georgia" w:hAnsi="Georgia"/>
          <w:b/>
          <w:color w:val="2A5CAA"/>
          <w:sz w:val="32"/>
        </w:rPr>
        <w:t>Chapter 2: The Daily Environment: Pets, Schools, Media, and Habits</w:t>
      </w:r>
      <w:bookmarkEnd w:id="9"/>
    </w:p>
    <w:p>
      <w:pPr>
        <w:jc w:val="left"/>
      </w:pPr>
      <w:r>
        <w:rPr>
          <w:rFonts w:ascii="Georgia" w:hAnsi="Georgia"/>
          <w:sz w:val="22"/>
        </w:rPr>
        <w:t>This chapter is about practical choices in the child’s daily environment: what to bring into the home, where to spend family resources, and what deserves a firm boundary.</w:t>
      </w:r>
    </w:p>
    <w:p w14:paraId="63ED7237" w14:textId="77777777" w:rsidR="00FE1D37" w:rsidRDefault="00CA19A5">
      <w:pPr>
        <w:pStyle w:val="Heading2"/>
        <w:keepNext/>
        <w:jc w:val="center"/>
      </w:pPr>
      <w:r>
        <w:rPr>
          <w:rFonts w:ascii="Georgia" w:hAnsi="Georgia"/>
          <w:b/>
          <w:color w:val="2A5CAA"/>
          <w:sz w:val="25"/>
        </w:rPr>
        <w:t>Pets from Early Childhood Onward</w:t>
      </w:r>
    </w:p>
    <w:p w14:paraId="2743898A" w14:textId="77777777" w:rsidR="00557D37" w:rsidRDefault="00B54EE6">
      <w:pPr>
        <w:spacing w:after="200"/>
        <w:jc w:val="left"/>
      </w:pPr>
      <w:r>
        <w:rPr>
          <w:rFonts w:ascii="Georgia" w:hAnsi="Georgia"/>
          <w:sz w:val="22"/>
        </w:rPr>
        <w:t>Pets can add ordinary sensory, language, and light responsibility moments, but they are optional and secondary to responsive human interaction, sleep, and the child’s starting characteristics. They also bring cost, time, mess, safety, and allergy considerations.</w:t>
      </w:r>
    </w:p>
    <w:p>
      <w:pPr>
        <w:jc w:val="left"/>
      </w:pPr>
      <w:r>
        <w:rPr>
          <w:rFonts w:ascii="Georgia" w:hAnsi="Georgia"/>
          <w:sz w:val="22"/>
        </w:rPr>
        <w:t>A pet can offer a preschooler supervised “gentle hands” practice and later a small chore. There is no reliable evidence that it raises later grades; the adult still does the real care. If the household cannot manage the cost, mess, and lifespan, skip it. The developmental gap is zero.</w:t>
      </w:r>
    </w:p>
    <w:p w14:paraId="650039A3" w14:textId="77777777" w:rsidR="00557D37" w:rsidRDefault="00B54EE6">
      <w:pPr>
        <w:pStyle w:val="Heading2"/>
        <w:keepNext/>
        <w:jc w:val="center"/>
      </w:pPr>
      <w:r>
        <w:rPr>
          <w:rFonts w:ascii="Georgia" w:hAnsi="Georgia"/>
          <w:b/>
          <w:color w:val="2A5CAA"/>
          <w:sz w:val="25"/>
        </w:rPr>
        <w:t>Early Childhood (Birth to About Age 5)</w:t>
      </w:r>
    </w:p>
    <w:p w14:paraId="54B01F7E" w14:textId="77777777" w:rsidR="00557D37" w:rsidRDefault="00B54EE6">
      <w:pPr>
        <w:spacing w:after="200"/>
        <w:jc w:val="left"/>
      </w:pPr>
      <w:r>
        <w:rPr>
          <w:rFonts w:ascii="Georgia" w:hAnsi="Georgia"/>
          <w:sz w:val="22"/>
        </w:rPr>
        <w:t>Infants and young toddlers need near-constant adult mediation. Contact is mostly watching or brief guided petting. Risks of knocking over, scratching, biting, or germs are higher; many families keep pet and child largely separated at this stage. Benefits are minimal.</w:t>
      </w:r>
    </w:p>
    <w:p w14:paraId="03B51997" w14:textId="77777777" w:rsidR="00557D37" w:rsidRDefault="00B54EE6">
      <w:pPr>
        <w:spacing w:after="200"/>
        <w:jc w:val="left"/>
      </w:pPr>
      <w:r>
        <w:rPr>
          <w:rFonts w:ascii="Georgia" w:hAnsi="Georgia"/>
          <w:sz w:val="22"/>
        </w:rPr>
        <w:t>Older toddlers and preschoolers can manage short supervised moments: petting with “gentle hands,” helping pour food, or walking a few steps beside a calm dog whose leash the adult holds. Narration does most of the work. The child cannot be responsible for care.</w:t>
      </w:r>
    </w:p>
    <w:p w14:paraId="55A37026" w14:textId="77777777" w:rsidR="00557D37" w:rsidRDefault="00B54EE6">
      <w:pPr>
        <w:spacing w:after="200"/>
        <w:jc w:val="left"/>
      </w:pPr>
      <w:r>
        <w:rPr>
          <w:rFonts w:ascii="Georgia" w:hAnsi="Georgia"/>
          <w:sz w:val="22"/>
        </w:rPr>
        <w:t>Never leave a young child unsupervised with any pet. Enforce gentle handling immediately. Require hand-washing. Keep litter, food, and cages out of reach. If anyone has allergies or asthma, the drawbacks often outweigh any gain. A calm existing pet can serve as one more object for serve-and-return; acquiring a new pet is not developmentally necessary.</w:t>
      </w:r>
    </w:p>
    <w:p w14:paraId="7A1247C7" w14:textId="77777777" w:rsidR="00557D37" w:rsidRDefault="00B54EE6">
      <w:pPr>
        <w:pStyle w:val="Heading2"/>
        <w:keepNext/>
        <w:jc w:val="center"/>
      </w:pPr>
      <w:r>
        <w:rPr>
          <w:rFonts w:ascii="Georgia" w:hAnsi="Georgia"/>
          <w:b/>
          <w:color w:val="2A5CAA"/>
          <w:sz w:val="25"/>
        </w:rPr>
        <w:t>Elementary Years</w:t>
      </w:r>
    </w:p>
    <w:p>
      <w:pPr>
        <w:jc w:val="left"/>
      </w:pPr>
      <w:r>
        <w:rPr>
          <w:rFonts w:ascii="Georgia" w:hAnsi="Georgia"/>
          <w:sz w:val="22"/>
        </w:rPr>
        <w:t>Elementary school is for building competence in reading, writing, mathematics, and everyday responsibilities. Keep one or two interests in the child’s life because they enjoy them, not because they will someday decorate an application.</w:t>
      </w:r>
    </w:p>
    <w:p>
      <w:pPr>
        <w:jc w:val="left"/>
      </w:pPr>
      <w:r>
        <w:rPr>
          <w:rFonts w:ascii="Georgia" w:hAnsi="Georgia"/>
          <w:sz w:val="22"/>
        </w:rPr>
        <w:t>A child takes apart a broken radio with an adult nearby, sketches the pieces, and writes down what did not work. The parent supplies a screwdriver and asks, “What do you think this part did?” There is no need to turn the afternoon into a camp certificate or a polished project page.</w:t>
      </w:r>
    </w:p>
    <w:p>
      <w:pPr>
        <w:jc w:val="left"/>
      </w:pPr>
      <w:r>
        <w:rPr>
          <w:rFonts w:ascii="Georgia" w:hAnsi="Georgia"/>
          <w:sz w:val="22"/>
        </w:rPr>
        <w:t>Help when the student is stuck, then let them try. Correct a specific error without making the entire evening about performance. Do not start ranking elementary activities by future admissions value; at this age, the useful result is a child who can read, ask questions, and finish ordinary tasks with less adult rescue.</w:t>
      </w:r>
    </w:p>
    <w:p w14:paraId="25D834B7" w14:textId="77777777" w:rsidR="00557D37" w:rsidRDefault="00B54EE6">
      <w:pPr>
        <w:pStyle w:val="Heading2"/>
        <w:keepNext/>
        <w:jc w:val="center"/>
      </w:pPr>
      <w:r>
        <w:rPr>
          <w:rFonts w:ascii="Georgia" w:hAnsi="Georgia"/>
          <w:b/>
          <w:color w:val="2A5CAA"/>
          <w:sz w:val="25"/>
        </w:rPr>
        <w:t>Middle and High School</w:t>
      </w:r>
    </w:p>
    <w:p w14:paraId="726B0EAB" w14:textId="77777777" w:rsidR="00557D37" w:rsidRDefault="00B54EE6">
      <w:pPr>
        <w:spacing w:after="200"/>
        <w:jc w:val="left"/>
      </w:pPr>
      <w:r>
        <w:rPr>
          <w:rFonts w:ascii="Georgia" w:hAnsi="Georgia"/>
          <w:sz w:val="22"/>
        </w:rPr>
        <w:t>A cooperative teenager can handle more of the routine if expectations are clear and realistic. Some students find a dog’s presence calming. Pet care can later be described as an ordinary sustained responsibility, similar to a household job, but it rarely stands out in applications unless tied to something larger such as shelter volunteering. Most of the time it is simply home life.</w:t>
      </w:r>
    </w:p>
    <w:p w14:paraId="101EAD2F" w14:textId="77777777" w:rsidR="00557D37" w:rsidRDefault="00B54EE6">
      <w:pPr>
        <w:pStyle w:val="Heading2"/>
        <w:keepNext/>
        <w:jc w:val="center"/>
      </w:pPr>
      <w:r>
        <w:rPr>
          <w:rFonts w:ascii="Georgia" w:hAnsi="Georgia"/>
          <w:b/>
          <w:color w:val="2A5CAA"/>
          <w:sz w:val="25"/>
        </w:rPr>
        <w:t>Choosing and Managing by Animal Type</w:t>
      </w:r>
    </w:p>
    <w:p w14:paraId="03E6AFAE" w14:textId="77777777" w:rsidR="00557D37" w:rsidRDefault="00B54EE6">
      <w:pPr>
        <w:spacing w:after="200"/>
        <w:jc w:val="left"/>
      </w:pPr>
      <w:r>
        <w:rPr>
          <w:rFonts w:ascii="Georgia" w:hAnsi="Georgia"/>
          <w:sz w:val="22"/>
        </w:rPr>
        <w:t>Animals have individual temperaments and needs. Do not assume age, size, or breed makes an animal predictable around a child. Choose a pet only if adults can care for it throughout its life, and always supervise young children around pets. [6]</w:t>
      </w:r>
    </w:p>
    <w:p w14:paraId="43EE6440" w14:textId="77777777" w:rsidR="00557D37" w:rsidRDefault="00B54EE6">
      <w:pPr>
        <w:spacing w:after="200"/>
        <w:jc w:val="left"/>
      </w:pPr>
      <w:r>
        <w:rPr>
          <w:rFonts w:ascii="Georgia" w:hAnsi="Georgia"/>
          <w:sz w:val="22"/>
        </w:rPr>
        <w:t>Match the animal to actual family time, space, budget, and health constraints. Plan for the full lifespan and for the possibility that interest fades. Keep all interactions narrated and contingent. Stop if the child or animal shows stress. Treat any care the child does as a tiny helping job, not full ownership of the responsibility.</w:t>
      </w:r>
    </w:p>
    <w:p w14:paraId="2B88D460" w14:textId="77777777" w:rsidR="00557D37" w:rsidRDefault="00B54EE6">
      <w:pPr>
        <w:spacing w:after="200"/>
        <w:jc w:val="left"/>
      </w:pPr>
      <w:r>
        <w:rPr>
          <w:rFonts w:ascii="Georgia" w:hAnsi="Georgia"/>
          <w:sz w:val="22"/>
        </w:rPr>
        <w:t>A well-matched, supervised pet can supply pleasant ordinary moments and light practice in noticing another creature’s needs. It does not replace language-rich interaction, sleep, consistent schoolwork, or sustained interests, and it will not meaningfully change later academic or admissions outcomes.</w:t>
      </w:r>
    </w:p>
    <w:p w14:paraId="5CFEA8A0" w14:textId="77777777" w:rsidR="00557D37" w:rsidRDefault="00B54EE6">
      <w:pPr>
        <w:pStyle w:val="Heading2"/>
        <w:keepNext/>
        <w:pageBreakBefore/>
        <w:jc w:val="center"/>
      </w:pPr>
      <w:bookmarkStart w:id="10" w:name="sec8"/>
      <w:r>
        <w:rPr>
          <w:rFonts w:ascii="Georgia" w:hAnsi="Georgia"/>
          <w:b/>
          <w:color w:val="2A5CAA"/>
          <w:sz w:val="25"/>
        </w:rPr>
        <w:t>Choosing K–12 Schools</w:t>
      </w:r>
      <w:bookmarkEnd w:id="10"/>
    </w:p>
    <w:p>
      <w:pPr>
        <w:jc w:val="left"/>
      </w:pPr>
      <w:r>
        <w:rPr>
          <w:rFonts w:ascii="Georgia" w:hAnsi="Georgia"/>
          <w:sz w:val="22"/>
        </w:rPr>
        <w:t>Choose a school by looking at the student’s actual day: available courses, teaching, safety, support, commute, peers, and total family cost. Public, charter, magnet, Montessori, and private are labels, not teaching methods; quality and fit vary within each group.</w:t>
      </w:r>
    </w:p>
    <w:p>
      <w:pPr>
        <w:jc w:val="left"/>
      </w:pPr>
      <w:r>
        <w:rPr>
          <w:rFonts w:ascii="Georgia" w:hAnsi="Georgia"/>
          <w:sz w:val="22"/>
        </w:rPr>
        <w:t>Before changing schools or moving, compare the specific school and its supports with the full cost of the change. Ask what courses the student can take, how help is arranged, and whether the commute or tuition would reduce sleep, family stability, or other opportunities. A school ranking is a prompt to investigate, not a verdict on the child’s future.</w:t>
      </w:r>
    </w:p>
    <w:p>
      <w:pPr>
        <w:jc w:val="left"/>
      </w:pPr>
      <w:r>
        <w:rPr>
          <w:rFonts w:ascii="Georgia" w:hAnsi="Georgia"/>
          <w:sz w:val="22"/>
        </w:rPr>
        <w:t>A school sector label tells you who operates the school; it does not tell you who will teach your child.</w:t>
      </w:r>
    </w:p>
    <w:p w14:paraId="50D516C0" w14:textId="77777777" w:rsidR="00557D37" w:rsidRDefault="00B54EE6">
      <w:pPr>
        <w:pStyle w:val="Heading2"/>
        <w:keepNext/>
        <w:jc w:val="center"/>
      </w:pPr>
      <w:r>
        <w:rPr>
          <w:rFonts w:ascii="Georgia" w:hAnsi="Georgia"/>
          <w:b/>
          <w:color w:val="2A5CAA"/>
          <w:sz w:val="25"/>
        </w:rPr>
        <w:t>Public Schools</w:t>
      </w:r>
    </w:p>
    <w:p w14:paraId="19D6A037" w14:textId="77777777" w:rsidR="00557D37" w:rsidRDefault="00B54EE6">
      <w:pPr>
        <w:spacing w:after="200"/>
        <w:jc w:val="left"/>
      </w:pPr>
      <w:r>
        <w:rPr>
          <w:rFonts w:ascii="Georgia" w:hAnsi="Georgia"/>
          <w:sz w:val="22"/>
        </w:rPr>
        <w:t>Public schools charge no or low tuition, freeing resources for other uses. Many offer solid academics, magnets, IB, or AP options, and a wide peer range. A motivated student can stand out. Quality varies sharply by district. Larger classes and fewer advanced offerings in some places may require advocacy. The student must be able to focus amid ordinary distractions.</w:t>
      </w:r>
    </w:p>
    <w:p w14:paraId="59CD1700" w14:textId="77777777" w:rsidR="00557D37" w:rsidRDefault="00B54EE6">
      <w:pPr>
        <w:pStyle w:val="Heading2"/>
        <w:keepNext/>
        <w:jc w:val="center"/>
      </w:pPr>
      <w:r>
        <w:rPr>
          <w:rFonts w:ascii="Georgia" w:hAnsi="Georgia"/>
          <w:b/>
          <w:color w:val="2A5CAA"/>
          <w:sz w:val="25"/>
        </w:rPr>
        <w:t>Private Schools</w:t>
      </w:r>
    </w:p>
    <w:p w14:paraId="2BF83D9B" w14:textId="77777777" w:rsidR="00557D37" w:rsidRDefault="00B54EE6">
      <w:pPr>
        <w:spacing w:after="200"/>
        <w:jc w:val="left"/>
      </w:pPr>
      <w:r>
        <w:rPr>
          <w:rFonts w:ascii="Georgia" w:hAnsi="Georgia"/>
          <w:sz w:val="22"/>
        </w:rPr>
        <w:t>Private schools often provide smaller classes, easier access to advanced work, and sometimes stronger counseling. Cost is high and can create pressure. Not all are rigorous; some emphasize prestige over substance. K–12 selectivity does not guarantee later college results. Calculate the multi-year expense against other uses of the money.</w:t>
      </w:r>
    </w:p>
    <w:p w14:paraId="6D603EA5" w14:textId="77777777" w:rsidR="00557D37" w:rsidRDefault="00B54EE6">
      <w:pPr>
        <w:pStyle w:val="Heading2"/>
        <w:keepNext/>
        <w:jc w:val="center"/>
      </w:pPr>
      <w:r>
        <w:rPr>
          <w:rFonts w:ascii="Georgia" w:hAnsi="Georgia"/>
          <w:b/>
          <w:color w:val="2A5CAA"/>
          <w:sz w:val="25"/>
        </w:rPr>
        <w:t>Montessori</w:t>
      </w:r>
    </w:p>
    <w:p w14:paraId="205029E4" w14:textId="77777777" w:rsidR="00557D37" w:rsidRDefault="00B54EE6">
      <w:pPr>
        <w:spacing w:after="200"/>
        <w:jc w:val="left"/>
      </w:pPr>
      <w:r>
        <w:rPr>
          <w:rFonts w:ascii="Georgia" w:hAnsi="Georgia"/>
          <w:sz w:val="22"/>
        </w:rPr>
        <w:t>Montessori programs emphasize child-directed work, practical life skills, and longer uninterrupted periods. They can support independence and concentration in the early years. Quality and fidelity vary widely. Full K–12 options are fewer, and transition to conventional later schooling may require adjustment. Verify actual academics and cost. It is a legitimate early option for some children, not a requirement.</w:t>
      </w:r>
    </w:p>
    <w:p w14:paraId="3E63E3AC" w14:textId="77777777" w:rsidR="00557D37" w:rsidRDefault="00B54EE6">
      <w:pPr>
        <w:pStyle w:val="Heading2"/>
        <w:keepNext/>
        <w:jc w:val="center"/>
      </w:pPr>
      <w:r>
        <w:rPr>
          <w:rFonts w:ascii="Georgia" w:hAnsi="Georgia"/>
          <w:b/>
          <w:color w:val="2A5CAA"/>
          <w:sz w:val="25"/>
        </w:rPr>
        <w:t>Neighborhood and Peer Environment</w:t>
      </w:r>
    </w:p>
    <w:p w14:paraId="19222124" w14:textId="77777777" w:rsidR="00557D37" w:rsidRDefault="00B54EE6">
      <w:pPr>
        <w:spacing w:after="200"/>
        <w:jc w:val="left"/>
      </w:pPr>
      <w:r>
        <w:rPr>
          <w:rFonts w:ascii="Georgia" w:hAnsi="Georgia"/>
          <w:sz w:val="22"/>
        </w:rPr>
        <w:t>A move for school access can change housing cost, commute, childcare, and family stability as well as course options. Compare the full cost and the actual assigned school, not a neighborhood reputation or ranking. Check enrollment boundaries and likely changes, and include the family's financial margin and support network in the decision.</w:t>
      </w:r>
    </w:p>
    <w:p w14:paraId="4D5E2BE2" w14:textId="77777777" w:rsidR="00557D37" w:rsidRDefault="00B54EE6">
      <w:pPr>
        <w:spacing w:after="200"/>
        <w:jc w:val="left"/>
      </w:pPr>
      <w:r>
        <w:rPr>
          <w:rFonts w:ascii="Georgia" w:hAnsi="Georgia"/>
          <w:sz w:val="22"/>
        </w:rPr>
        <w:t>In all cases, prioritize whether the school lets this student take appropriately challenging courses in areas of strength, maintain work habits and sleep, and pursue one or two real interests. Re-evaluate at transition points. The sector label itself is secondary.</w:t>
      </w:r>
    </w:p>
    <w:p w14:paraId="438692C9" w14:textId="77777777" w:rsidR="00557D37" w:rsidRDefault="00B54EE6">
      <w:pPr>
        <w:pStyle w:val="Heading2"/>
        <w:keepNext/>
        <w:pageBreakBefore/>
        <w:jc w:val="center"/>
      </w:pPr>
      <w:bookmarkStart w:id="11" w:name="sec9"/>
      <w:r>
        <w:rPr>
          <w:rFonts w:ascii="Georgia" w:hAnsi="Georgia"/>
          <w:b/>
          <w:color w:val="2A5CAA"/>
          <w:sz w:val="25"/>
        </w:rPr>
        <w:t>Screens — Television, Computers, and Phones</w:t>
      </w:r>
      <w:bookmarkEnd w:id="11"/>
    </w:p>
    <w:p w14:paraId="1CB9F3CD" w14:textId="77777777" w:rsidR="00557D37" w:rsidRDefault="00B54EE6">
      <w:pPr>
        <w:spacing w:after="200"/>
        <w:jc w:val="left"/>
      </w:pPr>
      <w:r>
        <w:rPr>
          <w:rFonts w:ascii="Georgia" w:hAnsi="Georgia"/>
          <w:sz w:val="22"/>
        </w:rPr>
        <w:t>Digital media can support learning, creativity, connection, and access when the content and context are suitable. It can also crowd out sleep, movement, reading, conversation, or in-person time, while some platforms are designed to prolong use. Consider the child's age and needs, the content, who is using it with them, when it occurs, and what the use is displacing. [4]</w:t>
      </w:r>
    </w:p>
    <w:p w14:paraId="24CABD97" w14:textId="77777777" w:rsidR="00557D37" w:rsidRDefault="00B54EE6">
      <w:pPr>
        <w:pStyle w:val="Heading2"/>
        <w:keepNext/>
        <w:jc w:val="center"/>
      </w:pPr>
      <w:r>
        <w:rPr>
          <w:rFonts w:ascii="Georgia" w:hAnsi="Georgia"/>
          <w:b/>
          <w:color w:val="2A5CAA"/>
          <w:sz w:val="25"/>
        </w:rPr>
        <w:t>Television by Age</w:t>
      </w:r>
    </w:p>
    <w:p>
      <w:pPr>
        <w:jc w:val="left"/>
      </w:pPr>
      <w:r>
        <w:rPr>
          <w:rFonts w:ascii="Georgia" w:hAnsi="Georgia"/>
          <w:sz w:val="22"/>
        </w:rPr>
        <w:t>For young children, choose short, age-appropriate programs and watch together when practical. For older children, agree on when recreational media fits around sleep, schoolwork, movement, and family time. A video call, an art tutorial, and an autoplay feed are not interchangeable uses.</w:t>
      </w:r>
    </w:p>
    <w:p>
      <w:pPr>
        <w:jc w:val="left"/>
      </w:pPr>
      <w:r>
        <w:rPr>
          <w:rFonts w:ascii="Georgia" w:hAnsi="Georgia"/>
          <w:sz w:val="22"/>
        </w:rPr>
        <w:t>If media begins displacing sleep, reading, play, homework, or relationships, change the routine that is causing the problem. Keep devices away during meals or bedtime if that rule solves a real household issue. Revisit boundaries as the child gains judgment; do not use one number of minutes as a complete account of family life.</w:t>
      </w:r>
    </w:p>
    <w:p w14:paraId="455130AF" w14:textId="77777777" w:rsidR="00557D37" w:rsidRDefault="00B54EE6">
      <w:pPr>
        <w:pStyle w:val="Heading2"/>
        <w:keepNext/>
        <w:jc w:val="center"/>
      </w:pPr>
      <w:r>
        <w:rPr>
          <w:rFonts w:ascii="Georgia" w:hAnsi="Georgia"/>
          <w:b/>
          <w:color w:val="2A5CAA"/>
          <w:sz w:val="25"/>
        </w:rPr>
        <w:t>Computers and Phones by Age</w:t>
      </w:r>
    </w:p>
    <w:p>
      <w:pPr>
        <w:jc w:val="left"/>
      </w:pPr>
      <w:r>
        <w:rPr>
          <w:rFonts w:ascii="Georgia" w:hAnsi="Georgia"/>
          <w:sz w:val="22"/>
        </w:rPr>
        <w:t>Ask what the screen is doing and what it is replacing. A video call with a grandparent, a drawing program, a school assignment, and an autoplay feed are different uses. Some products are designed to keep the next item arriving; the “one more” button is not a family value.</w:t>
      </w:r>
    </w:p>
    <w:p>
      <w:pPr>
        <w:jc w:val="left"/>
      </w:pPr>
      <w:r>
        <w:rPr>
          <w:rFonts w:ascii="Georgia" w:hAnsi="Georgia"/>
          <w:sz w:val="22"/>
        </w:rPr>
        <w:t>For younger children, watch together when practical and connect a short program to real play or conversation. For older children, agree on a few rules that solve a real problem: devices charge outside bedrooms overnight, notifications stay off during homework, or entertainment begins after essential work. Adjust the rules as the child shows more responsibility.</w:t>
      </w:r>
    </w:p>
    <w:p>
      <w:pPr>
        <w:jc w:val="left"/>
      </w:pPr>
      <w:r>
        <w:rPr>
          <w:rFonts w:ascii="Georgia" w:hAnsi="Georgia"/>
          <w:sz w:val="22"/>
        </w:rPr>
        <w:t>A school device can still invite distraction. Name the task, close unrelated tabs, and choose a stopping point. If a student repeatedly drifts, try a paper copy, a shared quiet workspace, or shorter focus blocks before treating the problem as a character flaw. Build privacy and safety into the conversation as children get older; surveillance alone does not teach judgment.</w:t>
      </w:r>
    </w:p>
    <w:p w14:paraId="52900481" w14:textId="77777777" w:rsidR="00557D37" w:rsidRDefault="00B54EE6">
      <w:pPr>
        <w:pStyle w:val="Heading2"/>
        <w:keepNext/>
        <w:pageBreakBefore/>
        <w:jc w:val="center"/>
      </w:pPr>
      <w:r>
        <w:rPr>
          <w:rFonts w:ascii="Georgia" w:hAnsi="Georgia"/>
          <w:b/>
          <w:color w:val="2A5CAA"/>
          <w:sz w:val="25"/>
        </w:rPr>
        <w:t>Online Help and AI</w:t>
      </w:r>
    </w:p>
    <w:p w14:paraId="7A09ACAA" w14:textId="77777777" w:rsidR="00FE1D37" w:rsidRDefault="00CA19A5">
      <w:pPr>
        <w:jc w:val="left"/>
      </w:pPr>
      <w:r>
        <w:rPr>
          <w:rFonts w:ascii="Georgia" w:hAnsi="Georgia"/>
          <w:sz w:val="22"/>
        </w:rPr>
        <w:t>Online explainers can be especially useful when they show a process: how a machine works, how a math solution is built, how a language phrase is pronounced, or how a craft is made. A family can preview a channel or video, check who produced it, and look for a clear explanation rather than confident presentation alone. After watching, ask the child to restate the idea, demonstrate a step, or compare it with a second reliable source. That small follow-up helps distinguish learning from simply recognizing a familiar clip.</w:t>
      </w:r>
    </w:p>
    <w:p w14:paraId="6031F3DC" w14:textId="77777777" w:rsidR="00FE1D37" w:rsidRDefault="00CA19A5">
      <w:pPr>
        <w:jc w:val="left"/>
      </w:pPr>
      <w:r>
        <w:rPr>
          <w:rFonts w:ascii="Georgia" w:hAnsi="Georgia"/>
          <w:sz w:val="22"/>
        </w:rPr>
        <w:t>A video platform is also a recommendation system designed to keep serving more material. Search for the specific topic, choose a useful clip deliberately, and leave when the question is answered. For young children, use parent-selected links and settings; for older children, discuss how recommendations, ads, sponsorships, and edited demonstrations can shape what appears credible. A polished video is not automatically accurate, and a creator’s explanation should not replace a teacher, clinician, or official source when the stakes are high.</w:t>
      </w:r>
    </w:p>
    <w:p w14:paraId="776533BB" w14:textId="77777777" w:rsidR="00FE1D37" w:rsidRDefault="00CA19A5">
      <w:pPr>
        <w:jc w:val="left"/>
      </w:pPr>
      <w:r>
        <w:rPr>
          <w:rFonts w:ascii="Georgia" w:hAnsi="Georgia"/>
          <w:sz w:val="22"/>
        </w:rPr>
        <w:t>AI can be used as a question partner after the student has made an honest attempt. Useful prompts include asking for a simpler explanation of a concept, requesting a new practice problem, or asking what assumptions a solution uses. The student should check answers against class materials or a trusted source, especially for factual or mathematical work. AI can make mistakes, invent citations, and give different answers to similar prompts.</w:t>
      </w:r>
    </w:p>
    <w:p w14:paraId="007E93F5" w14:textId="77777777" w:rsidR="00FE1D37" w:rsidRDefault="00CA19A5">
      <w:pPr>
        <w:jc w:val="left"/>
      </w:pPr>
      <w:r>
        <w:rPr>
          <w:rFonts w:ascii="Georgia" w:hAnsi="Georgia"/>
          <w:sz w:val="22"/>
        </w:rPr>
        <w:t>Keep school rules in view. If an assignment prohibits generative AI, do not use it for that work. If it permits assistance, the student should be able to explain and defend every submitted sentence, calculation, and source. Do not paste private student records, another person’s personal information, or application essays containing sensitive details into a service without understanding its data practices. Voice conversations can lower the friction of asking a question, but the same standards of checking, privacy, and independent authorship apply.</w:t>
      </w:r>
    </w:p>
    <w:p w14:paraId="12FEDDC5" w14:textId="77777777" w:rsidR="00557D37" w:rsidRDefault="00B54EE6">
      <w:pPr>
        <w:spacing w:after="200"/>
        <w:jc w:val="left"/>
      </w:pPr>
      <w:r>
        <w:rPr>
          <w:rFonts w:ascii="Georgia" w:hAnsi="Georgia"/>
          <w:sz w:val="22"/>
        </w:rPr>
        <w:t>Online resources and AI tools are efficient for facts, targeted explanations, and official requirements when the student has already tried the work. They do not replace practice or the student’s own writing.</w:t>
      </w:r>
    </w:p>
    <w:p w14:paraId="568E9825" w14:textId="77777777" w:rsidR="00557D37" w:rsidRDefault="00B54EE6">
      <w:pPr>
        <w:spacing w:after="200"/>
        <w:jc w:val="left"/>
      </w:pPr>
      <w:r>
        <w:rPr>
          <w:rFonts w:ascii="Georgia" w:hAnsi="Georgia"/>
          <w:sz w:val="22"/>
        </w:rPr>
        <w:t>For schoolwork: use textbook sites, Khan Academy-style practice, or a specific explainer after attempting the problem. Avoid answer sites or copying full solutions. AI can rephrase a concept, generate extra practice problems, or discuss an approach the student has started; the student then completes the next step independently and verifies important points. School AI policies must be followed.</w:t>
      </w:r>
    </w:p>
    <w:p w14:paraId="376FB705" w14:textId="77777777" w:rsidR="00557D37" w:rsidRDefault="00B54EE6">
      <w:pPr>
        <w:spacing w:after="200"/>
        <w:jc w:val="left"/>
      </w:pPr>
      <w:r>
        <w:rPr>
          <w:rFonts w:ascii="Georgia" w:hAnsi="Georgia"/>
          <w:sz w:val="22"/>
        </w:rPr>
        <w:t>Voice conversations with AI lower the barrier for some students to ask questions or practice a language. Keep sessions short and specific. The same limits apply: attempt first, verify, and do not submit AI-generated work as one’s own.</w:t>
      </w:r>
    </w:p>
    <w:p w14:paraId="53CD0871" w14:textId="77777777" w:rsidR="00557D37" w:rsidRDefault="00B54EE6">
      <w:pPr>
        <w:spacing w:after="200"/>
        <w:jc w:val="left"/>
      </w:pPr>
      <w:r>
        <w:rPr>
          <w:rFonts w:ascii="Georgia" w:hAnsi="Georgia"/>
          <w:sz w:val="22"/>
        </w:rPr>
        <w:t>For applications: official college sites, net-price calculators, and portal instructions are the primary online sources. AI may help brainstorm angles or check clarity of a sentence the student wrote. It should not write the personal essay or activity descriptions. Accuracy and the student’s voice remain more important than polished online output.</w:t>
      </w:r>
    </w:p>
    <w:p w14:paraId="7BC9B7C8" w14:textId="77777777" w:rsidR="00557D37" w:rsidRDefault="00B54EE6">
      <w:pPr>
        <w:spacing w:after="200"/>
        <w:jc w:val="left"/>
      </w:pPr>
      <w:r>
        <w:rPr>
          <w:rFonts w:ascii="Georgia" w:hAnsi="Georgia"/>
          <w:sz w:val="22"/>
        </w:rPr>
        <w:t>Simple rule that scales: try the work first, ask a specific question if stuck, do the next step yourself, verify what matters, and never turn in unedited AI text.</w:t>
      </w:r>
    </w:p>
    <w:p w14:paraId="7E32D1FA" w14:textId="77777777" w:rsidR="00557D37" w:rsidRDefault="00B54EE6">
      <w:pPr>
        <w:pStyle w:val="Heading2"/>
        <w:keepNext/>
        <w:pageBreakBefore/>
        <w:jc w:val="center"/>
      </w:pPr>
      <w:bookmarkStart w:id="12" w:name="sec10"/>
      <w:r>
        <w:rPr>
          <w:rFonts w:ascii="Georgia" w:hAnsi="Georgia"/>
          <w:b/>
          <w:color w:val="2A5CAA"/>
          <w:sz w:val="25"/>
        </w:rPr>
        <w:t>Everyday Habits That Compound</w:t>
      </w:r>
      <w:bookmarkEnd w:id="12"/>
    </w:p>
    <w:p w14:paraId="7EAE6272" w14:textId="77777777" w:rsidR="00557D37" w:rsidRDefault="00B54EE6">
      <w:pPr>
        <w:pStyle w:val="Heading2"/>
        <w:keepNext/>
        <w:jc w:val="center"/>
      </w:pPr>
      <w:r>
        <w:rPr>
          <w:rFonts w:ascii="Georgia" w:hAnsi="Georgia"/>
          <w:b/>
          <w:color w:val="2A5CAA"/>
          <w:sz w:val="25"/>
        </w:rPr>
        <w:t>Sleep Amounts and Patterns</w:t>
      </w:r>
    </w:p>
    <w:p>
      <w:pPr>
        <w:jc w:val="left"/>
      </w:pPr>
      <w:r>
        <w:rPr>
          <w:rFonts w:ascii="Georgia" w:hAnsi="Georgia"/>
          <w:sz w:val="22"/>
        </w:rPr>
        <w:t>Sleep is a foundation for attention, mood, learning, and safe daily functioning. Protect enough opportunity for it before adding another activity. The American Academy of Sleep Medicine recommends 9–12 hours per 24 hours for children ages 6–12 and 8–10 hours for adolescents ages 13–18; individual needs and medical circumstances vary. [5]</w:t>
      </w:r>
    </w:p>
    <w:p>
      <w:pPr>
        <w:jc w:val="left"/>
      </w:pPr>
      <w:r>
        <w:rPr>
          <w:rFonts w:ascii="Georgia" w:hAnsi="Georgia"/>
          <w:sz w:val="22"/>
        </w:rPr>
        <w:t>Work backward from the required wake time. If practice, homework, a commute, or device use keeps cutting into sleep, change the schedule where possible instead of asking the student to become more efficient at being tired. A regular wind-down and a device-charging place outside the bedroom can help. Persistent insomnia, extreme daytime sleepiness, or other health concerns belong with a clinician.</w:t>
      </w:r>
    </w:p>
    <w:p w14:paraId="42AA42BA" w14:textId="77777777" w:rsidR="00557D37" w:rsidRDefault="00B54EE6">
      <w:pPr>
        <w:pStyle w:val="Heading2"/>
        <w:keepNext/>
        <w:jc w:val="center"/>
      </w:pPr>
      <w:r>
        <w:rPr>
          <w:rFonts w:ascii="Georgia" w:hAnsi="Georgia"/>
          <w:b/>
          <w:color w:val="2A5CAA"/>
          <w:sz w:val="25"/>
        </w:rPr>
        <w:t>Reading Progression</w:t>
      </w:r>
    </w:p>
    <w:p w14:paraId="18CEAA6C" w14:textId="77777777" w:rsidR="00557D37" w:rsidRDefault="00B54EE6">
      <w:pPr>
        <w:spacing w:after="200"/>
        <w:jc w:val="left"/>
      </w:pPr>
      <w:r>
        <w:rPr>
          <w:rFonts w:ascii="Georgia" w:hAnsi="Georgia"/>
          <w:sz w:val="22"/>
        </w:rPr>
        <w:t>Continue daily shared reading even after the child can read independently. Move gradually to the child reading aloud, then to silent reading with occasional conversation about the book. Let the child choose some titles. Keep books visible and limit competing screen time. Volume of engaged reading predicts later comprehension and vocabulary better than isolated skill drills.</w:t>
      </w:r>
    </w:p>
    <w:p w14:paraId="4B6CA456" w14:textId="77777777" w:rsidR="00557D37" w:rsidRDefault="00B54EE6">
      <w:pPr>
        <w:spacing w:after="200"/>
        <w:jc w:val="left"/>
      </w:pPr>
      <w:r>
        <w:rPr>
          <w:rFonts w:ascii="Georgia" w:hAnsi="Georgia"/>
          <w:sz w:val="22"/>
        </w:rPr>
        <w:t>Encourage actual book reading as the default. Audiobooks of favorites are a useful supplement for car rides or repeated stories, especially with occasional talk about the content, but they do not replace print reading. Purposeful YouTube explainers, how-to, DIY, or language videos can support a specific interest or demonstration when chosen deliberately and followed by doing or discussing. Extended or autoplay video remains lower-value and should stay inside existing screen limits so that book reading stays larger.</w:t>
      </w:r>
    </w:p>
    <w:p w14:paraId="21E94C70" w14:textId="77777777" w:rsidR="00557D37" w:rsidRDefault="00B54EE6">
      <w:pPr>
        <w:spacing w:after="200"/>
        <w:jc w:val="left"/>
      </w:pPr>
      <w:r>
        <w:rPr>
          <w:rFonts w:ascii="Georgia" w:hAnsi="Georgia"/>
          <w:sz w:val="22"/>
        </w:rPr>
        <w:t>Examples of generally solid channels include SciShow Kids, Crash Course Kids, National Geographic Kids, Mark Rober, SmarterEveryDay, Art for Kids Hub, and clear language channels such as Dreaming Spanish or Easy Languages series. Preview videos, use specific links or playlists rather than open autoplay, and pair watching with a related activity or book.</w:t>
      </w:r>
    </w:p>
    <w:p w14:paraId="0E262C53" w14:textId="77777777" w:rsidR="00557D37" w:rsidRDefault="00B54EE6">
      <w:pPr>
        <w:pStyle w:val="Heading2"/>
        <w:keepNext/>
        <w:jc w:val="center"/>
      </w:pPr>
      <w:r>
        <w:rPr>
          <w:rFonts w:ascii="Georgia" w:hAnsi="Georgia"/>
          <w:b/>
          <w:color w:val="2A5CAA"/>
          <w:sz w:val="25"/>
        </w:rPr>
        <w:t>Physical Activity and Outdoor Time</w:t>
      </w:r>
    </w:p>
    <w:p w14:paraId="697F1224" w14:textId="77777777" w:rsidR="00557D37" w:rsidRDefault="00B54EE6">
      <w:pPr>
        <w:spacing w:after="200"/>
        <w:jc w:val="left"/>
      </w:pPr>
      <w:r>
        <w:rPr>
          <w:rFonts w:ascii="Georgia" w:hAnsi="Georgia"/>
          <w:sz w:val="22"/>
        </w:rPr>
        <w:t>Daily movement—free play, walking, sports, or active chores—supports attention and mood. Unstructured outdoor time is as useful as organized sports for most children. One or two sports seasons are enough if the student enjoys them; year-round specialization raises injury and burnout risk. Protect some unscheduled outdoor or active time each week.</w:t>
      </w:r>
    </w:p>
    <w:p w14:paraId="4AE7CC70" w14:textId="77777777" w:rsidR="00557D37" w:rsidRDefault="00B54EE6">
      <w:pPr>
        <w:pStyle w:val="Heading2"/>
        <w:keepNext/>
        <w:jc w:val="center"/>
      </w:pPr>
      <w:r>
        <w:rPr>
          <w:rFonts w:ascii="Georgia" w:hAnsi="Georgia"/>
          <w:b/>
          <w:color w:val="2A5CAA"/>
          <w:sz w:val="25"/>
        </w:rPr>
        <w:t>Ordinary Nutrition</w:t>
      </w:r>
    </w:p>
    <w:p w14:paraId="399ACAF7" w14:textId="77777777" w:rsidR="00557D37" w:rsidRDefault="00B54EE6">
      <w:pPr>
        <w:spacing w:after="200"/>
        <w:jc w:val="left"/>
      </w:pPr>
      <w:r>
        <w:rPr>
          <w:rFonts w:ascii="Georgia" w:hAnsi="Georgia"/>
          <w:sz w:val="22"/>
        </w:rPr>
        <w:t>Regular family meals with ordinary whole foods are sufficient. Limit sugary drinks and constant ultra-processed snacks. No special diet has been shown to raise later academic or admissions outcomes. Hydration, regular meals, and avoiding heavy sugar before school or tests are the practical points.</w:t>
      </w:r>
    </w:p>
    <w:p w14:paraId="02693D40" w14:textId="77777777" w:rsidR="00557D37" w:rsidRDefault="00B54EE6">
      <w:pPr>
        <w:pStyle w:val="Heading2"/>
        <w:keepNext/>
        <w:jc w:val="center"/>
      </w:pPr>
      <w:r>
        <w:rPr>
          <w:rFonts w:ascii="Georgia" w:hAnsi="Georgia"/>
          <w:b/>
          <w:color w:val="2A5CAA"/>
          <w:sz w:val="25"/>
        </w:rPr>
        <w:t>Friendships</w:t>
      </w:r>
    </w:p>
    <w:p w14:paraId="1A5F79B9" w14:textId="77777777" w:rsidR="00557D37" w:rsidRDefault="00B54EE6">
      <w:pPr>
        <w:spacing w:after="200"/>
        <w:jc w:val="left"/>
      </w:pPr>
      <w:r>
        <w:rPr>
          <w:rFonts w:ascii="Georgia" w:hAnsi="Georgia"/>
          <w:sz w:val="22"/>
        </w:rPr>
        <w:t>Peer groups influence daily habits. Proximity to students who do schoolwork and keep commitments reduces friction. Parents can facilitate contact through activities or neighborhood life but cannot manufacture close friendships. Intervene mainly when a relationship is clearly harmful or isolates the child from necessary work and sleep. Most social navigation is the child’s to practice.</w:t>
      </w:r>
    </w:p>
    <w:p w14:paraId="5BCD6DE6" w14:textId="77777777" w:rsidR="00557D37" w:rsidRDefault="00B54EE6">
      <w:pPr>
        <w:pStyle w:val="Heading2"/>
        <w:keepNext/>
        <w:jc w:val="center"/>
      </w:pPr>
      <w:r>
        <w:rPr>
          <w:rFonts w:ascii="Georgia" w:hAnsi="Georgia"/>
          <w:b/>
          <w:color w:val="2A5CAA"/>
          <w:sz w:val="25"/>
        </w:rPr>
        <w:t>Organization Habits</w:t>
      </w:r>
    </w:p>
    <w:p w14:paraId="72FDEA2B" w14:textId="77777777" w:rsidR="00557D37" w:rsidRDefault="00B54EE6">
      <w:pPr>
        <w:spacing w:after="200"/>
        <w:jc w:val="left"/>
      </w:pPr>
      <w:r>
        <w:rPr>
          <w:rFonts w:ascii="Georgia" w:hAnsi="Georgia"/>
          <w:sz w:val="22"/>
        </w:rPr>
        <w:t>Simple systems scale: a single backpack checklist in elementary school, a written or digital assignment list in middle school, and a weekly planning habit in high school. Review the list briefly with the student at first, then step back. Materials in a consistent place and a short daily shutdown routine prevent most lost-work crises.</w:t>
      </w:r>
    </w:p>
    <w:p w14:paraId="120D56C1" w14:textId="77777777" w:rsidR="00557D37" w:rsidRDefault="00B54EE6">
      <w:pPr>
        <w:pStyle w:val="Heading2"/>
        <w:keepNext/>
        <w:jc w:val="center"/>
      </w:pPr>
      <w:r>
        <w:rPr>
          <w:rFonts w:ascii="Georgia" w:hAnsi="Georgia"/>
          <w:b/>
          <w:color w:val="2A5CAA"/>
          <w:sz w:val="25"/>
        </w:rPr>
        <w:t>Summer and Unstructured Time</w:t>
      </w:r>
    </w:p>
    <w:p>
      <w:pPr>
        <w:pStyle w:val="Heading2"/>
        <w:jc w:val="center"/>
      </w:pPr>
      <w:r>
        <w:rPr>
          <w:rFonts w:ascii="Georgia" w:hAnsi="Georgia"/>
          <w:b/>
          <w:color w:val="2A5CAA"/>
          <w:sz w:val="25"/>
        </w:rPr>
        <w:t>Enrichment Without Overengineering</w:t>
      </w:r>
    </w:p>
    <w:p>
      <w:pPr>
        <w:jc w:val="left"/>
      </w:pPr>
      <w:r>
        <w:rPr>
          <w:rFonts w:ascii="Georgia" w:hAnsi="Georgia"/>
          <w:sz w:val="22"/>
        </w:rPr>
        <w:t>A child benefits from a home where interesting things are available, but an inventory of lessons is not the same as a rich environment. Books within reach, ordinary conversation, building materials, music, outdoor space, and time to follow a question give a child chances to notice what engages them. Alison Gopnik’s The Gardener and the Carpenter offers a useful reminder: adults can tend the conditions for growth without scripting a finished outcome.</w:t>
      </w:r>
    </w:p>
    <w:p>
      <w:pPr>
        <w:jc w:val="left"/>
      </w:pPr>
      <w:r>
        <w:rPr>
          <w:rFonts w:ascii="Georgia" w:hAnsi="Georgia"/>
          <w:sz w:val="22"/>
        </w:rPr>
        <w:t>Try observing before intervening. What does the child return to when no one directs the activity? What questions do they ask? Offer a next step that is small and accessible—a library book, a visit, a tool, or a chance to show someone what they made. If the interest fades, treat that as information rather than proof of poor discipline.</w:t>
      </w:r>
    </w:p>
    <w:p>
      <w:pPr>
        <w:jc w:val="left"/>
      </w:pPr>
      <w:r>
        <w:rPr>
          <w:rFonts w:ascii="Georgia" w:hAnsi="Georgia"/>
          <w:sz w:val="22"/>
        </w:rPr>
        <w:t>Popular syntheses such as NurtureShock can prompt parents to question assumptions about praise, sleep, and behavior. Use them to generate questions, then check consequential claims against current evidence. The everyday test is whether a practice helps this child learn, rest, connect, and participate in family life.</w:t>
      </w:r>
    </w:p>
    <w:p w14:paraId="24C5E994" w14:textId="77777777" w:rsidR="00557D37" w:rsidRDefault="00B54EE6">
      <w:pPr>
        <w:spacing w:after="200"/>
        <w:jc w:val="left"/>
      </w:pPr>
      <w:r>
        <w:rPr>
          <w:rFonts w:ascii="Georgia" w:hAnsi="Georgia"/>
          <w:sz w:val="22"/>
        </w:rPr>
        <w:t>Summers do not require expensive programs. Reading, a sustained personal project, a job, family responsibilities, or low-cost day camps are enough. Protect some genuinely free time. The admissions signal, if any, comes from what the student actually did and can describe, not from the price of the activity.</w:t>
      </w:r>
    </w:p>
    <w:p>
      <w:pPr>
        <w:jc w:val="left"/>
      </w:pPr>
      <w:r>
        <w:rPr>
          <w:rFonts w:ascii="Georgia" w:hAnsi="Georgia"/>
          <w:sz w:val="22"/>
        </w:rPr>
        <w:t>Try a monthly “follow the question” hour. The child chooses one thing they have wondered about; together, look for a book, person, place, or safe activity that can deepen it. Let the child decide whether to keep going next month. A child who changes subjects has still practiced curiosity, choice, and the habit of finding a next source.</w:t>
      </w:r>
    </w:p>
    <w:p>
      <w:pPr>
        <w:pStyle w:val="Heading2"/>
        <w:jc w:val="center"/>
      </w:pPr>
      <w:r>
        <w:rPr>
          <w:rFonts w:ascii="Georgia" w:hAnsi="Georgia"/>
          <w:b/>
          <w:color w:val="2A5CAA"/>
          <w:sz w:val="25"/>
        </w:rPr>
        <w:t>Curiosity That Belongs to the Child</w:t>
      </w:r>
    </w:p>
    <w:p>
      <w:pPr>
        <w:jc w:val="left"/>
      </w:pPr>
      <w:r>
        <w:rPr>
          <w:rFonts w:ascii="Georgia" w:hAnsi="Georgia"/>
          <w:sz w:val="22"/>
        </w:rPr>
        <w:t>A useful way to apply the gardener metaphor is to make the home an inviting place for questions without turning every question into a lesson. If a child wonders why the moon seems to follow the car, pause and ask what they notice. You might look together later, draw a guess, or leave the question open. The parent supplies materials, time, conversation, and access; the child supplies much of the direction. That balance protects the pleasure of discovery and gives children practice deciding what is worth pursuing.</w:t>
      </w:r>
    </w:p>
    <w:p>
      <w:pPr>
        <w:jc w:val="left"/>
      </w:pPr>
      <w:r>
        <w:rPr>
          <w:rFonts w:ascii="Georgia" w:hAnsi="Georgia"/>
          <w:sz w:val="22"/>
        </w:rPr>
        <w:t>Try a weekly “question trail.” Each family member names one thing they became curious about, then chooses a small next step: check a library book, interview someone who knows, observe the same thing again, or build a simple model. Keep the activity short and let a child stop when interest fades. The goal is not to produce a science-fair project every week. A question that leads nowhere can still teach observation, and a question that returns months later may be ready for deeper study.</w:t>
      </w:r>
    </w:p>
    <w:p>
      <w:pPr>
        <w:jc w:val="left"/>
      </w:pPr>
      <w:r>
        <w:rPr>
          <w:rFonts w:ascii="Georgia" w:hAnsi="Georgia"/>
          <w:sz w:val="22"/>
        </w:rPr>
        <w:t>Bronson and Merryman’s challenge to familiar parenting assumptions is best used as an invitation to examine habits, not as a new set of rigid rules. When a parenting claim sounds absolute—“always praise effort,” “never let a child be bored”—ask what outcome was studied, for which ages, and under what conditions. Then observe your own child. A strategy that helps one child feel capable may make another feel watched. Reliable guidance should sharpen judgment, not replace it.</w:t>
      </w:r>
    </w:p>
    <w:p>
      <w:pPr>
        <w:jc w:val="left"/>
      </w:pPr>
      <w:r>
        <w:rPr>
          <w:rFonts w:ascii="Georgia" w:hAnsi="Georgia"/>
          <w:sz w:val="22"/>
        </w:rPr>
        <w:t>Protect some time that has no visible academic product. Free play, reading for pleasure, tinkering, and quiet can support attention and intrinsic interest even when they do not look like résumé building. If a child requests more structure, provide it; if the adult is the only one pushing, step back and check whether the activity still belongs to the child.</w:t>
      </w:r>
    </w:p>
    <w:p w14:paraId="579EA6D6" w14:textId="77777777" w:rsidR="00557D37" w:rsidRDefault="00B54EE6">
      <w:pPr>
        <w:pStyle w:val="Heading2"/>
        <w:keepNext/>
        <w:jc w:val="center"/>
      </w:pPr>
      <w:r>
        <w:rPr>
          <w:rFonts w:ascii="Georgia" w:hAnsi="Georgia"/>
          <w:b/>
          <w:color w:val="2A5CAA"/>
          <w:sz w:val="25"/>
        </w:rPr>
        <w:t>Setbacks</w:t>
      </w:r>
    </w:p>
    <w:p w14:paraId="7C7331EF" w14:textId="77777777" w:rsidR="00557D37" w:rsidRDefault="00B54EE6">
      <w:pPr>
        <w:spacing w:after="200"/>
        <w:jc w:val="left"/>
      </w:pPr>
      <w:r>
        <w:rPr>
          <w:rFonts w:ascii="Georgia" w:hAnsi="Georgia"/>
          <w:sz w:val="22"/>
        </w:rPr>
        <w:t>Low grades, dropped activities, or later rejections are normal. Review what happened, adjust the next concrete step, and continue. Over-correction (sudden heavy tutoring, dropped sleep, or blame) usually worsens the pattern. The useful response is diagnostic and forward-looking.</w:t>
      </w:r>
    </w:p>
    <w:p w14:paraId="6A4FA7FD" w14:textId="77777777" w:rsidR="00557D37" w:rsidRDefault="00B54EE6">
      <w:pPr>
        <w:pStyle w:val="Heading2"/>
        <w:keepNext/>
        <w:jc w:val="center"/>
      </w:pPr>
      <w:r>
        <w:rPr>
          <w:rFonts w:ascii="Georgia" w:hAnsi="Georgia"/>
          <w:b/>
          <w:color w:val="2A5CAA"/>
          <w:sz w:val="25"/>
        </w:rPr>
        <w:t>Bilingual and Heritage-Language Maintenance</w:t>
      </w:r>
    </w:p>
    <w:p w14:paraId="0CEC9305" w14:textId="77777777" w:rsidR="00557D37" w:rsidRDefault="00B54EE6">
      <w:pPr>
        <w:spacing w:after="200"/>
        <w:jc w:val="left"/>
      </w:pPr>
      <w:r>
        <w:rPr>
          <w:rFonts w:ascii="Georgia" w:hAnsi="Georgia"/>
          <w:sz w:val="22"/>
        </w:rPr>
        <w:t>For dual-citizen or multilingual families, ordinary use of the heritage language at home (conversation, stories, media, visits) maintains it more reliably than formal classes alone. Literacy in the second language is useful but secondary to spoken fluency for most purposes. It can later appear as a natural strength; it does not need to be packaged as an achievement.</w:t>
      </w:r>
    </w:p>
    <w:p>
      <w:pPr>
        <w:jc w:val="left"/>
      </w:pPr>
      <w:r>
        <w:rPr>
          <w:rFonts w:ascii="Georgia" w:hAnsi="Georgia"/>
          <w:sz w:val="22"/>
        </w:rPr>
        <w:t>The household does not need to optimize every input. Protect sleep and access to books, then choose supports that fit the child and family in front of you.</w:t>
      </w:r>
    </w:p>
    <w:p w14:paraId="679B74B4" w14:textId="77777777" w:rsidR="00557D37" w:rsidRDefault="00B54EE6">
      <w:pPr>
        <w:pStyle w:val="Heading1"/>
        <w:keepNext/>
        <w:pageBreakBefore/>
        <w:jc w:val="center"/>
      </w:pPr>
      <w:bookmarkStart w:id="13" w:name="sec11"/>
      <w:r>
        <w:rPr>
          <w:rFonts w:ascii="Georgia" w:hAnsi="Georgia"/>
          <w:b/>
          <w:color w:val="2A5CAA"/>
          <w:sz w:val="32"/>
        </w:rPr>
        <w:t>Chapter 3: Family Roles, Friends, and Conflict</w:t>
      </w:r>
      <w:bookmarkEnd w:id="13"/>
    </w:p>
    <w:p w14:paraId="51D90790" w14:textId="77777777" w:rsidR="00FE1D37" w:rsidRDefault="00CA19A5">
      <w:pPr>
        <w:pStyle w:val="Heading2"/>
        <w:keepNext/>
        <w:jc w:val="center"/>
      </w:pPr>
      <w:r>
        <w:rPr>
          <w:rFonts w:ascii="Georgia" w:hAnsi="Georgia"/>
          <w:b/>
          <w:color w:val="2A5CAA"/>
          <w:sz w:val="25"/>
        </w:rPr>
        <w:t>Parental Roles, Family Changes, and School Logistics</w:t>
      </w:r>
    </w:p>
    <w:p w14:paraId="0E0407EA" w14:textId="77777777" w:rsidR="00557D37" w:rsidRDefault="00B54EE6">
      <w:pPr>
        <w:spacing w:after="200"/>
        <w:jc w:val="left"/>
      </w:pPr>
      <w:r>
        <w:rPr>
          <w:rFonts w:ascii="Georgia" w:hAnsi="Georgia"/>
          <w:sz w:val="22"/>
        </w:rPr>
        <w:t>Parents commonly play different day-to-day roles because of work, and many families also experience divorce, new relationships, or remarriage. These arrangements change logistics but do not remove the need for the basic supports already described.</w:t>
      </w:r>
    </w:p>
    <w:p w14:paraId="4BB0655D" w14:textId="77777777" w:rsidR="00557D37" w:rsidRDefault="00B54EE6">
      <w:pPr>
        <w:pStyle w:val="Heading2"/>
        <w:keepNext/>
        <w:jc w:val="center"/>
      </w:pPr>
      <w:r>
        <w:rPr>
          <w:rFonts w:ascii="Georgia" w:hAnsi="Georgia"/>
          <w:b/>
          <w:color w:val="2A5CAA"/>
          <w:sz w:val="25"/>
        </w:rPr>
        <w:t>Differing Roles</w:t>
      </w:r>
    </w:p>
    <w:p w14:paraId="492D73F5" w14:textId="77777777" w:rsidR="00557D37" w:rsidRDefault="00B54EE6">
      <w:pPr>
        <w:spacing w:after="200"/>
        <w:jc w:val="left"/>
      </w:pPr>
      <w:r>
        <w:rPr>
          <w:rFonts w:ascii="Georgia" w:hAnsi="Georgia"/>
          <w:sz w:val="22"/>
        </w:rPr>
        <w:t>One parent may handle more weekday logistics while the other covers evenings, weekends, or specific domains. The parent with fewer hours can concentrate those hours on high-value moments such as shared reading, a walk, or bedtime. Total responsive interaction and reliable routines matter more than an equal split of tasks. Name the actual division and protect a few predictable blocks for the less-available parent.</w:t>
      </w:r>
    </w:p>
    <w:p w14:paraId="6FC6494E" w14:textId="77777777" w:rsidR="00557D37" w:rsidRDefault="00B54EE6">
      <w:pPr>
        <w:pStyle w:val="Heading2"/>
        <w:keepNext/>
        <w:jc w:val="center"/>
      </w:pPr>
      <w:r>
        <w:rPr>
          <w:rFonts w:ascii="Georgia" w:hAnsi="Georgia"/>
          <w:b/>
          <w:color w:val="2A5CAA"/>
          <w:sz w:val="25"/>
        </w:rPr>
        <w:t>Divorce, New Relationships, and Remarriage</w:t>
      </w:r>
    </w:p>
    <w:p w14:paraId="24F7243B" w14:textId="77777777" w:rsidR="00557D37" w:rsidRDefault="00B54EE6">
      <w:pPr>
        <w:spacing w:after="200"/>
        <w:jc w:val="left"/>
      </w:pPr>
      <w:r>
        <w:rPr>
          <w:rFonts w:ascii="Georgia" w:hAnsi="Georgia"/>
          <w:sz w:val="22"/>
        </w:rPr>
        <w:t>Time is often split across households, so sleep, meals, and homework routines must be rebuilt or aligned in each place. Keep adult conflict away from the child; ongoing high conflict disrupts more than the structural change itself. Share school information directly so the child is not the messenger. Introduce new partners gradually and clarify their role in rules between the adults. At least one household should maintain predictable basics.</w:t>
      </w:r>
    </w:p>
    <w:p w14:paraId="3835BEAE" w14:textId="77777777" w:rsidR="00557D37" w:rsidRDefault="00B54EE6">
      <w:pPr>
        <w:pStyle w:val="Heading2"/>
        <w:keepNext/>
        <w:jc w:val="center"/>
      </w:pPr>
      <w:r>
        <w:rPr>
          <w:rFonts w:ascii="Georgia" w:hAnsi="Georgia"/>
          <w:b/>
          <w:color w:val="2A5CAA"/>
          <w:sz w:val="25"/>
        </w:rPr>
        <w:t>Keeping Children on Track</w:t>
      </w:r>
    </w:p>
    <w:p w14:paraId="00E0EB7D" w14:textId="77777777" w:rsidR="00557D37" w:rsidRDefault="00B54EE6">
      <w:pPr>
        <w:spacing w:after="200"/>
        <w:jc w:val="left"/>
      </w:pPr>
      <w:r>
        <w:rPr>
          <w:rFonts w:ascii="Georgia" w:hAnsi="Georgia"/>
          <w:sz w:val="22"/>
        </w:rPr>
        <w:t>Protect sleep consistency, some responsive interaction during available hours, school follow-through, reading time, screen limits, and one or two sustained interests inside the schedule that actually exists. Reduce avoidable friction by keeping conflict out of daily life and making transitions predictable. Each parent focuses on the time they have. Revisit the arrangement at major changes such as a new job, new partner, or school transition. Reliable delivery of the basics is sufficient even when time is uneven.</w:t>
      </w:r>
    </w:p>
    <w:p w14:paraId="4FB6B875" w14:textId="77777777" w:rsidR="00557D37" w:rsidRDefault="00B54EE6">
      <w:pPr>
        <w:pStyle w:val="Heading2"/>
        <w:keepNext/>
        <w:jc w:val="center"/>
      </w:pPr>
      <w:r>
        <w:rPr>
          <w:rFonts w:ascii="Georgia" w:hAnsi="Georgia"/>
          <w:b/>
          <w:color w:val="2A5CAA"/>
          <w:sz w:val="25"/>
        </w:rPr>
        <w:t>School Logistics</w:t>
      </w:r>
    </w:p>
    <w:p w14:paraId="2FCF3420" w14:textId="77777777" w:rsidR="00557D37" w:rsidRDefault="00B54EE6">
      <w:pPr>
        <w:spacing w:after="200"/>
        <w:jc w:val="left"/>
      </w:pPr>
      <w:r>
        <w:rPr>
          <w:rFonts w:ascii="Georgia" w:hAnsi="Georgia"/>
          <w:sz w:val="22"/>
        </w:rPr>
        <w:t>Designate one primary school contact so messages are not missed. Use a single shared calendar or checklist for deadlines, forms, and activities that both parents can view. Clear the backpack and sign forms on a regular schedule. Confirm homework has started in whichever household the child is in. Exchange brief factual weekly updates if households are separate. The child should not carry messages between adults. Simple tools—a school portal checked on a set schedule, one shared note, and a folder for papers—are enough.</w:t>
      </w:r>
    </w:p>
    <w:p w14:paraId="3B0F89D7" w14:textId="77777777" w:rsidR="00557D37" w:rsidRDefault="00B54EE6">
      <w:pPr>
        <w:spacing w:after="200"/>
        <w:jc w:val="left"/>
      </w:pPr>
      <w:r>
        <w:rPr>
          <w:rFonts w:ascii="Georgia" w:hAnsi="Georgia"/>
          <w:sz w:val="22"/>
        </w:rPr>
        <w:t>The standard remains whether the child is getting adequate sleep, responsive contact, academic follow-through, and protection of real interests somewhere in the week. Perfect coordination is not required.</w:t>
      </w:r>
    </w:p>
    <w:p w14:paraId="37AD67C3" w14:textId="77777777" w:rsidR="00557D37" w:rsidRDefault="00B54EE6">
      <w:pPr>
        <w:pStyle w:val="Heading2"/>
        <w:keepNext/>
        <w:pageBreakBefore/>
        <w:jc w:val="center"/>
      </w:pPr>
      <w:bookmarkStart w:id="14" w:name="sec12"/>
      <w:r>
        <w:rPr>
          <w:rFonts w:ascii="Georgia" w:hAnsi="Georgia"/>
          <w:b/>
          <w:color w:val="2A5CAA"/>
          <w:sz w:val="25"/>
        </w:rPr>
        <w:t>Friends, Conflicts, Interests, and Family Support</w:t>
      </w:r>
      <w:bookmarkEnd w:id="14"/>
    </w:p>
    <w:p w14:paraId="127273F1" w14:textId="77777777" w:rsidR="00557D37" w:rsidRDefault="00B54EE6">
      <w:pPr>
        <w:pStyle w:val="Heading2"/>
        <w:keepNext/>
        <w:jc w:val="center"/>
      </w:pPr>
      <w:r>
        <w:rPr>
          <w:rFonts w:ascii="Georgia" w:hAnsi="Georgia"/>
          <w:b/>
          <w:color w:val="2A5CAA"/>
          <w:sz w:val="25"/>
        </w:rPr>
        <w:t>Bad Influences and Problematic Friends</w:t>
      </w:r>
    </w:p>
    <w:p w14:paraId="4BD69EB2" w14:textId="77777777" w:rsidR="00557D37" w:rsidRDefault="00B54EE6">
      <w:pPr>
        <w:spacing w:after="200"/>
        <w:jc w:val="left"/>
      </w:pPr>
      <w:r>
        <w:rPr>
          <w:rFonts w:ascii="Georgia" w:hAnsi="Georgia"/>
          <w:sz w:val="22"/>
        </w:rPr>
        <w:t>Bad influences cannot be fully prevented. Limit unsupervised time with peers who consistently disrupt sleep, homework, or safety. In elementary years choose environments and offer alternatives. In middle and high school monitor practical outcomes (grades, sleep, mood) more than social details, reduce opportunities with the most disruptive friends, and keep one or two sustained interests that fill time. Enforceable rules on curfew and devices remain. Ordinary teenage friction is not a crisis; severe patterns may need outside help.</w:t>
      </w:r>
    </w:p>
    <w:p w14:paraId="0392EAB5" w14:textId="77777777" w:rsidR="00557D37" w:rsidRDefault="00B54EE6">
      <w:pPr>
        <w:pStyle w:val="Heading2"/>
        <w:keepNext/>
        <w:jc w:val="center"/>
      </w:pPr>
      <w:r>
        <w:rPr>
          <w:rFonts w:ascii="Georgia" w:hAnsi="Georgia"/>
          <w:b/>
          <w:color w:val="2A5CAA"/>
          <w:sz w:val="25"/>
        </w:rPr>
        <w:t>Sexuality, Relationships, and Pregnancy Prevention</w:t>
      </w:r>
    </w:p>
    <w:p w14:paraId="3642E5A4" w14:textId="77777777" w:rsidR="00557D37" w:rsidRDefault="00B54EE6">
      <w:pPr>
        <w:spacing w:after="200"/>
        <w:jc w:val="left"/>
      </w:pPr>
      <w:r>
        <w:rPr>
          <w:rFonts w:ascii="Georgia" w:hAnsi="Georgia"/>
          <w:sz w:val="22"/>
        </w:rPr>
        <w:t>Give factual information early and repeatedly about bodies, consent, contraception, and STIs. Make questions safe to ask. Once activity is likely, reliable contraception plus condoms is the lowest-failure approach; discuss medical options with a doctor. Substances raise risk. Clear rules on supervision and overnights still apply. A student who is sleeping enough and academically engaged usually shows better judgment. Handle any pregnancy or infection as a medical and logistical fact first.</w:t>
      </w:r>
    </w:p>
    <w:p w14:paraId="3F708DC9" w14:textId="77777777" w:rsidR="00557D37" w:rsidRDefault="00B54EE6">
      <w:pPr>
        <w:pStyle w:val="Heading2"/>
        <w:keepNext/>
        <w:jc w:val="center"/>
      </w:pPr>
      <w:r>
        <w:rPr>
          <w:rFonts w:ascii="Georgia" w:hAnsi="Georgia"/>
          <w:b/>
          <w:color w:val="2A5CAA"/>
          <w:sz w:val="25"/>
        </w:rPr>
        <w:t>Grandparents</w:t>
      </w:r>
    </w:p>
    <w:p w14:paraId="5BFC1D40" w14:textId="77777777" w:rsidR="00557D37" w:rsidRDefault="00B54EE6">
      <w:pPr>
        <w:spacing w:after="200"/>
        <w:jc w:val="left"/>
      </w:pPr>
      <w:r>
        <w:rPr>
          <w:rFonts w:ascii="Georgia" w:hAnsi="Georgia"/>
          <w:sz w:val="22"/>
        </w:rPr>
        <w:t>Grandparents can supply extra responsive time, logistics help, reading, heritage language, or continuity when their involvement aligns with basic household rules. Agree on non-negotiables such as bedtime and screens. They are a bonus, not a requirement. Distance or conflicting approaches limit the role; clear boundaries keep the contribution positive.</w:t>
      </w:r>
    </w:p>
    <w:p w14:paraId="71FB1A28" w14:textId="77777777" w:rsidR="00557D37" w:rsidRDefault="00B54EE6">
      <w:pPr>
        <w:pStyle w:val="Heading2"/>
        <w:keepNext/>
        <w:jc w:val="center"/>
      </w:pPr>
      <w:r>
        <w:rPr>
          <w:rFonts w:ascii="Georgia" w:hAnsi="Georgia"/>
          <w:b/>
          <w:color w:val="2A5CAA"/>
          <w:sz w:val="25"/>
        </w:rPr>
        <w:t>Handling Conflicts</w:t>
      </w:r>
    </w:p>
    <w:p>
      <w:pPr>
        <w:pStyle w:val="Heading2"/>
        <w:jc w:val="center"/>
      </w:pPr>
      <w:r>
        <w:rPr>
          <w:rFonts w:ascii="Georgia" w:hAnsi="Georgia"/>
          <w:b/>
          <w:color w:val="2A5CAA"/>
          <w:sz w:val="25"/>
        </w:rPr>
        <w:t>From Manager to Consultant</w:t>
      </w:r>
    </w:p>
    <w:p>
      <w:pPr>
        <w:jc w:val="left"/>
      </w:pPr>
      <w:r>
        <w:rPr>
          <w:rFonts w:ascii="Georgia" w:hAnsi="Georgia"/>
          <w:sz w:val="22"/>
        </w:rPr>
        <w:t>Parents often manage more of a child’s life than they intend because adults see deadlines and consequences sooner. Move from manager to consultant one task at a time: explain the process, model it once, observe the student trying it, then step back while staying available. A parent might help a younger student draft an email to a teacher, later review the draft, and eventually leave the exchange to the student.</w:t>
      </w:r>
    </w:p>
    <w:p>
      <w:pPr>
        <w:jc w:val="left"/>
      </w:pPr>
      <w:r>
        <w:rPr>
          <w:rFonts w:ascii="Georgia" w:hAnsi="Georgia"/>
          <w:sz w:val="22"/>
        </w:rPr>
        <w:t>The Self-Driven Child and How to Raise an Adult invite families to ask whether help is building capability or quietly replacing it. Break a large responsibility into steps and give the student a real choice where possible. Parents remain responsible for safety, finances, health care, and household limits; explain which parts are non-negotiable and where the student can choose.</w:t>
      </w:r>
    </w:p>
    <w:p>
      <w:pPr>
        <w:jc w:val="left"/>
      </w:pPr>
      <w:r>
        <w:rPr>
          <w:rFonts w:ascii="Georgia" w:hAnsi="Georgia"/>
          <w:sz w:val="22"/>
        </w:rPr>
        <w:t>When interests conflict with family logistics, name the constraint plainly and invite the student to help find a workable option. Ask “What support would let you handle the next step?” rather than assuming they can do everything alone or doing the entire task for them. This lets independence grow through supported practice.</w:t>
      </w:r>
    </w:p>
    <w:p w14:paraId="49275EAD" w14:textId="77777777" w:rsidR="00557D37" w:rsidRDefault="00B54EE6">
      <w:pPr>
        <w:spacing w:after="200"/>
        <w:jc w:val="left"/>
      </w:pPr>
      <w:r>
        <w:rPr>
          <w:rFonts w:ascii="Georgia" w:hAnsi="Georgia"/>
          <w:sz w:val="22"/>
        </w:rPr>
        <w:t>Enforce a few clear non-negotiables immediately and predictably. Pause when emotions are high. Keep adult disputes out of the child’s hearing and do not use the child as messenger. For peers, teach simple exit skills and intervene mainly for safety. Model brief, specific disagreement and repair. Protect sleep and homework routines so conflict does not erase them. Constant or frightening conflict needs outside help.</w:t>
      </w:r>
    </w:p>
    <w:p>
      <w:pPr>
        <w:jc w:val="left"/>
      </w:pPr>
      <w:r>
        <w:rPr>
          <w:rFonts w:ascii="Georgia" w:hAnsi="Georgia"/>
          <w:sz w:val="22"/>
        </w:rPr>
        <w:t>A gradual handoff might look like this: in elementary school, the adult and child pack the school bag together using a short list; in middle school, the student packs it and the adult checks only items tied to safety or a major event; in high school, the student owns the routine and asks for help when something unusual happens. The exact age matters less than whether the next step is manageable.</w:t>
      </w:r>
    </w:p>
    <w:p>
      <w:pPr>
        <w:pStyle w:val="Heading2"/>
        <w:jc w:val="center"/>
      </w:pPr>
      <w:r>
        <w:rPr>
          <w:rFonts w:ascii="Georgia" w:hAnsi="Georgia"/>
          <w:b/>
          <w:color w:val="2A5CAA"/>
          <w:sz w:val="25"/>
        </w:rPr>
        <w:t>A Gradual Hand-Off of Responsibility</w:t>
      </w:r>
    </w:p>
    <w:p>
      <w:pPr>
        <w:jc w:val="left"/>
      </w:pPr>
      <w:r>
        <w:rPr>
          <w:rFonts w:ascii="Georgia" w:hAnsi="Georgia"/>
          <w:sz w:val="22"/>
        </w:rPr>
        <w:t>Independence grows through repeated practice with manageable consequences. It does not arrive all at once in ninth grade. In elementary school, a parent may help a child pack by using a short picture or written list while the child does the packing. In middle school, the student can enter assignments in a planner and choose when to complete them, while the parent checks in at an agreed time. In high school, the student should increasingly communicate with teachers, track deadlines, and ask for help; the parent remains a safety net for patterns the student cannot yet manage.</w:t>
      </w:r>
    </w:p>
    <w:p>
      <w:pPr>
        <w:jc w:val="left"/>
      </w:pPr>
      <w:r>
        <w:rPr>
          <w:rFonts w:ascii="Georgia" w:hAnsi="Georgia"/>
          <w:sz w:val="22"/>
        </w:rPr>
        <w:t>The hand-off should fit the child’s development and circumstances. A student with ADHD, anxiety, a learning difference, a demanding care role, or a temporary family disruption may need more scaffolding. Support is not failure. The important question is whether the scaffold teaches a skill and can be adjusted as the student gains capacity. For example, instead of silently checking the school portal every night, a parent and teen might review it together on Sunday, identify the week’s pressure points, and decide what the teen will handle independently.</w:t>
      </w:r>
    </w:p>
    <w:p>
      <w:pPr>
        <w:jc w:val="left"/>
      </w:pPr>
      <w:r>
        <w:rPr>
          <w:rFonts w:ascii="Georgia" w:hAnsi="Georgia"/>
          <w:sz w:val="22"/>
        </w:rPr>
        <w:t>Use consultant questions before giving instructions: “What part feels unclear?” “What have you tried?” “What are two options?” “Would you like advice, help practicing, or just someone to listen?” If the student asks for direct help, give it plainly. Autonomy is not abandonment, and a parent should intervene when health, safety, or a serious academic problem is at stake.</w:t>
      </w:r>
    </w:p>
    <w:p>
      <w:pPr>
        <w:jc w:val="left"/>
      </w:pPr>
      <w:r>
        <w:rPr>
          <w:rFonts w:ascii="Georgia" w:hAnsi="Georgia"/>
          <w:sz w:val="22"/>
        </w:rPr>
        <w:t>After a mistake, focus the conversation on repair and learning rather than blame. If a project is late, first establish what happened and whether the student needs to contact the teacher. Later, discuss one system change: start dates, reminders, a smaller first step, or a request for support. The lesson is not “you should have known better.” It is “we can identify the point where the plan broke and make the next plan more reliable.”</w:t>
      </w:r>
    </w:p>
    <w:p w14:paraId="0667ED4A" w14:textId="77777777" w:rsidR="00557D37" w:rsidRDefault="00B54EE6">
      <w:pPr>
        <w:pStyle w:val="Heading2"/>
        <w:keepNext/>
        <w:jc w:val="center"/>
      </w:pPr>
      <w:r>
        <w:rPr>
          <w:rFonts w:ascii="Georgia" w:hAnsi="Georgia"/>
          <w:b/>
          <w:color w:val="2A5CAA"/>
          <w:sz w:val="25"/>
        </w:rPr>
        <w:t>Fostering Interests and Talents</w:t>
      </w:r>
    </w:p>
    <w:p>
      <w:pPr>
        <w:pStyle w:val="Heading2"/>
        <w:jc w:val="center"/>
      </w:pPr>
      <w:r>
        <w:rPr>
          <w:rFonts w:ascii="Georgia" w:hAnsi="Georgia"/>
          <w:b/>
          <w:color w:val="2A5CAA"/>
          <w:sz w:val="25"/>
        </w:rPr>
        <w:t>High Expectations Without a Pressure Contest</w:t>
      </w:r>
    </w:p>
    <w:p>
      <w:pPr>
        <w:jc w:val="left"/>
      </w:pPr>
      <w:r>
        <w:rPr>
          <w:rFonts w:ascii="Georgia" w:hAnsi="Georgia"/>
          <w:sz w:val="22"/>
        </w:rPr>
        <w:t>Families can value effort and achievement without making belonging depend on performance. Amy Chua’s Battle Hymn of the Tiger Mother is a memoir of a demanding approach; it can help families discuss what high expectations cost as well as what they may produce in one household. It is not a universal recipe. A child’s temperament, health, culture, school setting, and own goals affect whether a demanding practice is useful or harmful.</w:t>
      </w:r>
    </w:p>
    <w:p>
      <w:pPr>
        <w:jc w:val="left"/>
      </w:pPr>
      <w:r>
        <w:rPr>
          <w:rFonts w:ascii="Georgia" w:hAnsi="Georgia"/>
          <w:sz w:val="22"/>
        </w:rPr>
        <w:t>When a child resists an activity, separate the possible reasons: an ordinary difficult stretch, an unhelpful instructor, a schedule that no longer fits, fear of disappointing a parent, or a real change in interest. A smaller commitment or brief pause may reveal more than either forcing continuation or quitting in frustration.</w:t>
      </w:r>
    </w:p>
    <w:p>
      <w:pPr>
        <w:jc w:val="left"/>
      </w:pPr>
      <w:r>
        <w:rPr>
          <w:rFonts w:ascii="Georgia" w:hAnsi="Georgia"/>
          <w:sz w:val="22"/>
        </w:rPr>
        <w:t>William Deresiewicz’s Excellent Sheep raises a related concern: students can become skilled at meeting expectations while losing touch with what they want to think about. Make room for interests with no immediate application value. A student should be able to read, make, practice, or explore without turning each activity into a résumé item.</w:t>
      </w:r>
    </w:p>
    <w:p w14:paraId="5C06EC93" w14:textId="77777777" w:rsidR="00557D37" w:rsidRDefault="00B54EE6">
      <w:pPr>
        <w:spacing w:after="200"/>
        <w:jc w:val="left"/>
      </w:pPr>
      <w:r>
        <w:rPr>
          <w:rFonts w:ascii="Georgia" w:hAnsi="Georgia"/>
          <w:sz w:val="22"/>
        </w:rPr>
        <w:t>Notice what the child returns to across weeks. Supply low-cost materials, a little unstructured time, and occasional questions. Add one modest next step only if interest continues. Stop when it fades. Talents (faster early progress) justify ordinary next opportunities but not early professionalization or sacrifice of sleep and schoolwork. Interest plus practice is more reliable than talent alone. One or two sustained interests are enough and become the multi-year commitments already described.</w:t>
      </w:r>
    </w:p>
    <w:p w14:paraId="10AEA231" w14:textId="77777777" w:rsidR="00557D37" w:rsidRDefault="00B54EE6">
      <w:pPr>
        <w:spacing w:after="200"/>
        <w:jc w:val="left"/>
      </w:pPr>
      <w:r>
        <w:rPr>
          <w:rFonts w:ascii="Georgia" w:hAnsi="Georgia"/>
          <w:sz w:val="22"/>
        </w:rPr>
        <w:t>These elements support the same trajectory: the child keeps sleep, school follow-through, and at least one real interest while ordinary social and family frictions are managed rather than eliminated.</w:t>
      </w:r>
    </w:p>
    <w:p>
      <w:pPr>
        <w:jc w:val="left"/>
      </w:pPr>
      <w:r>
        <w:rPr>
          <w:rFonts w:ascii="Georgia" w:hAnsi="Georgia"/>
          <w:sz w:val="22"/>
        </w:rPr>
        <w:t>Agree on stop signals before increasing a commitment. A child may keep going through ordinary frustration, but persistent dread, recurring conflict, sleep loss, declining health, or no meaningful choice are reasons to reassess. Parents can say, “We value what you are learning. Let’s decide whether this schedule or this activity is still right for you,” without treating a change of direction as failure.</w:t>
      </w:r>
    </w:p>
    <w:p w14:paraId="4E6E1556" w14:textId="77777777" w:rsidR="00557D37" w:rsidRDefault="00B54EE6">
      <w:pPr>
        <w:pStyle w:val="Heading1"/>
        <w:keepNext/>
        <w:pageBreakBefore/>
        <w:jc w:val="center"/>
      </w:pPr>
      <w:bookmarkStart w:id="15" w:name="sec13"/>
      <w:r>
        <w:rPr>
          <w:rFonts w:ascii="Georgia" w:hAnsi="Georgia"/>
          <w:b/>
          <w:color w:val="2A5CAA"/>
          <w:sz w:val="32"/>
        </w:rPr>
        <w:t>Chapter 4: School Problems and Evaluations</w:t>
      </w:r>
      <w:bookmarkEnd w:id="15"/>
    </w:p>
    <w:p w14:paraId="70356B31" w14:textId="77777777" w:rsidR="00FE1D37" w:rsidRDefault="00CA19A5">
      <w:pPr>
        <w:pStyle w:val="Heading2"/>
        <w:keepNext/>
        <w:jc w:val="center"/>
      </w:pPr>
      <w:r>
        <w:rPr>
          <w:rFonts w:ascii="Georgia" w:hAnsi="Georgia"/>
          <w:b/>
          <w:color w:val="2A5CAA"/>
          <w:sz w:val="25"/>
        </w:rPr>
        <w:t>School Problems, Conflicts, and Evaluations</w:t>
      </w:r>
    </w:p>
    <w:p w14:paraId="4C5E26AB" w14:textId="77777777" w:rsidR="00557D37" w:rsidRDefault="00B54EE6">
      <w:pPr>
        <w:pStyle w:val="Heading2"/>
        <w:keepNext/>
        <w:jc w:val="center"/>
      </w:pPr>
      <w:r>
        <w:rPr>
          <w:rFonts w:ascii="Georgia" w:hAnsi="Georgia"/>
          <w:b/>
          <w:color w:val="2A5CAA"/>
          <w:sz w:val="25"/>
        </w:rPr>
        <w:t>Teacher Dislike or Ineffective Teaching</w:t>
      </w:r>
    </w:p>
    <w:p w14:paraId="52FE4F4D" w14:textId="77777777" w:rsidR="00FE1D37" w:rsidRDefault="00CA19A5">
      <w:pPr>
        <w:jc w:val="left"/>
      </w:pPr>
      <w:r>
        <w:rPr>
          <w:rFonts w:ascii="Georgia" w:hAnsi="Georgia"/>
          <w:sz w:val="22"/>
        </w:rPr>
        <w:t>Before requesting a different teacher, write down the specific pattern: unclear directions, missed feedback, a mismatch between instruction and assessment, repeated classroom disruption, or a student who has stopped seeking help. Separate observable events from interpretations. ‘The last three assignments were returned without comments’ is more actionable than ‘the teacher does not care.’ Ask the student what they have already tried and what outcome would make the class workable.</w:t>
      </w:r>
    </w:p>
    <w:p w14:paraId="01352D5F" w14:textId="77777777" w:rsidR="00FE1D37" w:rsidRDefault="00CA19A5">
      <w:pPr>
        <w:jc w:val="left"/>
      </w:pPr>
      <w:r>
        <w:rPr>
          <w:rFonts w:ascii="Georgia" w:hAnsi="Georgia"/>
          <w:sz w:val="22"/>
        </w:rPr>
        <w:t>A first conversation can be brief and respectful: ‘I’m having trouble understanding how to prepare for the tests. Could you show me how my last assessment connects to the study guide?’ If that does not resolve a concrete concern, contact the counselor or department lead with dates, examples, and a requested next step. A schedule change may be possible, but it depends on staffing and policy. Do not promise the child a transfer before the school has agreed to one.</w:t>
      </w:r>
    </w:p>
    <w:p w14:paraId="701A344E" w14:textId="77777777" w:rsidR="00FE1D37" w:rsidRDefault="00CA19A5">
      <w:pPr>
        <w:jc w:val="left"/>
      </w:pPr>
      <w:r>
        <w:rPr>
          <w:rFonts w:ascii="Georgia" w:hAnsi="Georgia"/>
          <w:sz w:val="22"/>
        </w:rPr>
        <w:t>If the concern involves safety, discrimination, harassment, or retaliation, use the school’s formal reporting process promptly and keep a dated record of communications. The child should not have to investigate or confront an adult alone. For ordinary instructional mismatch, preserve the student’s dignity while seeking practical support: a different explanation, office hours, peer study, or a change in course level when appropriate.</w:t>
      </w:r>
    </w:p>
    <w:p w14:paraId="38558747" w14:textId="77777777" w:rsidR="00557D37" w:rsidRDefault="00B54EE6">
      <w:pPr>
        <w:spacing w:after="200"/>
        <w:jc w:val="left"/>
      </w:pPr>
      <w:r>
        <w:rPr>
          <w:rFonts w:ascii="Georgia" w:hAnsi="Georgia"/>
          <w:sz w:val="22"/>
        </w:rPr>
        <w:t>Require the work to be completed regardless of liking the teacher. Contact the teacher early with specific facts if feedback, clarity, or classroom conditions are the issue. Escalate once to a counselor if needed. A schedule change is sometimes possible with evidence and space in another section, but it is not automatic and should follow direct contact. Ordinary mismatch is worked through; the goal is a recoverable grade.</w:t>
      </w:r>
    </w:p>
    <w:p w14:paraId="4433863C" w14:textId="77777777" w:rsidR="00557D37" w:rsidRDefault="00B54EE6">
      <w:pPr>
        <w:pStyle w:val="Heading2"/>
        <w:keepNext/>
        <w:jc w:val="center"/>
      </w:pPr>
      <w:r>
        <w:rPr>
          <w:rFonts w:ascii="Georgia" w:hAnsi="Georgia"/>
          <w:b/>
          <w:color w:val="2A5CAA"/>
          <w:sz w:val="25"/>
        </w:rPr>
        <w:t>Conflict Resolution Basics</w:t>
      </w:r>
    </w:p>
    <w:p w14:paraId="07B184AA" w14:textId="77777777" w:rsidR="00557D37" w:rsidRDefault="00B54EE6">
      <w:pPr>
        <w:spacing w:after="200"/>
        <w:jc w:val="left"/>
      </w:pPr>
      <w:r>
        <w:rPr>
          <w:rFonts w:ascii="Georgia" w:hAnsi="Georgia"/>
          <w:sz w:val="22"/>
        </w:rPr>
        <w:t>Pause when emotions are high. Name the specific behavior and effect, restate the non-negotiable, follow through once, and reset briefly later. Use lighter exit skills for peers and factual requests for teachers. Keep adult disputes private. Predictable routines reduce daily conflict points.</w:t>
      </w:r>
    </w:p>
    <w:p w14:paraId="403B3191" w14:textId="77777777" w:rsidR="00557D37" w:rsidRDefault="00B54EE6">
      <w:pPr>
        <w:pStyle w:val="Heading2"/>
        <w:keepNext/>
        <w:jc w:val="center"/>
      </w:pPr>
      <w:r>
        <w:rPr>
          <w:rFonts w:ascii="Georgia" w:hAnsi="Georgia"/>
          <w:b/>
          <w:color w:val="2A5CAA"/>
          <w:sz w:val="25"/>
        </w:rPr>
        <w:t>Bullying, Mobbing, and School Violence</w:t>
      </w:r>
    </w:p>
    <w:p w14:paraId="39E97047" w14:textId="77777777" w:rsidR="00557D37" w:rsidRDefault="00B54EE6">
      <w:pPr>
        <w:spacing w:after="200"/>
        <w:jc w:val="left"/>
      </w:pPr>
      <w:r>
        <w:rPr>
          <w:rFonts w:ascii="Georgia" w:hAnsi="Georgia"/>
          <w:sz w:val="22"/>
        </w:rPr>
        <w:t>If your child is targeted, document specifics and contact the school the same day. Request concrete supervision steps and follow up in writing. Protect sleep and home stability. Escalate if the response is inadequate. If your child is the aggressor, treat it as serious: obtain the facts, impose immediate home consequences, require participation in school processes, limit risky contacts including online, and seek professional help for repeated aggression. In either case keep academic work moving.</w:t>
      </w:r>
    </w:p>
    <w:p w14:paraId="4B851D26" w14:textId="77777777" w:rsidR="00557D37" w:rsidRDefault="00B54EE6">
      <w:pPr>
        <w:pStyle w:val="Heading2"/>
        <w:keepNext/>
        <w:jc w:val="center"/>
      </w:pPr>
      <w:r>
        <w:rPr>
          <w:rFonts w:ascii="Georgia" w:hAnsi="Georgia"/>
          <w:b/>
          <w:color w:val="2A5CAA"/>
          <w:sz w:val="25"/>
        </w:rPr>
        <w:t>Suspension or Expulsion</w:t>
      </w:r>
    </w:p>
    <w:p w14:paraId="4CBC0DFA" w14:textId="77777777" w:rsidR="00557D37" w:rsidRDefault="00B54EE6">
      <w:pPr>
        <w:spacing w:after="200"/>
        <w:jc w:val="left"/>
      </w:pPr>
      <w:r>
        <w:rPr>
          <w:rFonts w:ascii="Georgia" w:hAnsi="Georgia"/>
          <w:sz w:val="22"/>
        </w:rPr>
        <w:t>Obtain the written notice and any appeal rights immediately. Require assigned schoolwork during suspension and keep home routines. For expulsion, use the formal process if facts are disputed and simultaneously arrange continuous enrollment elsewhere. Disciplinary notes may appear later; subsequent strong conduct and an honest brief explanation reduce their weight. Address underlying patterns so the incident does not repeat.</w:t>
      </w:r>
    </w:p>
    <w:p w14:paraId="6570FB1F" w14:textId="77777777" w:rsidR="00557D37" w:rsidRDefault="00B54EE6">
      <w:pPr>
        <w:pStyle w:val="Heading2"/>
        <w:keepNext/>
        <w:jc w:val="center"/>
      </w:pPr>
      <w:r>
        <w:rPr>
          <w:rFonts w:ascii="Georgia" w:hAnsi="Georgia"/>
          <w:b/>
          <w:color w:val="2A5CAA"/>
          <w:sz w:val="25"/>
        </w:rPr>
        <w:t>Other Disrupting Issues</w:t>
      </w:r>
    </w:p>
    <w:p w14:paraId="3A5EC328" w14:textId="77777777" w:rsidR="00557D37" w:rsidRDefault="00B54EE6">
      <w:pPr>
        <w:spacing w:after="200"/>
        <w:jc w:val="left"/>
      </w:pPr>
      <w:r>
        <w:rPr>
          <w:rFonts w:ascii="Georgia" w:hAnsi="Georgia"/>
          <w:sz w:val="22"/>
        </w:rPr>
        <w:t>Persistent academic gaps may signal learning or attention differences needing evaluation. Substance use, significant anxiety or depression, concussion, heavy secretive device use, high-risk peers, or family crises (illness, acute conflict, frequent moves) all warrant prompt factual response, stable home routines, and professional help when beyond household rules. Notice changes in sleep, grades, mood, or attendance within weeks.</w:t>
      </w:r>
    </w:p>
    <w:p w14:paraId="6071A8C6" w14:textId="77777777" w:rsidR="00557D37" w:rsidRDefault="00B54EE6">
      <w:pPr>
        <w:pStyle w:val="Heading2"/>
        <w:keepNext/>
        <w:jc w:val="center"/>
      </w:pPr>
      <w:r>
        <w:rPr>
          <w:rFonts w:ascii="Georgia" w:hAnsi="Georgia"/>
          <w:b/>
          <w:color w:val="2A5CAA"/>
          <w:sz w:val="25"/>
        </w:rPr>
        <w:t>Getting an Evaluation</w:t>
      </w:r>
    </w:p>
    <w:p w14:paraId="0364AC91" w14:textId="77777777" w:rsidR="00FE1D37" w:rsidRDefault="00CA19A5">
      <w:pPr>
        <w:jc w:val="left"/>
      </w:pPr>
      <w:r>
        <w:rPr>
          <w:rFonts w:ascii="Georgia" w:hAnsi="Georgia"/>
          <w:sz w:val="22"/>
        </w:rPr>
        <w:t>An evaluation is a way to understand a persistent barrier and identify support; it is not a verdict on intelligence or future potential. Parents can begin by collecting examples across time and settings: work samples, teacher observations, attendance, reading or math patterns, and the child’s own account. Ask the pediatrician or school what screening or evaluation route fits the concern. A school evaluation and a private clinical assessment answer overlapping but not identical questions, and the right path depends on the suspected need and local rules.</w:t>
      </w:r>
    </w:p>
    <w:p w14:paraId="483CFB16" w14:textId="77777777" w:rsidR="00FE1D37" w:rsidRDefault="00CA19A5">
      <w:pPr>
        <w:jc w:val="left"/>
      </w:pPr>
      <w:r>
        <w:rPr>
          <w:rFonts w:ascii="Georgia" w:hAnsi="Georgia"/>
          <w:sz w:val="22"/>
        </w:rPr>
        <w:t>Avoid trying to diagnose a child from a checklist or a single difficult term. At the same time, do not wait indefinitely when ordinary supports have not helped, the child is distressed, or daily functioning is affected. Ask what evidence the school needs, what timelines apply, and how interim supports can be arranged. Keep copies of reports and share them only with people who need the information to support the student.</w:t>
      </w:r>
    </w:p>
    <w:p w14:paraId="66794E9C" w14:textId="77777777" w:rsidR="00FE1D37" w:rsidRDefault="00CA19A5">
      <w:pPr>
        <w:jc w:val="left"/>
      </w:pPr>
      <w:r>
        <w:rPr>
          <w:rFonts w:ascii="Georgia" w:hAnsi="Georgia"/>
          <w:sz w:val="22"/>
        </w:rPr>
        <w:t>Explain the process in plain language: adults are trying to learn which conditions make school easier and which skills need support. Invite the child’s questions and include them in age-appropriate decisions. After results arrive, ask the evaluator or school to translate findings into concrete actions, responsible people, and a review date. An evaluation has little value if its recommendations never become part of the student’s ordinary day.</w:t>
      </w:r>
    </w:p>
    <w:p w14:paraId="56C9ABC9" w14:textId="77777777" w:rsidR="00557D37" w:rsidRDefault="00B54EE6">
      <w:pPr>
        <w:spacing w:after="200"/>
        <w:jc w:val="left"/>
      </w:pPr>
      <w:r>
        <w:rPr>
          <w:rFonts w:ascii="Georgia" w:hAnsi="Georgia"/>
          <w:sz w:val="22"/>
        </w:rPr>
        <w:t>Pursue formal evaluation when a significant learning, attention, or emotional problem persists after ordinary help. Start with a written school request (free, timeline-driven). Add private testing for speed or depth if needed. Routine pediatric and school screenings cover early surveillance; full testing with no indicators is rarely necessary. Results guide concrete supports; sleep and work habits remain essential either way.</w:t>
      </w:r>
    </w:p>
    <w:p w14:paraId="11D01431" w14:textId="77777777" w:rsidR="00557D37" w:rsidRDefault="00B54EE6">
      <w:pPr>
        <w:spacing w:after="200"/>
        <w:jc w:val="left"/>
      </w:pPr>
      <w:r>
        <w:rPr>
          <w:rFonts w:ascii="Georgia" w:hAnsi="Georgia"/>
          <w:sz w:val="22"/>
        </w:rPr>
        <w:t>Address these issues early and factually so they do not compound into larger losses of academic progress or safety.</w:t>
      </w:r>
    </w:p>
    <w:p w14:paraId="717E6FF7" w14:textId="77777777" w:rsidR="00557D37" w:rsidRDefault="00B54EE6">
      <w:pPr>
        <w:pStyle w:val="Heading1"/>
        <w:keepNext/>
        <w:pageBreakBefore/>
        <w:jc w:val="center"/>
      </w:pPr>
      <w:bookmarkStart w:id="16" w:name="sec14"/>
      <w:r>
        <w:rPr>
          <w:rFonts w:ascii="Georgia" w:hAnsi="Georgia"/>
          <w:b/>
          <w:color w:val="2A5CAA"/>
          <w:sz w:val="32"/>
        </w:rPr>
        <w:t>Chapter 5: Learning and Growing Through the School Years</w:t>
      </w:r>
      <w:bookmarkEnd w:id="16"/>
    </w:p>
    <w:p>
      <w:pPr>
        <w:jc w:val="left"/>
      </w:pPr>
      <w:r>
        <w:rPr>
          <w:rFonts w:ascii="Georgia" w:hAnsi="Georgia"/>
          <w:sz w:val="22"/>
        </w:rPr>
        <w:t>This chapter follows the student’s changing job from early competence to independent high-school work. Use the priorities set near the front—sleep, ordinary work done by the student, and one or two real interests—as the test for what to add.</w:t>
      </w:r>
    </w:p>
    <w:p w14:paraId="1A9A38F7" w14:textId="77777777" w:rsidR="00FE1D37" w:rsidRDefault="00CA19A5">
      <w:pPr>
        <w:pStyle w:val="Heading2"/>
        <w:keepNext/>
        <w:jc w:val="center"/>
      </w:pPr>
      <w:r>
        <w:rPr>
          <w:rFonts w:ascii="Georgia" w:hAnsi="Georgia"/>
          <w:b/>
          <w:color w:val="2A5CAA"/>
          <w:sz w:val="25"/>
        </w:rPr>
        <w:t>Early Foundations — Curiosity, Habits, and Reading</w:t>
      </w:r>
    </w:p>
    <w:p w14:paraId="2988144E" w14:textId="77777777" w:rsidR="00557D37" w:rsidRDefault="00B54EE6">
      <w:pPr>
        <w:spacing w:after="200"/>
        <w:jc w:val="left"/>
      </w:pPr>
      <w:r>
        <w:rPr>
          <w:rFonts w:ascii="Georgia" w:hAnsi="Georgia"/>
          <w:sz w:val="22"/>
        </w:rPr>
        <w:t>The students who later become strong applicants usually had years of ordinary reading and conversation before anyone talked about college. Parents who read aloud, answered questions without rushing, and treated curiosity as normal rather than as a performance created an advantage that no last-minute activity can replicate.</w:t>
      </w:r>
    </w:p>
    <w:p w14:paraId="647FAD21" w14:textId="77777777" w:rsidR="00557D37" w:rsidRDefault="00B54EE6">
      <w:pPr>
        <w:spacing w:after="200"/>
        <w:jc w:val="left"/>
      </w:pPr>
      <w:r>
        <w:rPr>
          <w:rFonts w:ascii="Georgia" w:hAnsi="Georgia"/>
          <w:sz w:val="22"/>
        </w:rPr>
        <w:t>Practical steps in the early years: keep books in the house and in the car; let the child choose some of the reading; talk about what was read rather than quizzing; protect time for unstructured play and boredom. Boredom is often where independent projects begin.</w:t>
      </w:r>
    </w:p>
    <w:p w14:paraId="1121BF0E" w14:textId="77777777" w:rsidR="00557D37" w:rsidRDefault="00B54EE6">
      <w:pPr>
        <w:spacing w:after="200"/>
        <w:jc w:val="left"/>
      </w:pPr>
      <w:r>
        <w:rPr>
          <w:rFonts w:ascii="Georgia" w:hAnsi="Georgia"/>
          <w:sz w:val="22"/>
        </w:rPr>
        <w:t>Habits that matter more than enrichment classes: finishing what is started, putting things away, noticing when something does not make sense and asking about it. These are small. They compound. They rest on the early language and interactive input described in the previous chapters.</w:t>
      </w:r>
    </w:p>
    <w:p w14:paraId="02604110" w14:textId="77777777" w:rsidR="00557D37" w:rsidRDefault="00B54EE6">
      <w:pPr>
        <w:pStyle w:val="Heading2"/>
        <w:keepNext/>
        <w:pageBreakBefore/>
        <w:jc w:val="center"/>
      </w:pPr>
      <w:bookmarkStart w:id="17" w:name="sec15"/>
      <w:r>
        <w:rPr>
          <w:rFonts w:ascii="Georgia" w:hAnsi="Georgia"/>
          <w:b/>
          <w:color w:val="2A5CAA"/>
          <w:sz w:val="25"/>
        </w:rPr>
        <w:t>Elementary Years — Competence Without Pressure</w:t>
      </w:r>
      <w:bookmarkEnd w:id="17"/>
    </w:p>
    <w:p w14:paraId="41ACBAB6" w14:textId="77777777" w:rsidR="00557D37" w:rsidRDefault="00B54EE6">
      <w:pPr>
        <w:spacing w:after="200"/>
        <w:jc w:val="left"/>
      </w:pPr>
      <w:r>
        <w:rPr>
          <w:rFonts w:ascii="Georgia" w:hAnsi="Georgia"/>
          <w:sz w:val="22"/>
        </w:rPr>
        <w:t>By elementary school the goal is competence in reading, writing, and arithmetic, plus one or two sustained interests. It is not a resume. Parents who treat every grade and every activity as a college signal create anxiety early and often produce students who perform for external approval rather than from internal interest.</w:t>
      </w:r>
    </w:p>
    <w:p w14:paraId="1A839EEE" w14:textId="77777777" w:rsidR="00557D37" w:rsidRDefault="00B54EE6">
      <w:pPr>
        <w:spacing w:after="200"/>
        <w:jc w:val="left"/>
      </w:pPr>
      <w:r>
        <w:rPr>
          <w:rFonts w:ascii="Georgia" w:hAnsi="Georgia"/>
          <w:sz w:val="22"/>
        </w:rPr>
        <w:t>Useful practices: help with homework when the student is stuck, then step back; notice strengths and give the student more material in that area; correct basic errors in writing and math without making the correction the whole conversation. One clear strength is more useful later than a flat list of average activities.</w:t>
      </w:r>
    </w:p>
    <w:p w14:paraId="4674CD87" w14:textId="77777777" w:rsidR="00557D37" w:rsidRDefault="00B54EE6">
      <w:pPr>
        <w:spacing w:after="200"/>
        <w:jc w:val="left"/>
      </w:pPr>
      <w:r>
        <w:rPr>
          <w:rFonts w:ascii="Georgia" w:hAnsi="Georgia"/>
          <w:sz w:val="22"/>
        </w:rPr>
        <w:t>Teaching example: a child who liked taking things apart was given old electronics and a notebook. The notebook became a record of what worked and what did not. Years later the notebook was more interesting to a reader of applications than a certificate from a one-week camp.</w:t>
      </w:r>
    </w:p>
    <w:p w14:paraId="5F6F8651" w14:textId="77777777" w:rsidR="00557D37" w:rsidRDefault="00B54EE6">
      <w:pPr>
        <w:pStyle w:val="Heading2"/>
        <w:keepNext/>
        <w:pageBreakBefore/>
        <w:jc w:val="center"/>
      </w:pPr>
      <w:bookmarkStart w:id="18" w:name="sec16"/>
      <w:r>
        <w:rPr>
          <w:rFonts w:ascii="Georgia" w:hAnsi="Georgia"/>
          <w:b/>
          <w:color w:val="2A5CAA"/>
          <w:sz w:val="25"/>
        </w:rPr>
        <w:t>Middle School — The Years That Quietly Count</w:t>
      </w:r>
      <w:bookmarkEnd w:id="18"/>
    </w:p>
    <w:p>
      <w:pPr>
        <w:jc w:val="left"/>
      </w:pPr>
      <w:r>
        <w:rPr>
          <w:rFonts w:ascii="Georgia" w:hAnsi="Georgia"/>
          <w:sz w:val="22"/>
        </w:rPr>
        <w:t>Middle school quietly changes the job: more teachers, more deadlines, and more responsibility for materials. Teach the system before judging the student. A planner, a weekly backpack reset, or one family calendar can solve a practical problem that lectures about “being responsible” cannot.</w:t>
      </w:r>
    </w:p>
    <w:p>
      <w:pPr>
        <w:jc w:val="left"/>
      </w:pPr>
      <w:r>
        <w:rPr>
          <w:rFonts w:ascii="Georgia" w:hAnsi="Georgia"/>
          <w:sz w:val="22"/>
        </w:rPr>
        <w:t>For the first few weeks, sit beside the student on Sunday and ask them to find the assignments, name the due dates, and choose a first step. If they cannot locate an instruction, show them where to look. After the routine becomes familiar, let the student lead and reduce reminders. When something is missed, repair the system and contact the teacher if needed.</w:t>
      </w:r>
    </w:p>
    <w:p>
      <w:pPr>
        <w:jc w:val="left"/>
      </w:pPr>
      <w:r>
        <w:rPr>
          <w:rFonts w:ascii="Georgia" w:hAnsi="Georgia"/>
          <w:sz w:val="22"/>
        </w:rPr>
        <w:t>Do not turn middle school into early high school. The student needs solid coursework, room to explore interests, friendships, and sleep—not a full résumé assembled before they can reliably remember their gym clothes.</w:t>
      </w:r>
    </w:p>
    <w:p w14:paraId="19D1C641" w14:textId="77777777" w:rsidR="00557D37" w:rsidRDefault="00B54EE6">
      <w:pPr>
        <w:pStyle w:val="Heading2"/>
        <w:keepNext/>
        <w:pageBreakBefore/>
        <w:jc w:val="center"/>
      </w:pPr>
      <w:bookmarkStart w:id="19" w:name="sec17"/>
      <w:r>
        <w:rPr>
          <w:rFonts w:ascii="Georgia" w:hAnsi="Georgia"/>
          <w:b/>
          <w:color w:val="2A5CAA"/>
          <w:sz w:val="25"/>
        </w:rPr>
        <w:t>High School Academics Without the Schedule From Hell</w:t>
      </w:r>
      <w:bookmarkEnd w:id="19"/>
    </w:p>
    <w:p>
      <w:pPr>
        <w:jc w:val="left"/>
      </w:pPr>
      <w:r>
        <w:rPr>
          <w:rFonts w:ascii="Georgia" w:hAnsi="Georgia"/>
          <w:sz w:val="22"/>
        </w:rPr>
        <w:t>In high school, choose challenging courses the student is ready to learn from and can complete sustainably. Course rigor matters in the context of what the school offers, but taking every advanced class is not the goal. Start with graduation requirements, the student’s strengths and interests, and the workload each course actually brings.</w:t>
      </w:r>
    </w:p>
    <w:p>
      <w:pPr>
        <w:jc w:val="left"/>
      </w:pPr>
      <w:r>
        <w:rPr>
          <w:rFonts w:ascii="Georgia" w:hAnsi="Georgia"/>
          <w:sz w:val="22"/>
        </w:rPr>
        <w:t>Before registration, put a normal week on paper: class, commute, homework, paid work or caregiving, activities, meals, sleep, and time to recover. If there is no margin, the schedule is already making a decision for the family. A student who has practiced completing ordinary work and asking for help is better prepared to add challenge than one whose assignments are still managed entirely by a parent.</w:t>
      </w:r>
    </w:p>
    <w:p>
      <w:pPr>
        <w:jc w:val="left"/>
      </w:pPr>
      <w:r>
        <w:rPr>
          <w:rFonts w:ascii="Georgia" w:hAnsi="Georgia"/>
          <w:sz w:val="22"/>
        </w:rPr>
        <w:t>Parents can review a difficult problem or ask the student to explain a solution. The student should do the work and own the choice. Do not mistake an impressive course label for learning if the student is persistently exhausted or cannot get support.</w:t>
      </w:r>
    </w:p>
    <w:p>
      <w:pPr>
        <w:pStyle w:val="Heading2"/>
        <w:jc w:val="center"/>
      </w:pPr>
      <w:r>
        <w:rPr>
          <w:rFonts w:ascii="Georgia" w:hAnsi="Georgia"/>
          <w:b/>
          <w:color w:val="2A5CAA"/>
          <w:sz w:val="25"/>
        </w:rPr>
        <w:t>A Week Has 168 Hours</w:t>
      </w:r>
    </w:p>
    <w:p>
      <w:pPr>
        <w:jc w:val="left"/>
      </w:pPr>
      <w:r>
        <w:rPr>
          <w:rFonts w:ascii="Georgia" w:hAnsi="Georgia"/>
          <w:sz w:val="22"/>
        </w:rPr>
        <w:t>This accounting example is not a prescription. It shows how the same 168 hours can leave space for recovery or use almost all available time. Seven hours of sleep nightly is below the general 8–10-hour recommendation for adolescents. [5]</w:t>
      </w:r>
    </w:p>
    <w:tbl>
      <w:tblPr>
        <w:tblW w:type="auto" w:w="0"/>
        <w:tblLook w:firstColumn="1" w:firstRow="1" w:lastColumn="0" w:lastRow="0" w:noHBand="0" w:noVBand="1" w:val="04A0"/>
      </w:tblPr>
      <w:tblGrid>
        <w:gridCol w:w="1440"/>
        <w:gridCol w:w="1440"/>
        <w:gridCol w:w="1440"/>
      </w:tblGrid>
      <w:tr>
        <w:tc>
          <w:tcPr>
            <w:tcW w:type="dxa" w:w="1440"/>
          </w:tcPr>
          <w:p>
            <w:r>
              <w:rPr>
                <w:rFonts w:ascii="Georgia" w:hAnsi="Georgia"/>
                <w:b/>
                <w:color w:val="2A5CAA"/>
                <w:sz w:val="19"/>
              </w:rPr>
              <w:t>Hours per week</w:t>
            </w:r>
          </w:p>
        </w:tc>
        <w:tc>
          <w:tcPr>
            <w:tcW w:type="dxa" w:w="1440"/>
          </w:tcPr>
          <w:p>
            <w:r>
              <w:rPr>
                <w:rFonts w:ascii="Georgia" w:hAnsi="Georgia"/>
                <w:b/>
                <w:color w:val="2A5CAA"/>
                <w:sz w:val="19"/>
              </w:rPr>
              <w:t>Room to recover</w:t>
            </w:r>
          </w:p>
        </w:tc>
        <w:tc>
          <w:tcPr>
            <w:tcW w:type="dxa" w:w="1440"/>
          </w:tcPr>
          <w:p>
            <w:r>
              <w:rPr>
                <w:rFonts w:ascii="Georgia" w:hAnsi="Georgia"/>
                <w:b/>
                <w:color w:val="2A5CAA"/>
                <w:sz w:val="19"/>
              </w:rPr>
              <w:t>Crowded week</w:t>
            </w:r>
          </w:p>
        </w:tc>
      </w:tr>
      <w:tr>
        <w:tc>
          <w:tcPr>
            <w:tcW w:type="dxa" w:w="1440"/>
          </w:tcPr>
          <w:p>
            <w:r>
              <w:rPr>
                <w:rFonts w:ascii="Georgia" w:hAnsi="Georgia"/>
                <w:sz w:val="18"/>
              </w:rPr>
              <w:t>Sleep</w:t>
            </w:r>
          </w:p>
        </w:tc>
        <w:tc>
          <w:tcPr>
            <w:tcW w:type="dxa" w:w="1440"/>
          </w:tcPr>
          <w:p>
            <w:r>
              <w:rPr>
                <w:rFonts w:ascii="Georgia" w:hAnsi="Georgia"/>
                <w:sz w:val="18"/>
              </w:rPr>
              <w:t>56</w:t>
            </w:r>
          </w:p>
        </w:tc>
        <w:tc>
          <w:tcPr>
            <w:tcW w:type="dxa" w:w="1440"/>
          </w:tcPr>
          <w:p>
            <w:r>
              <w:rPr>
                <w:rFonts w:ascii="Georgia" w:hAnsi="Georgia"/>
                <w:sz w:val="18"/>
              </w:rPr>
              <w:t>49</w:t>
            </w:r>
          </w:p>
        </w:tc>
      </w:tr>
      <w:tr>
        <w:tc>
          <w:tcPr>
            <w:tcW w:type="dxa" w:w="1440"/>
          </w:tcPr>
          <w:p>
            <w:r>
              <w:rPr>
                <w:rFonts w:ascii="Georgia" w:hAnsi="Georgia"/>
                <w:sz w:val="18"/>
              </w:rPr>
              <w:t>School</w:t>
            </w:r>
          </w:p>
        </w:tc>
        <w:tc>
          <w:tcPr>
            <w:tcW w:type="dxa" w:w="1440"/>
          </w:tcPr>
          <w:p>
            <w:r>
              <w:rPr>
                <w:rFonts w:ascii="Georgia" w:hAnsi="Georgia"/>
                <w:sz w:val="18"/>
              </w:rPr>
              <w:t>35</w:t>
            </w:r>
          </w:p>
        </w:tc>
        <w:tc>
          <w:tcPr>
            <w:tcW w:type="dxa" w:w="1440"/>
          </w:tcPr>
          <w:p>
            <w:r>
              <w:rPr>
                <w:rFonts w:ascii="Georgia" w:hAnsi="Georgia"/>
                <w:sz w:val="18"/>
              </w:rPr>
              <w:t>35</w:t>
            </w:r>
          </w:p>
        </w:tc>
      </w:tr>
      <w:tr>
        <w:tc>
          <w:tcPr>
            <w:tcW w:type="dxa" w:w="1440"/>
          </w:tcPr>
          <w:p>
            <w:r>
              <w:rPr>
                <w:rFonts w:ascii="Georgia" w:hAnsi="Georgia"/>
                <w:sz w:val="18"/>
              </w:rPr>
              <w:t>Commute</w:t>
            </w:r>
          </w:p>
        </w:tc>
        <w:tc>
          <w:tcPr>
            <w:tcW w:type="dxa" w:w="1440"/>
          </w:tcPr>
          <w:p>
            <w:r>
              <w:rPr>
                <w:rFonts w:ascii="Georgia" w:hAnsi="Georgia"/>
                <w:sz w:val="18"/>
              </w:rPr>
              <w:t>8</w:t>
            </w:r>
          </w:p>
        </w:tc>
        <w:tc>
          <w:tcPr>
            <w:tcW w:type="dxa" w:w="1440"/>
          </w:tcPr>
          <w:p>
            <w:r>
              <w:rPr>
                <w:rFonts w:ascii="Georgia" w:hAnsi="Georgia"/>
                <w:sz w:val="18"/>
              </w:rPr>
              <w:t>10</w:t>
            </w:r>
          </w:p>
        </w:tc>
      </w:tr>
      <w:tr>
        <w:tc>
          <w:tcPr>
            <w:tcW w:type="dxa" w:w="1440"/>
          </w:tcPr>
          <w:p>
            <w:r>
              <w:rPr>
                <w:rFonts w:ascii="Georgia" w:hAnsi="Georgia"/>
                <w:sz w:val="18"/>
              </w:rPr>
              <w:t>Homework</w:t>
            </w:r>
          </w:p>
        </w:tc>
        <w:tc>
          <w:tcPr>
            <w:tcW w:type="dxa" w:w="1440"/>
          </w:tcPr>
          <w:p>
            <w:r>
              <w:rPr>
                <w:rFonts w:ascii="Georgia" w:hAnsi="Georgia"/>
                <w:sz w:val="18"/>
              </w:rPr>
              <w:t>14</w:t>
            </w:r>
          </w:p>
        </w:tc>
        <w:tc>
          <w:tcPr>
            <w:tcW w:type="dxa" w:w="1440"/>
          </w:tcPr>
          <w:p>
            <w:r>
              <w:rPr>
                <w:rFonts w:ascii="Georgia" w:hAnsi="Georgia"/>
                <w:sz w:val="18"/>
              </w:rPr>
              <w:t>22</w:t>
            </w:r>
          </w:p>
        </w:tc>
      </w:tr>
      <w:tr>
        <w:tc>
          <w:tcPr>
            <w:tcW w:type="dxa" w:w="1440"/>
          </w:tcPr>
          <w:p>
            <w:r>
              <w:rPr>
                <w:rFonts w:ascii="Georgia" w:hAnsi="Georgia"/>
                <w:sz w:val="18"/>
              </w:rPr>
              <w:t>Paid work or caregiving</w:t>
            </w:r>
          </w:p>
        </w:tc>
        <w:tc>
          <w:tcPr>
            <w:tcW w:type="dxa" w:w="1440"/>
          </w:tcPr>
          <w:p>
            <w:r>
              <w:rPr>
                <w:rFonts w:ascii="Georgia" w:hAnsi="Georgia"/>
                <w:sz w:val="18"/>
              </w:rPr>
              <w:t>8</w:t>
            </w:r>
          </w:p>
        </w:tc>
        <w:tc>
          <w:tcPr>
            <w:tcW w:type="dxa" w:w="1440"/>
          </w:tcPr>
          <w:p>
            <w:r>
              <w:rPr>
                <w:rFonts w:ascii="Georgia" w:hAnsi="Georgia"/>
                <w:sz w:val="18"/>
              </w:rPr>
              <w:t>8</w:t>
            </w:r>
          </w:p>
        </w:tc>
      </w:tr>
      <w:tr>
        <w:tc>
          <w:tcPr>
            <w:tcW w:type="dxa" w:w="1440"/>
          </w:tcPr>
          <w:p>
            <w:r>
              <w:rPr>
                <w:rFonts w:ascii="Georgia" w:hAnsi="Georgia"/>
                <w:sz w:val="18"/>
              </w:rPr>
              <w:t>Activities</w:t>
            </w:r>
          </w:p>
        </w:tc>
        <w:tc>
          <w:tcPr>
            <w:tcW w:type="dxa" w:w="1440"/>
          </w:tcPr>
          <w:p>
            <w:r>
              <w:rPr>
                <w:rFonts w:ascii="Georgia" w:hAnsi="Georgia"/>
                <w:sz w:val="18"/>
              </w:rPr>
              <w:t>12</w:t>
            </w:r>
          </w:p>
        </w:tc>
        <w:tc>
          <w:tcPr>
            <w:tcW w:type="dxa" w:w="1440"/>
          </w:tcPr>
          <w:p>
            <w:r>
              <w:rPr>
                <w:rFonts w:ascii="Georgia" w:hAnsi="Georgia"/>
                <w:sz w:val="18"/>
              </w:rPr>
              <w:t>18</w:t>
            </w:r>
          </w:p>
        </w:tc>
      </w:tr>
      <w:tr>
        <w:tc>
          <w:tcPr>
            <w:tcW w:type="dxa" w:w="1440"/>
          </w:tcPr>
          <w:p>
            <w:r>
              <w:rPr>
                <w:rFonts w:ascii="Georgia" w:hAnsi="Georgia"/>
                <w:sz w:val="18"/>
              </w:rPr>
              <w:t>Meals and personal care</w:t>
            </w:r>
          </w:p>
        </w:tc>
        <w:tc>
          <w:tcPr>
            <w:tcW w:type="dxa" w:w="1440"/>
          </w:tcPr>
          <w:p>
            <w:r>
              <w:rPr>
                <w:rFonts w:ascii="Georgia" w:hAnsi="Georgia"/>
                <w:sz w:val="18"/>
              </w:rPr>
              <w:t>21</w:t>
            </w:r>
          </w:p>
        </w:tc>
        <w:tc>
          <w:tcPr>
            <w:tcW w:type="dxa" w:w="1440"/>
          </w:tcPr>
          <w:p>
            <w:r>
              <w:rPr>
                <w:rFonts w:ascii="Georgia" w:hAnsi="Georgia"/>
                <w:sz w:val="18"/>
              </w:rPr>
              <w:t>21</w:t>
            </w:r>
          </w:p>
        </w:tc>
      </w:tr>
      <w:tr>
        <w:tc>
          <w:tcPr>
            <w:tcW w:type="dxa" w:w="1440"/>
          </w:tcPr>
          <w:p>
            <w:r>
              <w:rPr>
                <w:rFonts w:ascii="Georgia" w:hAnsi="Georgia"/>
                <w:sz w:val="18"/>
              </w:rPr>
              <w:t>Unstructured time and recovery</w:t>
            </w:r>
          </w:p>
        </w:tc>
        <w:tc>
          <w:tcPr>
            <w:tcW w:type="dxa" w:w="1440"/>
          </w:tcPr>
          <w:p>
            <w:r>
              <w:rPr>
                <w:rFonts w:ascii="Georgia" w:hAnsi="Georgia"/>
                <w:sz w:val="18"/>
              </w:rPr>
              <w:t>14</w:t>
            </w:r>
          </w:p>
        </w:tc>
        <w:tc>
          <w:tcPr>
            <w:tcW w:type="dxa" w:w="1440"/>
          </w:tcPr>
          <w:p>
            <w:r>
              <w:rPr>
                <w:rFonts w:ascii="Georgia" w:hAnsi="Georgia"/>
                <w:sz w:val="18"/>
              </w:rPr>
              <w:t>5</w:t>
            </w:r>
          </w:p>
        </w:tc>
      </w:tr>
      <w:tr>
        <w:tc>
          <w:tcPr>
            <w:tcW w:type="dxa" w:w="1440"/>
          </w:tcPr>
          <w:p>
            <w:r>
              <w:rPr>
                <w:rFonts w:ascii="Georgia" w:hAnsi="Georgia"/>
                <w:sz w:val="18"/>
              </w:rPr>
              <w:t>Total</w:t>
            </w:r>
          </w:p>
        </w:tc>
        <w:tc>
          <w:tcPr>
            <w:tcW w:type="dxa" w:w="1440"/>
          </w:tcPr>
          <w:p>
            <w:r>
              <w:rPr>
                <w:rFonts w:ascii="Georgia" w:hAnsi="Georgia"/>
                <w:sz w:val="18"/>
              </w:rPr>
              <w:t>168</w:t>
            </w:r>
          </w:p>
        </w:tc>
        <w:tc>
          <w:tcPr>
            <w:tcW w:type="dxa" w:w="1440"/>
          </w:tcPr>
          <w:p>
            <w:r>
              <w:rPr>
                <w:rFonts w:ascii="Georgia" w:hAnsi="Georgia"/>
                <w:sz w:val="18"/>
              </w:rPr>
              <w:t>168</w:t>
            </w:r>
          </w:p>
        </w:tc>
      </w:tr>
    </w:tbl>
    <w:p>
      <w:pPr>
        <w:jc w:val="left"/>
      </w:pPr>
      <w:r>
        <w:rPr>
          <w:rFonts w:ascii="Georgia" w:hAnsi="Georgia"/>
          <w:sz w:val="22"/>
        </w:rPr>
        <w:t>If the student’s real week looks like the crowded column, do not begin by demanding better time management. Ask which commitment can move, shrink, or stop.</w:t>
      </w:r>
    </w:p>
    <w:p w14:paraId="75E3F24A" w14:textId="77777777" w:rsidR="00557D37" w:rsidRDefault="00B54EE6">
      <w:pPr>
        <w:pStyle w:val="Heading2"/>
        <w:keepNext/>
        <w:pageBreakBefore/>
        <w:jc w:val="center"/>
      </w:pPr>
      <w:bookmarkStart w:id="20" w:name="sec18"/>
      <w:r>
        <w:rPr>
          <w:rFonts w:ascii="Georgia" w:hAnsi="Georgia"/>
          <w:b/>
          <w:color w:val="2A5CAA"/>
          <w:sz w:val="25"/>
        </w:rPr>
        <w:t>Extracurriculars That Signal Something Real</w:t>
      </w:r>
      <w:bookmarkEnd w:id="20"/>
    </w:p>
    <w:p>
      <w:pPr>
        <w:pStyle w:val="Heading2"/>
        <w:jc w:val="center"/>
      </w:pPr>
      <w:r>
        <w:rPr>
          <w:rFonts w:ascii="Georgia" w:hAnsi="Georgia"/>
          <w:b/>
          <w:color w:val="2A5CAA"/>
          <w:sz w:val="25"/>
        </w:rPr>
        <w:t>An Interest Is a Practice, Not a Credential</w:t>
      </w:r>
    </w:p>
    <w:p>
      <w:pPr>
        <w:jc w:val="left"/>
      </w:pPr>
      <w:r>
        <w:rPr>
          <w:rFonts w:ascii="Georgia" w:hAnsi="Georgia"/>
          <w:sz w:val="22"/>
        </w:rPr>
        <w:t>Cal Newport’s case for depth is useful when a student is overloaded, but “find a spike” is a poor instruction to give a child. Teenagers rarely grow in one tidy direction. Let a question become an interest through practice, contribution, and revision; it can deepen, change, or end without being a failed admissions strategy.</w:t>
      </w:r>
    </w:p>
    <w:p>
      <w:pPr>
        <w:jc w:val="left"/>
      </w:pPr>
      <w:r>
        <w:rPr>
          <w:rFonts w:ascii="Georgia" w:hAnsi="Georgia"/>
          <w:sz w:val="22"/>
        </w:rPr>
        <w:t>A student curious about local history might interview a relative, compare the account with library sources, and make a short guide for younger cousins. The parent can help find a source or arrange a ride; the student decides what to investigate and what to make. That is more useful learning than collecting a title for an activity list.</w:t>
      </w:r>
    </w:p>
    <w:p>
      <w:pPr>
        <w:jc w:val="left"/>
      </w:pPr>
      <w:r>
        <w:rPr>
          <w:rFonts w:ascii="Georgia" w:hAnsi="Georgia"/>
          <w:sz w:val="22"/>
        </w:rPr>
        <w:t>Access differs. One student may have a lab, coach, and travel; another may work, care for family, or have few local programs. Jobs, family responsibilities, independent reading, community work, and school activities can all hold real learning. Do not mistake the most expensive opportunity for the most meaningful one.</w:t>
      </w:r>
    </w:p>
    <w:p w14:paraId="44D2F8D8" w14:textId="77777777" w:rsidR="00557D37" w:rsidRDefault="00B54EE6">
      <w:pPr>
        <w:pStyle w:val="Heading2"/>
        <w:keepNext/>
        <w:jc w:val="center"/>
      </w:pPr>
      <w:r>
        <w:rPr>
          <w:rFonts w:ascii="Georgia" w:hAnsi="Georgia"/>
          <w:b/>
          <w:color w:val="2A5CAA"/>
          <w:sz w:val="25"/>
        </w:rPr>
        <w:t>Musical Instruments</w:t>
      </w:r>
    </w:p>
    <w:p w14:paraId="6CA148F6" w14:textId="77777777" w:rsidR="00557D37" w:rsidRDefault="00B54EE6">
      <w:pPr>
        <w:spacing w:after="200"/>
        <w:jc w:val="left"/>
      </w:pPr>
      <w:r>
        <w:rPr>
          <w:rFonts w:ascii="Georgia" w:hAnsi="Georgia"/>
          <w:sz w:val="22"/>
        </w:rPr>
        <w:t>An instrument can build deliberate-practice habits and supply a describable long-term activity if the student is willing to practice regularly. It is optional. Admissions readers see many applicants who list lessons; multi-year skill growth or genuine initiative is what stands out, not the fact of lessons.</w:t>
      </w:r>
    </w:p>
    <w:p w14:paraId="0279050D" w14:textId="77777777" w:rsidR="00557D37" w:rsidRDefault="00B54EE6">
      <w:pPr>
        <w:spacing w:after="200"/>
        <w:jc w:val="left"/>
      </w:pPr>
      <w:r>
        <w:rPr>
          <w:rFonts w:ascii="Georgia" w:hAnsi="Georgia"/>
          <w:sz w:val="22"/>
        </w:rPr>
        <w:t>Start when interest appears or at a natural school entry point. Emphasize short consistent practice. A parent can help with scheduling; the student must do the playing. Drop or pause if it becomes pure obligation. It can coexist with academics if total load remains sustainable. Many strong applicants never study an instrument.</w:t>
      </w:r>
    </w:p>
    <w:p w14:paraId="77C3649D" w14:textId="77777777" w:rsidR="00557D37" w:rsidRDefault="00B54EE6">
      <w:pPr>
        <w:spacing w:after="200"/>
        <w:jc w:val="left"/>
      </w:pPr>
      <w:r>
        <w:rPr>
          <w:rFonts w:ascii="Georgia" w:hAnsi="Georgia"/>
          <w:sz w:val="22"/>
        </w:rPr>
        <w:t>Example of multi-year music commitment: four or more years on one instrument, progressing from intermediate to advanced repertoire, regular participation in a serious ensemble, and perhaps a mentoring or sectional role by the later years. The student can name specific works mastered and technical problems solved. Practice stays consistent without displacing sleep or core coursework. The activity description remains factual and concise.</w:t>
      </w:r>
    </w:p>
    <w:p w14:paraId="1DF7D147" w14:textId="77777777" w:rsidR="00557D37" w:rsidRDefault="00B54EE6">
      <w:pPr>
        <w:pStyle w:val="Heading2"/>
        <w:keepNext/>
        <w:jc w:val="center"/>
      </w:pPr>
      <w:r>
        <w:rPr>
          <w:rFonts w:ascii="Georgia" w:hAnsi="Georgia"/>
          <w:b/>
          <w:color w:val="2A5CAA"/>
          <w:sz w:val="25"/>
        </w:rPr>
        <w:t>Athletics as Sustained Commitment</w:t>
      </w:r>
    </w:p>
    <w:p w14:paraId="47244D1C" w14:textId="77777777" w:rsidR="00FE1D37" w:rsidRDefault="00CA19A5">
      <w:pPr>
        <w:pStyle w:val="Heading2"/>
        <w:keepNext/>
        <w:jc w:val="center"/>
      </w:pPr>
      <w:r>
        <w:rPr>
          <w:rFonts w:ascii="Georgia" w:hAnsi="Georgia"/>
          <w:b/>
          <w:color w:val="2A5CAA"/>
          <w:sz w:val="25"/>
        </w:rPr>
        <w:t>Autonomy, Challenge, and Persistence</w:t>
      </w:r>
    </w:p>
    <w:p>
      <w:pPr>
        <w:pStyle w:val="Heading2"/>
        <w:jc w:val="center"/>
      </w:pPr>
      <w:r>
        <w:rPr>
          <w:rFonts w:ascii="Georgia" w:hAnsi="Georgia"/>
          <w:b/>
          <w:color w:val="2A5CAA"/>
          <w:sz w:val="25"/>
        </w:rPr>
        <w:t>Praise, Practice, and the Limits of Mindset</w:t>
      </w:r>
    </w:p>
    <w:p>
      <w:pPr>
        <w:jc w:val="left"/>
      </w:pPr>
      <w:r>
        <w:rPr>
          <w:rFonts w:ascii="Georgia" w:hAnsi="Georgia"/>
          <w:sz w:val="22"/>
        </w:rPr>
        <w:t>Give feedback that names what happened. “You reread the directions, noticed the units did not match, and corrected the setup” tells the student more than “You are brilliant” or “You worked hard.” Effort matters when it is connected to a useful strategy and enough instruction.</w:t>
      </w:r>
    </w:p>
    <w:p>
      <w:pPr>
        <w:jc w:val="left"/>
      </w:pPr>
      <w:r>
        <w:rPr>
          <w:rFonts w:ascii="Georgia" w:hAnsi="Georgia"/>
          <w:sz w:val="22"/>
        </w:rPr>
        <w:t>When practice is not helping, diagnose before adding more: Was the task understood? Does the student know the method? Is fatigue or worry interfering? Would another explanation, an accommodation, or a smaller practice set help? A parent can say, “Which part is hardest—starting, organizing, or revising?” and then listen.</w:t>
      </w:r>
    </w:p>
    <w:p>
      <w:pPr>
        <w:jc w:val="left"/>
      </w:pPr>
      <w:r>
        <w:rPr>
          <w:rFonts w:ascii="Georgia" w:hAnsi="Georgia"/>
          <w:sz w:val="22"/>
        </w:rPr>
        <w:t>Mindset language can support learning, but it is not a substitute for teaching, time, access, or support. Research on mindset interventions is mixed and context-dependent. Dweck’s work is a reason to treat ability as developable, not a promise that praise will solve a learning problem.</w:t>
      </w:r>
    </w:p>
    <w:p>
      <w:pPr>
        <w:pStyle w:val="Heading2"/>
        <w:jc w:val="center"/>
      </w:pPr>
      <w:r>
        <w:rPr>
          <w:rFonts w:ascii="Georgia" w:hAnsi="Georgia"/>
          <w:b/>
          <w:color w:val="2A5CAA"/>
          <w:sz w:val="25"/>
        </w:rPr>
        <w:t>Skills That Travel Beyond Grades</w:t>
      </w:r>
    </w:p>
    <w:p>
      <w:pPr>
        <w:jc w:val="left"/>
      </w:pPr>
      <w:r>
        <w:rPr>
          <w:rFonts w:ascii="Georgia" w:hAnsi="Georgia"/>
          <w:sz w:val="22"/>
        </w:rPr>
        <w:t>How Children Succeed and Grit draw attention to perseverance, self-control, and recovery after setbacks. These can be useful habits, but they do not replace instruction, resources, health, or a fair chance to learn. A student who is struggling may need a missing prerequisite taught, a quieter place to work, an evaluation, or relief from an overloaded schedule—not a speech about trying harder.</w:t>
      </w:r>
    </w:p>
    <w:p>
      <w:pPr>
        <w:jc w:val="left"/>
      </w:pPr>
      <w:r>
        <w:rPr>
          <w:rFonts w:ascii="Georgia" w:hAnsi="Georgia"/>
          <w:sz w:val="22"/>
        </w:rPr>
        <w:t>Turn a broad goal into a practice loop: choose one skill, attempt a manageable task, notice what happened, get specific feedback, and decide what to try next. Include rest. Sleep, recreation, friendship, and unstructured time are part of a healthy life, not rewards that must be earned by perfect productivity. If practice repeats the same frustration, change the explanation, strategy, difficulty, or support.</w:t>
      </w:r>
    </w:p>
    <w:p>
      <w:pPr>
        <w:jc w:val="left"/>
      </w:pPr>
      <w:r>
        <w:rPr>
          <w:rFonts w:ascii="Georgia" w:hAnsi="Georgia"/>
          <w:sz w:val="22"/>
        </w:rPr>
        <w:t>Persistence is healthiest when the student has some ownership of the goal. Ask what would make the effort worthwhile and what evidence would suggest the plan needs adjustment. Celebrate returning after a setback, but also respect a reasoned decision to stop, switch paths, or seek help.</w:t>
      </w:r>
    </w:p>
    <w:p w14:paraId="56AF0D7A" w14:textId="77777777" w:rsidR="00FE1D37" w:rsidRDefault="00CA19A5">
      <w:pPr>
        <w:jc w:val="left"/>
      </w:pPr>
      <w:r>
        <w:rPr>
          <w:rFonts w:ascii="Georgia" w:hAnsi="Georgia"/>
          <w:sz w:val="22"/>
        </w:rPr>
        <w:t>Children benefit when adults provide structure while leaving meaningful choices within it. A parent can set a reasonable boundary while letting the student choose the order of assignments, the study location, or when to ask for help. Autonomy is not leaving a child alone with a problem; it is support that builds decision-making capacity over time.</w:t>
      </w:r>
    </w:p>
    <w:p w14:paraId="14A4E727" w14:textId="77777777" w:rsidR="00FE1D37" w:rsidRDefault="00CA19A5">
      <w:pPr>
        <w:jc w:val="left"/>
      </w:pPr>
      <w:r>
        <w:rPr>
          <w:rFonts w:ascii="Georgia" w:hAnsi="Georgia"/>
          <w:sz w:val="22"/>
        </w:rPr>
        <w:t>When work becomes difficult, ask what the student understands, what strategy has been tried, and what help would move the work forward. Praise repeatable choices: checking an example, asking a clear question, changing an approach, or taking a restorative break. Persistence is useful when paired with feedback and a workable strategy, and it is reasonable to change course when an activity no longer fits.</w:t>
      </w:r>
    </w:p>
    <w:p w14:paraId="154470E1" w14:textId="77777777" w:rsidR="00FE1D37" w:rsidRDefault="00CA19A5">
      <w:pPr>
        <w:jc w:val="left"/>
      </w:pPr>
      <w:r>
        <w:rPr>
          <w:rFonts w:ascii="Georgia" w:hAnsi="Georgia"/>
          <w:sz w:val="22"/>
        </w:rPr>
        <w:t>A growth-oriented message can help a student see a skill as developable, but slogans do not replace good instruction or access to support. Research finds effects vary by student and setting. Use this idea as an invitation to practice and seek feedback, not as a promise that attitude alone changes outcomes. Families can create a rich environment without engineering a résumé: make books, tools, time, and welcoming adults available; notice what the child returns to; allow unstructured exploration. See The Gardener and the Carpenter and The Self-Driven Child in Further Reading for useful lenses on independence.</w:t>
      </w:r>
    </w:p>
    <w:p w14:paraId="7DAB1391" w14:textId="77777777" w:rsidR="00557D37" w:rsidRDefault="00B54EE6">
      <w:pPr>
        <w:spacing w:after="200"/>
        <w:jc w:val="left"/>
      </w:pPr>
      <w:r>
        <w:rPr>
          <w:rFonts w:ascii="Georgia" w:hAnsi="Georgia"/>
          <w:sz w:val="22"/>
        </w:rPr>
        <w:t>A sport pursued seriously across high school can also serve as a multi-year commitment when it is not framed as a recruitment strategy. The student plays the same sport for several years, advances from junior varsity to a contributing varsity role, and may take on captain or mentoring duties. The description focuses on sustained effort, skill growth, and teamwork.</w:t>
      </w:r>
    </w:p>
    <w:p w14:paraId="271AABD8" w14:textId="77777777" w:rsidR="00557D37" w:rsidRDefault="00B54EE6">
      <w:pPr>
        <w:spacing w:after="200"/>
        <w:jc w:val="left"/>
      </w:pPr>
      <w:r>
        <w:rPr>
          <w:rFonts w:ascii="Georgia" w:hAnsi="Georgia"/>
          <w:sz w:val="22"/>
        </w:rPr>
        <w:t>Academics and sleep remain protected. The activity is presented as one real interest among others, not as an alternative admissions path. For the large majority of students this is the relevant athletic pattern; high-level recruitment remains the rare exception already discussed in the Ivy League chapter.</w:t>
      </w:r>
    </w:p>
    <w:p w14:paraId="453F5536" w14:textId="77777777" w:rsidR="00557D37" w:rsidRDefault="00B54EE6">
      <w:pPr>
        <w:spacing w:after="200"/>
        <w:jc w:val="left"/>
      </w:pPr>
      <w:r>
        <w:rPr>
          <w:rFonts w:ascii="Georgia" w:hAnsi="Georgia"/>
          <w:sz w:val="22"/>
        </w:rPr>
        <w:t>Admissions readers see thousands of applications that list the same clubs. What stands out is sustained effort in something the student actually cared about, with evidence of increasing responsibility or skill. A four-year commitment to a robotics team, a research project, a language, or a serious sport is clearer than a long list of one-year memberships.</w:t>
      </w:r>
    </w:p>
    <w:p w14:paraId="29B4C6FE" w14:textId="77777777" w:rsidR="00557D37" w:rsidRDefault="00B54EE6">
      <w:pPr>
        <w:spacing w:after="200"/>
        <w:jc w:val="left"/>
      </w:pPr>
      <w:r>
        <w:rPr>
          <w:rFonts w:ascii="Georgia" w:hAnsi="Georgia"/>
          <w:sz w:val="22"/>
        </w:rPr>
        <w:t>Practical filter: if the activity disappeared tomorrow, would the student notice? If the answer is no, it is probably not worth the time. If the answer is yes, help the student document what they did and what changed because of it.</w:t>
      </w:r>
    </w:p>
    <w:p w14:paraId="1742D7F7" w14:textId="77777777" w:rsidR="00557D37" w:rsidRDefault="00B54EE6">
      <w:pPr>
        <w:spacing w:after="200"/>
        <w:jc w:val="left"/>
      </w:pPr>
      <w:r>
        <w:rPr>
          <w:rFonts w:ascii="Georgia" w:hAnsi="Georgia"/>
          <w:sz w:val="22"/>
        </w:rPr>
        <w:t>Paid research programs and expensive summer trips are not required. Many strong applicants have ordinary jobs, family responsibilities, or self-directed projects. The signal is the work and the reflection, not the price tag.</w:t>
      </w:r>
    </w:p>
    <w:p>
      <w:pPr>
        <w:jc w:val="left"/>
      </w:pPr>
      <w:r>
        <w:rPr>
          <w:rFonts w:ascii="Georgia" w:hAnsi="Georgia"/>
          <w:sz w:val="22"/>
        </w:rPr>
        <w:t>After a disappointing grade, postpone the lecture until everyone is calm. Ask the student to identify one item they understood, one kind of error that recurred, and one resource that could help. Then agree on a single next action—attend office hours, review a prerequisite, or practice a specific skill—and a day to check whether it helped. The aim is to restore agency and diagnose the problem, not to excuse missed work or define the student by the score.</w:t>
      </w:r>
    </w:p>
    <w:p>
      <w:pPr>
        <w:pStyle w:val="Heading2"/>
        <w:jc w:val="center"/>
      </w:pPr>
      <w:r>
        <w:rPr>
          <w:rFonts w:ascii="Georgia" w:hAnsi="Georgia"/>
          <w:b/>
          <w:color w:val="2A5CAA"/>
          <w:sz w:val="25"/>
        </w:rPr>
        <w:t>Resilience as a Set of Learnable Moves</w:t>
      </w:r>
    </w:p>
    <w:p>
      <w:pPr>
        <w:jc w:val="left"/>
      </w:pPr>
      <w:r>
        <w:rPr>
          <w:rFonts w:ascii="Georgia" w:hAnsi="Georgia"/>
          <w:sz w:val="22"/>
        </w:rPr>
        <w:t>After a setback, use four steps: name what happened without labeling the child, identify what the attempt showed, choose one change, and set a time to review it. A student who missed geometry questions on diagrams might draw and label five problems, ask a teacher to check the method, and then try a short timed set.</w:t>
      </w:r>
    </w:p>
    <w:p>
      <w:pPr>
        <w:jc w:val="left"/>
      </w:pPr>
      <w:r>
        <w:rPr>
          <w:rFonts w:ascii="Georgia" w:hAnsi="Georgia"/>
          <w:sz w:val="22"/>
        </w:rPr>
        <w:t>Persistence is useful when it includes feedback and judgment. Chronic exhaustion, a loss of interest in everything, or worsening health means the plan needs attention; it is not a test of grit. Let the child be disappointed before you solve the problem. Then separate what they can change from what they cannot control and choose one next move.</w:t>
      </w:r>
    </w:p>
    <w:p>
      <w:pPr>
        <w:jc w:val="left"/>
      </w:pPr>
      <w:r>
        <w:rPr>
          <w:rFonts w:ascii="Georgia" w:hAnsi="Georgia"/>
          <w:sz w:val="22"/>
        </w:rPr>
        <w:t>Tough and Duckworth help parents notice curiosity, self-control, and persistence. No one trait guarantees success. The goal is a young person who can learn, ask for help, recover, work with others, and choose challenges that matter to them.</w:t>
      </w:r>
    </w:p>
    <w:p>
      <w:pPr>
        <w:jc w:val="left"/>
      </w:pPr>
      <w:r>
        <w:rPr>
          <w:rFonts w:ascii="Georgia" w:hAnsi="Georgia"/>
          <w:sz w:val="22"/>
        </w:rPr>
        <w:t>Course choices, testing, and tutoring work best after the student has a workable routine. The next chapter turns that routine into specific academic decisions.</w:t>
      </w:r>
    </w:p>
    <w:p w14:paraId="64F3D0DC" w14:textId="77777777" w:rsidR="00557D37" w:rsidRDefault="00B54EE6">
      <w:pPr>
        <w:pStyle w:val="Heading1"/>
        <w:keepNext/>
        <w:pageBreakBefore/>
        <w:jc w:val="center"/>
      </w:pPr>
      <w:bookmarkStart w:id="21" w:name="sec19"/>
      <w:r>
        <w:rPr>
          <w:rFonts w:ascii="Georgia" w:hAnsi="Georgia"/>
          <w:b/>
          <w:color w:val="2A5CAA"/>
          <w:sz w:val="32"/>
        </w:rPr>
        <w:t>Chapter 6: Course Choices, Testing, and Academic Support</w:t>
      </w:r>
      <w:bookmarkEnd w:id="21"/>
    </w:p>
    <w:p w14:paraId="78A07BD5" w14:textId="77777777" w:rsidR="00FE1D37" w:rsidRDefault="00CA19A5">
      <w:pPr>
        <w:pStyle w:val="Heading2"/>
        <w:keepNext/>
        <w:jc w:val="center"/>
      </w:pPr>
      <w:r>
        <w:rPr>
          <w:rFonts w:ascii="Georgia" w:hAnsi="Georgia"/>
          <w:b/>
          <w:color w:val="2A5CAA"/>
          <w:sz w:val="25"/>
        </w:rPr>
        <w:t>Course Levels, Testing, and Support</w:t>
      </w:r>
    </w:p>
    <w:p w14:paraId="3FBB9A82" w14:textId="77777777" w:rsidR="00557D37" w:rsidRDefault="00B54EE6">
      <w:pPr>
        <w:pStyle w:val="Heading2"/>
        <w:keepNext/>
        <w:jc w:val="center"/>
      </w:pPr>
      <w:r>
        <w:rPr>
          <w:rFonts w:ascii="Georgia" w:hAnsi="Georgia"/>
          <w:b/>
          <w:color w:val="2A5CAA"/>
          <w:sz w:val="25"/>
        </w:rPr>
        <w:t>Course-Level Choices</w:t>
      </w:r>
    </w:p>
    <w:p w14:paraId="1B233815" w14:textId="77777777" w:rsidR="00FE1D37" w:rsidRDefault="00CA19A5">
      <w:pPr>
        <w:pStyle w:val="Heading2"/>
        <w:keepNext/>
        <w:jc w:val="center"/>
      </w:pPr>
      <w:r>
        <w:rPr>
          <w:rFonts w:ascii="Georgia" w:hAnsi="Georgia"/>
          <w:b/>
          <w:color w:val="2A5CAA"/>
          <w:sz w:val="25"/>
        </w:rPr>
        <w:t>A Course-Load Review Before Registration</w:t>
      </w:r>
    </w:p>
    <w:p w14:paraId="312B42B7" w14:textId="77777777" w:rsidR="00FE1D37" w:rsidRDefault="00CA19A5">
      <w:pPr>
        <w:jc w:val="left"/>
      </w:pPr>
      <w:r>
        <w:rPr>
          <w:rFonts w:ascii="Georgia" w:hAnsi="Georgia"/>
          <w:sz w:val="22"/>
        </w:rPr>
        <w:t>Before choosing the hardest available schedule, estimate the student’s actual weekly load. List class time, homework, commuting, activities, paid work, family care, meals, sleep, and unplanned recovery time. A schedule that works only if every evening goes perfectly is already overfull. The goal is to take courses that stretch the student’s skills while leaving enough time to learn well, maintain health, and participate in life beyond school.</w:t>
      </w:r>
    </w:p>
    <w:p w14:paraId="63AB2C16" w14:textId="77777777" w:rsidR="00FE1D37" w:rsidRDefault="00CA19A5">
      <w:pPr>
        <w:jc w:val="left"/>
      </w:pPr>
      <w:r>
        <w:rPr>
          <w:rFonts w:ascii="Georgia" w:hAnsi="Georgia"/>
          <w:sz w:val="22"/>
        </w:rPr>
        <w:t>Ask what each advanced course expects: reading volume, long-term projects, lab work, group assignments, and evening or weekend study. Students can ask current teachers or counselors what a typical week looks like, while remembering that experiences vary. Review prerequisites and recent performance in related subjects. A student who is ready for one advanced course need not take every advanced course offered.</w:t>
      </w:r>
    </w:p>
    <w:p w14:paraId="38C73E61" w14:textId="77777777" w:rsidR="00FE1D37" w:rsidRDefault="00CA19A5">
      <w:pPr>
        <w:jc w:val="left"/>
      </w:pPr>
      <w:r>
        <w:rPr>
          <w:rFonts w:ascii="Georgia" w:hAnsi="Georgia"/>
          <w:sz w:val="22"/>
        </w:rPr>
        <w:t>Consider the whole schedule rather than each course in isolation. Several demanding classes may place major assignments in the same weeks. Add a new activity, job, or caregiving responsibility to the calendar before adding another class. If the student has a disability, health condition, language-learning need, or established accommodation, ask how the workload and support arrangements interact. Plan for the support to be usable, not merely listed on paper.</w:t>
      </w:r>
    </w:p>
    <w:p w14:paraId="4EB0E8C7" w14:textId="77777777" w:rsidR="00FE1D37" w:rsidRDefault="00CA19A5">
      <w:pPr>
        <w:jc w:val="left"/>
      </w:pPr>
      <w:r>
        <w:rPr>
          <w:rFonts w:ascii="Georgia" w:hAnsi="Georgia"/>
          <w:sz w:val="22"/>
        </w:rPr>
        <w:t>Agree in advance on signals that the schedule needs review: regular sleep loss, missed meals, frequent unfinished work, falling attendance, persistent distress, or no time for recovery. These are reasons to talk with the student and school, not proof of laziness. Identify what can change—course level, activity hours, study routine, or access to help—and check the school’s deadlines for changing a class.</w:t>
      </w:r>
    </w:p>
    <w:p w14:paraId="73DEF674" w14:textId="77777777" w:rsidR="00FE1D37" w:rsidRDefault="00CA19A5">
      <w:pPr>
        <w:jc w:val="left"/>
      </w:pPr>
      <w:r>
        <w:rPr>
          <w:rFonts w:ascii="Georgia" w:hAnsi="Georgia"/>
          <w:sz w:val="22"/>
        </w:rPr>
        <w:t>Course rigor matters in context, but the student’s transcript is one part of a much larger application and life. A sustainable schedule that allows genuine learning is more useful than a workload chosen mainly to impress an unknown reader. Revisit the plan each term as the student’s interests, skills, health, and responsibilities change.</w:t>
      </w:r>
    </w:p>
    <w:p w14:paraId="4BA1AA04" w14:textId="77777777" w:rsidR="00FE1D37" w:rsidRDefault="00CA19A5">
      <w:pPr>
        <w:jc w:val="left"/>
      </w:pPr>
      <w:r>
        <w:rPr>
          <w:rFonts w:ascii="Georgia" w:hAnsi="Georgia"/>
          <w:sz w:val="22"/>
        </w:rPr>
        <w:t>A course plan should be reviewed at least once a year with the student and, when useful, a counselor. Bring graduation requirements, prerequisites, current grades, and the student’s likely weekly commitments. Ask which courses are required, which options are genuinely available, how workload differs, and whether a choice keeps future pathways open. Do not assume that a course title means the same thing across schools. A counselor can clarify local sequences and whether a particular class is expected for a program.</w:t>
      </w:r>
    </w:p>
    <w:p w14:paraId="14042842" w14:textId="77777777" w:rsidR="00FE1D37" w:rsidRDefault="00CA19A5">
      <w:pPr>
        <w:jc w:val="left"/>
      </w:pPr>
      <w:r>
        <w:rPr>
          <w:rFonts w:ascii="Georgia" w:hAnsi="Georgia"/>
          <w:sz w:val="22"/>
        </w:rPr>
        <w:t>If a student’s grades fall, look for the earliest point in the chain: missing prerequisite knowledge, unclear instructions, inconsistent attendance, organization difficulty, anxiety, a mismatch in teaching style, or a schedule with too many demands. Ask the teacher what skill is missing and what one change would help. Then agree on a short review date. A specific support plan is more useful than adding extra study hours without knowing why the current approach failed.</w:t>
      </w:r>
    </w:p>
    <w:p w14:paraId="7E89266B" w14:textId="77777777" w:rsidR="00FE1D37" w:rsidRDefault="00CA19A5">
      <w:pPr>
        <w:jc w:val="left"/>
      </w:pPr>
      <w:r>
        <w:rPr>
          <w:rFonts w:ascii="Georgia" w:hAnsi="Georgia"/>
          <w:sz w:val="22"/>
        </w:rPr>
        <w:t>For students with disabilities, chronic health conditions, language-learning needs, or uneven learning profiles, course choice should include an honest discussion of access. Ask what accommodations or services are available, how they are arranged, and what documentation is required. A student should not have to choose between being appropriately challenged and receiving support. Families may need to advocate, but should also help the student learn how to describe what works for them as they grow.</w:t>
      </w:r>
    </w:p>
    <w:p w14:paraId="6E93CAC8" w14:textId="77777777" w:rsidR="00557D37" w:rsidRDefault="00B54EE6">
      <w:pPr>
        <w:spacing w:after="200"/>
        <w:jc w:val="left"/>
      </w:pPr>
      <w:r>
        <w:rPr>
          <w:rFonts w:ascii="Georgia" w:hAnsi="Georgia"/>
          <w:sz w:val="22"/>
        </w:rPr>
        <w:t>Regular, honors, AP, IB, dual enrollment, and accelerated tracks matter more than the school sector label, but they remain downstream of readiness and work habits. The goal is an appropriately challenging load the student can sustain, not the maximum number of advanced labels.</w:t>
      </w:r>
    </w:p>
    <w:p w14:paraId="36D75ADC" w14:textId="77777777" w:rsidR="00557D37" w:rsidRDefault="00B54EE6">
      <w:pPr>
        <w:spacing w:after="200"/>
        <w:jc w:val="left"/>
      </w:pPr>
      <w:r>
        <w:rPr>
          <w:rFonts w:ascii="Georgia" w:hAnsi="Georgia"/>
          <w:sz w:val="22"/>
        </w:rPr>
        <w:t>Depth in two or three areas beats a long superficial list. Readiness first: a low grade in an advanced course is usually worse than a strong grade in a regular one. Sequence and school context count; readers know what each high school offers. External exam scores are optional evidence. Total load must leave room for sleep and sustained interests.</w:t>
      </w:r>
    </w:p>
    <w:p w14:paraId="7EC57BAA" w14:textId="77777777" w:rsidR="00557D37" w:rsidRDefault="00B54EE6">
      <w:pPr>
        <w:pStyle w:val="Heading2"/>
        <w:keepNext/>
        <w:jc w:val="center"/>
      </w:pPr>
      <w:r>
        <w:rPr>
          <w:rFonts w:ascii="Georgia" w:hAnsi="Georgia"/>
          <w:b/>
          <w:color w:val="2A5CAA"/>
          <w:sz w:val="25"/>
        </w:rPr>
        <w:t>ACT and SAT Preparation</w:t>
      </w:r>
    </w:p>
    <w:p w14:paraId="79262F7A" w14:textId="77777777" w:rsidR="00557D37" w:rsidRDefault="00B54EE6">
      <w:pPr>
        <w:spacing w:after="200"/>
        <w:jc w:val="left"/>
      </w:pPr>
      <w:r>
        <w:rPr>
          <w:rFonts w:ascii="Georgia" w:hAnsi="Georgia"/>
          <w:sz w:val="22"/>
        </w:rPr>
        <w:t>Begin once the student has the underlying skills, typically mid-to-late sophomore or early junior year. Give one official timed practice test as a diagnostic. If content gaps are large, close them in coursework first. Junior year is the main window.</w:t>
      </w:r>
    </w:p>
    <w:p w14:paraId="48F84BF0" w14:textId="77777777" w:rsidR="00557D37" w:rsidRDefault="00B54EE6">
      <w:pPr>
        <w:spacing w:after="200"/>
        <w:jc w:val="left"/>
      </w:pPr>
      <w:r>
        <w:rPr>
          <w:rFonts w:ascii="Georgia" w:hAnsi="Georgia"/>
          <w:sz w:val="22"/>
        </w:rPr>
        <w:t>Use official practice tests under real timing every one to two weeks during active preparation. Review missed questions for content, misreading, or timing, then drill that type. Keep weekly volume moderate and protect sleep. Most students need at most two or three sittings. Try one practice test of each exam and continue with the better fit. Expensive courses are optional; deliberate practice on official materials is the core.</w:t>
      </w:r>
    </w:p>
    <w:p w14:paraId="78861053" w14:textId="77777777" w:rsidR="00557D37" w:rsidRDefault="00B54EE6">
      <w:pPr>
        <w:pStyle w:val="Heading2"/>
        <w:keepNext/>
        <w:jc w:val="center"/>
      </w:pPr>
      <w:r>
        <w:rPr>
          <w:rFonts w:ascii="Georgia" w:hAnsi="Georgia"/>
          <w:b/>
          <w:color w:val="2A5CAA"/>
          <w:sz w:val="25"/>
        </w:rPr>
        <w:t>Months-Before Timeline</w:t>
      </w:r>
    </w:p>
    <w:p w14:paraId="4A2D2DB2" w14:textId="77777777" w:rsidR="00557D37" w:rsidRDefault="00B54EE6">
      <w:pPr>
        <w:spacing w:after="200"/>
        <w:jc w:val="left"/>
      </w:pPr>
      <w:r>
        <w:rPr>
          <w:rFonts w:ascii="Georgia" w:hAnsi="Georgia"/>
          <w:sz w:val="22"/>
        </w:rPr>
        <w:t>4–6 months before target date: Take one official diagnostic of each test if undecided. Identify the better fit. List content gaps from the diagnostic and from current coursework. Begin light, steady practice (2–4 hours per week) focused on the largest gaps while keeping regular schoolwork primary. Build or maintain the reading habit.</w:t>
      </w:r>
    </w:p>
    <w:p w14:paraId="423EF515" w14:textId="77777777" w:rsidR="00557D37" w:rsidRDefault="00B54EE6">
      <w:pPr>
        <w:spacing w:after="200"/>
        <w:jc w:val="left"/>
      </w:pPr>
      <w:r>
        <w:rPr>
          <w:rFonts w:ascii="Georgia" w:hAnsi="Georgia"/>
          <w:sz w:val="22"/>
        </w:rPr>
        <w:t>2–3 months before: Increase to one full timed official practice test every 1–2 weeks. Review every miss the same day and drill only those types. Keep a short error log. Volume stays moderate so sleep and current classes are protected. Register for the real test date that leaves room for one retake if needed.</w:t>
      </w:r>
    </w:p>
    <w:p w14:paraId="044D044B" w14:textId="77777777" w:rsidR="00557D37" w:rsidRDefault="00B54EE6">
      <w:pPr>
        <w:spacing w:after="200"/>
        <w:jc w:val="left"/>
      </w:pPr>
      <w:r>
        <w:rPr>
          <w:rFonts w:ascii="Georgia" w:hAnsi="Georgia"/>
          <w:sz w:val="22"/>
        </w:rPr>
        <w:t>Final 4–6 weeks: Continue full practice tests on the same schedule. Shift emphasis to timing strategy and mixed review of the error log. No new heavy content. Confirm registration, test-center details, and what to bring. Taper in the last week to light review only.</w:t>
      </w:r>
    </w:p>
    <w:p w14:paraId="19AA66AC" w14:textId="77777777" w:rsidR="00557D37" w:rsidRDefault="00B54EE6">
      <w:pPr>
        <w:spacing w:after="200"/>
        <w:jc w:val="left"/>
      </w:pPr>
      <w:r>
        <w:rPr>
          <w:rFonts w:ascii="Georgia" w:hAnsi="Georgia"/>
          <w:sz w:val="22"/>
        </w:rPr>
        <w:t>If practice scores plateau early, additional months of the same work rarely help; either close a remaining content gap through coursework or accept the current range and focus on the rest of the application. The timeline assumes the student, not only a parent or tutor, does the practice and review.</w:t>
      </w:r>
    </w:p>
    <w:p w14:paraId="39319B84" w14:textId="77777777" w:rsidR="00557D37" w:rsidRDefault="00B54EE6">
      <w:pPr>
        <w:pStyle w:val="Heading2"/>
        <w:keepNext/>
        <w:jc w:val="center"/>
      </w:pPr>
      <w:r>
        <w:rPr>
          <w:rFonts w:ascii="Georgia" w:hAnsi="Georgia"/>
          <w:b/>
          <w:color w:val="2A5CAA"/>
          <w:sz w:val="25"/>
        </w:rPr>
        <w:t>The Day and Night Before</w:t>
      </w:r>
    </w:p>
    <w:p w14:paraId="3F27F849" w14:textId="77777777" w:rsidR="00557D37" w:rsidRDefault="00B54EE6">
      <w:pPr>
        <w:spacing w:after="200"/>
        <w:jc w:val="left"/>
      </w:pPr>
      <w:r>
        <w:rPr>
          <w:rFonts w:ascii="Georgia" w:hAnsi="Georgia"/>
          <w:sz w:val="22"/>
        </w:rPr>
        <w:t>Do no heavy new studying. Light review of an error log or a few familiar problem types is enough; cramming raises anxiety without raising scores. Pack the bag the night before: admission ticket, photo ID, approved calculator with fresh batteries, pencils, snack, and water. Confirm the test center address and arrival time.</w:t>
      </w:r>
    </w:p>
    <w:p w14:paraId="7B6CE07B" w14:textId="77777777" w:rsidR="00557D37" w:rsidRDefault="00B54EE6">
      <w:pPr>
        <w:spacing w:after="200"/>
        <w:jc w:val="left"/>
      </w:pPr>
      <w:r>
        <w:rPr>
          <w:rFonts w:ascii="Georgia" w:hAnsi="Georgia"/>
          <w:sz w:val="22"/>
        </w:rPr>
        <w:t>Eat a normal dinner. Avoid large amounts of caffeine or sugar. Set out clothes and the packed bag. Aim for the student’s regular bedtime so total sleep is in the normal range. A slightly earlier night is fine; a drastically different schedule is not.</w:t>
      </w:r>
    </w:p>
    <w:p w14:paraId="1AECD854" w14:textId="77777777" w:rsidR="00557D37" w:rsidRDefault="00B54EE6">
      <w:pPr>
        <w:pStyle w:val="Heading2"/>
        <w:keepNext/>
        <w:jc w:val="center"/>
      </w:pPr>
      <w:r>
        <w:rPr>
          <w:rFonts w:ascii="Georgia" w:hAnsi="Georgia"/>
          <w:b/>
          <w:color w:val="2A5CAA"/>
          <w:sz w:val="25"/>
        </w:rPr>
        <w:t>Test Day</w:t>
      </w:r>
    </w:p>
    <w:p w14:paraId="0B33DBEC" w14:textId="77777777" w:rsidR="00557D37" w:rsidRDefault="00B54EE6">
      <w:pPr>
        <w:spacing w:after="200"/>
        <w:jc w:val="left"/>
      </w:pPr>
      <w:r>
        <w:rPr>
          <w:rFonts w:ascii="Georgia" w:hAnsi="Georgia"/>
          <w:sz w:val="22"/>
        </w:rPr>
        <w:t>Wake at the usual time or slightly earlier. Eat a familiar breakfast that includes some protein and is not overly heavy. Leave early enough to arrive 15–30 minutes before the stated start without rushing. Use the restroom before check-in.</w:t>
      </w:r>
    </w:p>
    <w:p w14:paraId="5F889232" w14:textId="77777777" w:rsidR="00557D37" w:rsidRDefault="00B54EE6">
      <w:pPr>
        <w:spacing w:after="200"/>
        <w:jc w:val="left"/>
      </w:pPr>
      <w:r>
        <w:rPr>
          <w:rFonts w:ascii="Georgia" w:hAnsi="Georgia"/>
          <w:sz w:val="22"/>
        </w:rPr>
        <w:t>During the test, follow the timing strategy already practiced: answer easier questions first within each section, mark and return to harder ones if time remains, and avoid spending too long on any single item. Use breaks to eat the snack, drink water, and move briefly. Do not discuss answers or remaining sections with other students.</w:t>
      </w:r>
    </w:p>
    <w:p w14:paraId="155D817A" w14:textId="77777777" w:rsidR="00557D37" w:rsidRDefault="00B54EE6">
      <w:pPr>
        <w:spacing w:after="200"/>
        <w:jc w:val="left"/>
      </w:pPr>
      <w:r>
        <w:rPr>
          <w:rFonts w:ascii="Georgia" w:hAnsi="Georgia"/>
          <w:sz w:val="22"/>
        </w:rPr>
        <w:t>After the test, the useful next step is rest. Score release takes days to weeks. Decide on any retake only after seeing the score and comparing it with recent practice results.</w:t>
      </w:r>
    </w:p>
    <w:p w14:paraId="3F3CDBB8" w14:textId="77777777" w:rsidR="00557D37" w:rsidRDefault="00B54EE6">
      <w:pPr>
        <w:pStyle w:val="Heading2"/>
        <w:keepNext/>
        <w:jc w:val="center"/>
      </w:pPr>
      <w:r>
        <w:rPr>
          <w:rFonts w:ascii="Georgia" w:hAnsi="Georgia"/>
          <w:b/>
          <w:color w:val="2A5CAA"/>
          <w:sz w:val="25"/>
        </w:rPr>
        <w:t>Tutoring</w:t>
      </w:r>
    </w:p>
    <w:p w14:paraId="1CC5F6BD" w14:textId="77777777" w:rsidR="00557D37" w:rsidRDefault="00B54EE6">
      <w:pPr>
        <w:spacing w:after="200"/>
        <w:jc w:val="left"/>
      </w:pPr>
      <w:r>
        <w:rPr>
          <w:rFonts w:ascii="Georgia" w:hAnsi="Georgia"/>
          <w:sz w:val="22"/>
        </w:rPr>
        <w:t>Tutoring helps with narrow, identified gaps when the student will practice between sessions and cheaper feedback is unavailable. It adds little for general enrichment or when the tutor does the thinking. Try teacher help, official materials, or parent review first. If hiring, use a short trial aimed at one measurable target. Many students reach strong grades and scores without paid tutoring.</w:t>
      </w:r>
    </w:p>
    <w:p w14:paraId="719782C7" w14:textId="77777777" w:rsidR="00557D37" w:rsidRDefault="00B54EE6">
      <w:pPr>
        <w:pStyle w:val="Heading2"/>
        <w:keepNext/>
        <w:jc w:val="center"/>
      </w:pPr>
      <w:r>
        <w:rPr>
          <w:rFonts w:ascii="Georgia" w:hAnsi="Georgia"/>
          <w:b/>
          <w:color w:val="2A5CAA"/>
          <w:sz w:val="25"/>
        </w:rPr>
        <w:t>Retakes and Improving Later Tests</w:t>
      </w:r>
    </w:p>
    <w:p w14:paraId="5C810F7E" w14:textId="77777777" w:rsidR="00FE1D37" w:rsidRDefault="00CA19A5">
      <w:pPr>
        <w:jc w:val="left"/>
      </w:pPr>
      <w:r>
        <w:rPr>
          <w:rFonts w:ascii="Georgia" w:hAnsi="Georgia"/>
          <w:sz w:val="22"/>
        </w:rPr>
        <w:t>A retake request is most credible when it begins with responsibility. The student can identify what went wrong, show the corrected learning, and ask whether the course policy offers a path to demonstrate it. A parent may help the student prepare the question, but the student should make the first contact when developmentally appropriate. If the answer is no, ask whether corrections, reassessment in a later unit, office hours, or a different study approach are available. The practical goal is mastery and a better next performance, not forcing an exception.</w:t>
      </w:r>
    </w:p>
    <w:p w14:paraId="5E3C30B5" w14:textId="77777777" w:rsidR="00FE1D37" w:rsidRDefault="00CA19A5">
      <w:pPr>
        <w:jc w:val="left"/>
      </w:pPr>
      <w:r>
        <w:rPr>
          <w:rFonts w:ascii="Georgia" w:hAnsi="Georgia"/>
          <w:sz w:val="22"/>
        </w:rPr>
        <w:t>For standardized tests, select preparation materials that match the exam actually being taken and the student’s current needs. Start with the official test maker’s free practice questions and full-length tests so the format and timing are authentic. A targeted book or course can help if it addresses a diagnosed gap, such as grammar rules, algebra, reading evidence, or pacing. Avoid collecting multiple prep books before the student has completed and reviewed one diagnostic; more materials can create the appearance of preparation without the feedback loop that changes results.</w:t>
      </w:r>
    </w:p>
    <w:p w14:paraId="46258B16" w14:textId="77777777" w:rsidR="00FE1D37" w:rsidRDefault="00CA19A5">
      <w:pPr>
        <w:jc w:val="left"/>
      </w:pPr>
      <w:r>
        <w:rPr>
          <w:rFonts w:ascii="Georgia" w:hAnsi="Georgia"/>
          <w:sz w:val="22"/>
        </w:rPr>
        <w:t>A prep class is most useful when it supplies structure, timely feedback, and practice the student will not complete independently. Before paying, ask how much class time is spent reviewing individual errors, what work happens between sessions, and how progress is measured. A large course that teaches broad strategies may be a poor fit for a student whose main issue is one content gap. A short tutoring trial tied to a clear goal may be more efficient. Neither a course nor a book guarantees a score increase.</w:t>
      </w:r>
    </w:p>
    <w:p w14:paraId="2955A415" w14:textId="77777777" w:rsidR="00FE1D37" w:rsidRDefault="00CA19A5">
      <w:pPr>
        <w:jc w:val="left"/>
      </w:pPr>
      <w:r>
        <w:rPr>
          <w:rFonts w:ascii="Georgia" w:hAnsi="Georgia"/>
          <w:sz w:val="22"/>
        </w:rPr>
        <w:t>For reading and writing questions, the transferable habit is to point to evidence in the passage and apply a rule consistently. The student can explain why the chosen answer is supported and why a tempting alternative is not. For math, write enough intermediate steps to locate the first point where reasoning diverges. Keep an error log short: topic, reason for the miss, and the next practice action. Reviewing patterns matters more than recording every question in detail.</w:t>
      </w:r>
    </w:p>
    <w:p w14:paraId="55849258" w14:textId="77777777" w:rsidR="00557D37" w:rsidRDefault="00B54EE6">
      <w:pPr>
        <w:spacing w:after="200"/>
        <w:jc w:val="left"/>
      </w:pPr>
      <w:r>
        <w:rPr>
          <w:rFonts w:ascii="Georgia" w:hAnsi="Georgia"/>
          <w:sz w:val="22"/>
        </w:rPr>
        <w:t>Retakes are not always available. Classroom retake or correction policies are set by the individual teacher or school. Some allow them with conditions, some cap the score, and many do not allow them at all. Finals and state tests are rarely retakable. Ask early or check the syllabus; do not assume a low score can be repaired.</w:t>
      </w:r>
    </w:p>
    <w:p w14:paraId="59EF1634" w14:textId="77777777" w:rsidR="00557D37" w:rsidRDefault="00B54EE6">
      <w:pPr>
        <w:spacing w:after="200"/>
        <w:jc w:val="left"/>
      </w:pPr>
      <w:r>
        <w:rPr>
          <w:rFonts w:ascii="Georgia" w:hAnsi="Georgia"/>
          <w:sz w:val="22"/>
        </w:rPr>
        <w:t>Nothing guarantees a higher retake score, but deliberate repair of the specific errors raises the odds. For a classroom test: obtain the original, sort missed items into content gaps versus careless errors, relearn and redrill only those topics with new problems, then do a short timed mixed set before the retake. On the retake, slow down on the previously weak types.</w:t>
      </w:r>
    </w:p>
    <w:p w14:paraId="4433B9BC" w14:textId="77777777" w:rsidR="00557D37" w:rsidRDefault="00B54EE6">
      <w:pPr>
        <w:spacing w:after="200"/>
        <w:jc w:val="left"/>
      </w:pPr>
      <w:r>
        <w:rPr>
          <w:rFonts w:ascii="Georgia" w:hAnsi="Georgia"/>
          <w:sz w:val="22"/>
        </w:rPr>
        <w:t>For ACT or SAT: take a fresh official timed practice test as the new baseline, tag every miss as content, misread, or timing, drill only the weak types, and retest with another full practice exam after one to two weeks. Continue only if practice scores rise. Most students gain modestly after two or three real sittings if they have practiced; further attempts yield little. Superscoring makes a targeted section retake rational. Allow weeks, not days, and protect sleep.</w:t>
      </w:r>
    </w:p>
    <w:p w14:paraId="0F6929E8" w14:textId="77777777" w:rsidR="00557D37" w:rsidRDefault="00B54EE6">
      <w:pPr>
        <w:spacing w:after="200"/>
        <w:jc w:val="left"/>
      </w:pPr>
      <w:r>
        <w:rPr>
          <w:rFonts w:ascii="Georgia" w:hAnsi="Georgia"/>
          <w:sz w:val="22"/>
        </w:rPr>
        <w:t>To request a classroom retake when policy is unclear: choose a calm moment, lead with the specific topics missed, and offer to complete review work first. Say you want to show corrected understanding, not merely raise the grade. Accept a refusal without argument and ask what to focus on next. A responsible student making a one-time, prepared request sometimes receives an exception; demands or parent-led arguments usually fail.</w:t>
      </w:r>
    </w:p>
    <w:p w14:paraId="50795D22" w14:textId="77777777" w:rsidR="00557D37" w:rsidRDefault="00B54EE6">
      <w:pPr>
        <w:spacing w:after="200"/>
        <w:jc w:val="left"/>
      </w:pPr>
      <w:r>
        <w:rPr>
          <w:rFonts w:ascii="Georgia" w:hAnsi="Georgia"/>
          <w:sz w:val="22"/>
        </w:rPr>
        <w:t>To make subsequent tests better the first time: keep a running error log from every returned test, redrill weak types within a few days, do mixed practice under mild time pressure before the next exam, and fix the preparation habit (incomplete homework, last-minute cramming, or misreading) that produced the original misses. Consistent first-time preparation outperforms repeated retake cycles.</w:t>
      </w:r>
    </w:p>
    <w:p w14:paraId="5AF6AF80" w14:textId="77777777" w:rsidR="00557D37" w:rsidRDefault="00B54EE6">
      <w:pPr>
        <w:pStyle w:val="Heading2"/>
        <w:keepNext/>
        <w:jc w:val="center"/>
      </w:pPr>
      <w:r>
        <w:rPr>
          <w:rFonts w:ascii="Georgia" w:hAnsi="Georgia"/>
          <w:b/>
          <w:color w:val="2A5CAA"/>
          <w:sz w:val="25"/>
        </w:rPr>
        <w:t>Testing Without Making It the Whole Story</w:t>
      </w:r>
    </w:p>
    <w:p w14:paraId="44B7ACA6" w14:textId="77777777" w:rsidR="00557D37" w:rsidRDefault="00B54EE6">
      <w:pPr>
        <w:spacing w:after="200"/>
        <w:jc w:val="left"/>
      </w:pPr>
      <w:r>
        <w:rPr>
          <w:rFonts w:ascii="Georgia" w:hAnsi="Georgia"/>
          <w:sz w:val="22"/>
        </w:rPr>
        <w:t>Testing policies change. Prepare seriously, then decide later whether to submit scores. Do not let testing become the only conversation or displace sleep and sustained interests.</w:t>
      </w:r>
    </w:p>
    <w:p w14:paraId="55672C67" w14:textId="77777777" w:rsidR="00557D37" w:rsidRDefault="00B54EE6">
      <w:pPr>
        <w:spacing w:after="200"/>
        <w:jc w:val="left"/>
      </w:pPr>
      <w:r>
        <w:rPr>
          <w:rFonts w:ascii="Georgia" w:hAnsi="Georgia"/>
          <w:sz w:val="22"/>
        </w:rPr>
        <w:t>Testing policies change. Some colleges are test-optional, some require scores, and the rules can shift. The practical stance is to prepare the student to take the relevant tests seriously, then decide later whether to submit based on the results and the current policy of each college.</w:t>
      </w:r>
    </w:p>
    <w:p w14:paraId="721F4BEC" w14:textId="77777777" w:rsidR="00557D37" w:rsidRDefault="00B54EE6">
      <w:pPr>
        <w:spacing w:after="200"/>
        <w:jc w:val="left"/>
      </w:pPr>
      <w:r>
        <w:rPr>
          <w:rFonts w:ascii="Georgia" w:hAnsi="Georgia"/>
          <w:sz w:val="22"/>
        </w:rPr>
        <w:t>Preparation that works is ordinary: official practice tests under timed conditions, review of missed questions, and enough repetition that the format is no longer a surprise. Expensive prep courses help some students and not others. The variable that predicts improvement is the amount of deliberate practice, not the brand of the course.</w:t>
      </w:r>
    </w:p>
    <w:p w14:paraId="35B09B24" w14:textId="77777777" w:rsidR="00557D37" w:rsidRDefault="00B54EE6">
      <w:pPr>
        <w:spacing w:after="200"/>
        <w:jc w:val="left"/>
      </w:pPr>
      <w:r>
        <w:rPr>
          <w:rFonts w:ascii="Georgia" w:hAnsi="Georgia"/>
          <w:sz w:val="22"/>
        </w:rPr>
        <w:t>Do not let testing become the only conversation. A student who can solve problems and write clearly will still need those skills after the score is submitted.</w:t>
      </w:r>
    </w:p>
    <w:p w14:paraId="533C780A" w14:textId="77777777" w:rsidR="00FE1D37" w:rsidRDefault="00CA19A5">
      <w:pPr>
        <w:pStyle w:val="Heading2"/>
        <w:keepNext/>
        <w:jc w:val="center"/>
      </w:pPr>
      <w:r>
        <w:rPr>
          <w:rFonts w:ascii="Georgia" w:hAnsi="Georgia"/>
          <w:b/>
          <w:color w:val="2A5CAA"/>
          <w:sz w:val="25"/>
        </w:rPr>
        <w:t>Choosing Test-Preparation Materials</w:t>
      </w:r>
    </w:p>
    <w:p>
      <w:pPr>
        <w:pStyle w:val="Heading2"/>
        <w:jc w:val="center"/>
      </w:pPr>
      <w:r>
        <w:rPr>
          <w:rFonts w:ascii="Georgia" w:hAnsi="Georgia"/>
          <w:b/>
          <w:color w:val="2A5CAA"/>
          <w:sz w:val="25"/>
        </w:rPr>
        <w:t>Practice with Feedback, Not Just More Tests</w:t>
      </w:r>
    </w:p>
    <w:p>
      <w:pPr>
        <w:jc w:val="left"/>
      </w:pPr>
      <w:r>
        <w:rPr>
          <w:rFonts w:ascii="Georgia" w:hAnsi="Georgia"/>
          <w:sz w:val="22"/>
        </w:rPr>
        <w:t>The ACT’s format is changing, and science and writing may be optional depending on the test administration. Check the current ACT test details for the student’s registration and the requirements of colleges on the student’s list. The Official ACT Prep Guide 2026–2027 reflects the current format, but families should still verify that a specific test date and administration match the guide.</w:t>
      </w:r>
    </w:p>
    <w:p>
      <w:pPr>
        <w:jc w:val="left"/>
      </w:pPr>
      <w:r>
        <w:rPr>
          <w:rFonts w:ascii="Georgia" w:hAnsi="Georgia"/>
          <w:sz w:val="22"/>
        </w:rPr>
        <w:t>For the Love of ACT Science by Michael Cerro offers a strategy-focused approach to interpreting data and experiments. Because it was published in 2015, treat it as a supplemental explanation rather than the authority on today’s ACT format. Compare its examples with current official ACT questions. Likewise, older print editions of The Official SAT Study Guide can help with underlying skills, but use College Board’s Bluebook practice tests to learn the current digital SAT interface and format.</w:t>
      </w:r>
    </w:p>
    <w:p>
      <w:pPr>
        <w:jc w:val="left"/>
      </w:pPr>
      <w:r>
        <w:rPr>
          <w:rFonts w:ascii="Georgia" w:hAnsi="Georgia"/>
          <w:sz w:val="22"/>
        </w:rPr>
        <w:t>Outliers popularizes practice as one ingredient in achievement, but its stories are not a schedule for a specific exam. The Perfect Score Project is a parent’s account of intensive preparation, not a target for every family. For SAT or ACT work, ask whether practice reveals a gap the student can actually address.</w:t>
      </w:r>
    </w:p>
    <w:p>
      <w:pPr>
        <w:jc w:val="left"/>
      </w:pPr>
      <w:r>
        <w:rPr>
          <w:rFonts w:ascii="Georgia" w:hAnsi="Georgia"/>
          <w:sz w:val="22"/>
        </w:rPr>
        <w:t>After a practice set, have the student explain one missed question: What did they think it asked? Which fact, rule, or passage mattered? What made the wrong answer tempting? Choose a short drill that targets that pattern. A simple error log is enough; simplify it if maintaining it becomes more work than using it.</w:t>
      </w:r>
    </w:p>
    <w:p>
      <w:pPr>
        <w:jc w:val="left"/>
      </w:pPr>
      <w:r>
        <w:rPr>
          <w:rFonts w:ascii="Georgia" w:hAnsi="Georgia"/>
          <w:sz w:val="22"/>
        </w:rPr>
        <w:t>Use official materials to learn the current exam structure, then select a supplemental resource only for a specific need. Check edition dates, sample pages, and test-maker guidance before buying. Set a weekly time limit that protects schoolwork, sleep, and activities the student values.</w:t>
      </w:r>
    </w:p>
    <w:p w14:paraId="51D5E7CE" w14:textId="77777777" w:rsidR="00FE1D37" w:rsidRDefault="00CA19A5">
      <w:pPr>
        <w:jc w:val="left"/>
      </w:pPr>
      <w:r>
        <w:rPr>
          <w:rFonts w:ascii="Georgia" w:hAnsi="Georgia"/>
          <w:sz w:val="22"/>
        </w:rPr>
        <w:t>Start with the official practice environment for the test the student will actually take. For the digital SAT, College Board’s Bluebook app provides official full-length practice tests. For the ACT, use current official preparation materials and confirm that any book or course matches the current test format. Test formats, policies, and editions change; older books may still help with underlying skills but may not reflect the live exam.</w:t>
      </w:r>
    </w:p>
    <w:p w14:paraId="162AB151" w14:textId="77777777" w:rsidR="00FE1D37" w:rsidRDefault="00CA19A5">
      <w:pPr>
        <w:jc w:val="left"/>
      </w:pPr>
      <w:r>
        <w:rPr>
          <w:rFonts w:ascii="Georgia" w:hAnsi="Georgia"/>
          <w:sz w:val="22"/>
        </w:rPr>
        <w:t>Third-party resources can help with a specific gap. Compare current editions of College Panda SAT Math or Erica Meltzer SAT Reading and Writing and ACT English materials, checking dates and sample lessons. For ACT Science, first check the current ACT format; older strategy books may not align fully with a revised test. No commercial title is essential.</w:t>
      </w:r>
    </w:p>
    <w:p w14:paraId="7EE11DFB" w14:textId="77777777" w:rsidR="00FE1D37" w:rsidRDefault="00CA19A5">
      <w:pPr>
        <w:jc w:val="left"/>
      </w:pPr>
      <w:r>
        <w:rPr>
          <w:rFonts w:ascii="Georgia" w:hAnsi="Georgia"/>
          <w:sz w:val="22"/>
        </w:rPr>
        <w:t>Take one official diagnostic, identify recurring gaps, study those skills, then review another official practice set. Keep an error log for content gaps, misreads, and timing; use it to choose the next lesson rather than repeating tests without reflection. The Perfect Score Project is a parent’s account of intensive preparation, not a recommended schedule; Outliers is a popular narrative about achievement, not a test-prep manual.</w:t>
      </w:r>
    </w:p>
    <w:p w14:paraId="1D4810CF" w14:textId="77777777" w:rsidR="00FE1D37" w:rsidRDefault="00CA19A5">
      <w:pPr>
        <w:jc w:val="left"/>
      </w:pPr>
      <w:r>
        <w:rPr>
          <w:rFonts w:ascii="Georgia" w:hAnsi="Georgia"/>
          <w:sz w:val="22"/>
        </w:rPr>
        <w:t>Scores are one part of an application and do not make admission outcomes predictable. Each institution sets its own testing policy, which can change by cycle. Check its current official page before deciding whether to test or submit results.</w:t>
      </w:r>
    </w:p>
    <w:p>
      <w:pPr>
        <w:jc w:val="left"/>
      </w:pPr>
      <w:r>
        <w:rPr>
          <w:rFonts w:ascii="Georgia" w:hAnsi="Georgia"/>
          <w:sz w:val="22"/>
        </w:rPr>
        <w:t>A short example: the student misses several questions because they rush through a graph. The next practice session can focus on reading axes, units, and trends before looking at answer choices. After the set, the student explains one correct and one incorrect answer. If the pattern improves, move on; if it does not, change the explanation or ask a teacher for help. This is more informative than adding another full test automatically.</w:t>
      </w:r>
    </w:p>
    <w:p>
      <w:pPr>
        <w:jc w:val="left"/>
      </w:pPr>
      <w:r>
        <w:rPr>
          <w:rFonts w:ascii="Georgia" w:hAnsi="Georgia"/>
          <w:sz w:val="22"/>
        </w:rPr>
        <w:t>The error log is less photogenic than a score report, which is one reason it can be more useful.</w:t>
      </w:r>
    </w:p>
    <w:p>
      <w:pPr>
        <w:jc w:val="left"/>
      </w:pPr>
      <w:r>
        <w:rPr>
          <w:rFonts w:ascii="Georgia" w:hAnsi="Georgia"/>
          <w:sz w:val="22"/>
        </w:rPr>
        <w:t>A compact error log turns review into a next step. This sample is illustrative; the student should use a real missed question.</w:t>
      </w:r>
    </w:p>
    <w:tbl>
      <w:tblPr>
        <w:tblW w:type="auto" w:w="0"/>
        <w:tblLook w:firstColumn="1" w:firstRow="1" w:lastColumn="0" w:lastRow="0" w:noHBand="0" w:noVBand="1" w:val="04A0"/>
      </w:tblPr>
      <w:tblGrid>
        <w:gridCol w:w="1440"/>
        <w:gridCol w:w="1440"/>
        <w:gridCol w:w="1440"/>
      </w:tblGrid>
      <w:tr>
        <w:tc>
          <w:tcPr>
            <w:tcW w:type="dxa" w:w="1440"/>
          </w:tcPr>
          <w:p>
            <w:r>
              <w:rPr>
                <w:rFonts w:ascii="Georgia" w:hAnsi="Georgia"/>
                <w:b/>
                <w:color w:val="2A5CAA"/>
                <w:sz w:val="19"/>
              </w:rPr>
              <w:t>Missed skill</w:t>
            </w:r>
          </w:p>
        </w:tc>
        <w:tc>
          <w:tcPr>
            <w:tcW w:type="dxa" w:w="1440"/>
          </w:tcPr>
          <w:p>
            <w:r>
              <w:rPr>
                <w:rFonts w:ascii="Georgia" w:hAnsi="Georgia"/>
                <w:b/>
                <w:color w:val="2A5CAA"/>
                <w:sz w:val="19"/>
              </w:rPr>
              <w:t>Why the answer seemed right</w:t>
            </w:r>
          </w:p>
        </w:tc>
        <w:tc>
          <w:tcPr>
            <w:tcW w:type="dxa" w:w="1440"/>
          </w:tcPr>
          <w:p>
            <w:r>
              <w:rPr>
                <w:rFonts w:ascii="Georgia" w:hAnsi="Georgia"/>
                <w:b/>
                <w:color w:val="2A5CAA"/>
                <w:sz w:val="19"/>
              </w:rPr>
              <w:t>Next practice</w:t>
            </w:r>
          </w:p>
        </w:tc>
      </w:tr>
      <w:tr>
        <w:tc>
          <w:tcPr>
            <w:tcW w:type="dxa" w:w="1440"/>
          </w:tcPr>
          <w:p>
            <w:r>
              <w:rPr>
                <w:rFonts w:ascii="Georgia" w:hAnsi="Georgia"/>
                <w:sz w:val="18"/>
              </w:rPr>
              <w:t>Negative signs</w:t>
            </w:r>
          </w:p>
        </w:tc>
        <w:tc>
          <w:tcPr>
            <w:tcW w:type="dxa" w:w="1440"/>
          </w:tcPr>
          <w:p>
            <w:r>
              <w:rPr>
                <w:rFonts w:ascii="Georgia" w:hAnsi="Georgia"/>
                <w:sz w:val="18"/>
              </w:rPr>
              <w:t>Copied the term correctly but changed its sign in the next line</w:t>
            </w:r>
          </w:p>
        </w:tc>
        <w:tc>
          <w:tcPr>
            <w:tcW w:type="dxa" w:w="1440"/>
          </w:tcPr>
          <w:p>
            <w:r>
              <w:rPr>
                <w:rFonts w:ascii="Georgia" w:hAnsi="Georgia"/>
                <w:sz w:val="18"/>
              </w:rPr>
              <w:t>Work five sign-focused problems; check each line before moving on</w:t>
            </w:r>
          </w:p>
        </w:tc>
      </w:tr>
      <w:tr>
        <w:tc>
          <w:tcPr>
            <w:tcW w:type="dxa" w:w="1440"/>
          </w:tcPr>
          <w:p>
            <w:r>
              <w:rPr>
                <w:rFonts w:ascii="Georgia" w:hAnsi="Georgia"/>
                <w:sz w:val="18"/>
              </w:rPr>
              <w:t>Reading inference</w:t>
            </w:r>
          </w:p>
        </w:tc>
        <w:tc>
          <w:tcPr>
            <w:tcW w:type="dxa" w:w="1440"/>
          </w:tcPr>
          <w:p>
            <w:r>
              <w:rPr>
                <w:rFonts w:ascii="Georgia" w:hAnsi="Georgia"/>
                <w:sz w:val="18"/>
              </w:rPr>
              <w:t>Chose an answer that sounded reasonable but was not supported by the passage</w:t>
            </w:r>
          </w:p>
        </w:tc>
        <w:tc>
          <w:tcPr>
            <w:tcW w:type="dxa" w:w="1440"/>
          </w:tcPr>
          <w:p>
            <w:r>
              <w:rPr>
                <w:rFonts w:ascii="Georgia" w:hAnsi="Georgia"/>
                <w:sz w:val="18"/>
              </w:rPr>
              <w:t>Underline the evidence before selecting an answer</w:t>
            </w:r>
          </w:p>
        </w:tc>
      </w:tr>
    </w:tbl>
    <w:p>
      <w:pPr>
        <w:pStyle w:val="Heading2"/>
        <w:jc w:val="center"/>
      </w:pPr>
      <w:r>
        <w:rPr>
          <w:rFonts w:ascii="Georgia" w:hAnsi="Georgia"/>
          <w:b/>
          <w:color w:val="2A5CAA"/>
          <w:sz w:val="25"/>
        </w:rPr>
        <w:t>A Test-Preparation Cycle That Teaches</w:t>
      </w:r>
    </w:p>
    <w:p>
      <w:pPr>
        <w:jc w:val="left"/>
      </w:pPr>
      <w:r>
        <w:rPr>
          <w:rFonts w:ascii="Georgia" w:hAnsi="Georgia"/>
          <w:sz w:val="22"/>
        </w:rPr>
        <w:t>Begin with a diagnostic whose purpose is planning, not labeling. Use official materials for the exam the student may take, under reasonably realistic timing, and record more than the score. Note which question types took too long, which errors came from misunderstanding, which came from rushing, and which came from content gaps. A student who misses several geometry questions needs a different plan from one who knows the math but loses time checking every answer twice.</w:t>
      </w:r>
    </w:p>
    <w:p>
      <w:pPr>
        <w:jc w:val="left"/>
      </w:pPr>
      <w:r>
        <w:rPr>
          <w:rFonts w:ascii="Georgia" w:hAnsi="Georgia"/>
          <w:sz w:val="22"/>
        </w:rPr>
        <w:t>Build a weekly cycle around a modest number of focused sessions. One session can teach or review a skill; another can use a short timed set; a third can revisit missed questions without looking at the explanation first. Keep an error log with four fields: the question or skill, why the first answer seemed plausible, what the correct reasoning requires, and what cue to watch for next time. Review the log weekly and choose only one or two recurring patterns to target.</w:t>
      </w:r>
    </w:p>
    <w:p>
      <w:pPr>
        <w:jc w:val="left"/>
      </w:pPr>
      <w:r>
        <w:rPr>
          <w:rFonts w:ascii="Georgia" w:hAnsi="Georgia"/>
          <w:sz w:val="22"/>
        </w:rPr>
        <w:t>Full-length practice tests are useful at intervals because they reveal stamina and pacing, but frequent full tests can consume time without improving the underlying skills. After each one, spend meaningful time reviewing. If the student cannot explain why an answer is correct and the alternatives are weaker, the review is not complete. Use official practice first; third-party books can provide additional drills, but check publication dates and compare their formats with the current exam before relying on them.</w:t>
      </w:r>
    </w:p>
    <w:p>
      <w:pPr>
        <w:jc w:val="left"/>
      </w:pPr>
      <w:r>
        <w:rPr>
          <w:rFonts w:ascii="Georgia" w:hAnsi="Georgia"/>
          <w:sz w:val="22"/>
        </w:rPr>
        <w:t>Create a stopping rule before scheduling a retake. The student and family might agree to retest only if practice shows a stable area to improve, enough preparation time remains, and the score would serve a real purpose in the application plan. More attempts are not automatically better, especially when they crowd out coursework, sleep, or a meaningful activity. Admissions policies change, so verify each college’s current testing policy directly during the application year.</w:t>
      </w:r>
    </w:p>
    <w:p w14:paraId="1B7A86F7" w14:textId="77777777" w:rsidR="00557D37" w:rsidRDefault="00B54EE6">
      <w:pPr>
        <w:pStyle w:val="Heading1"/>
        <w:keepNext/>
        <w:pageBreakBefore/>
        <w:jc w:val="center"/>
      </w:pPr>
      <w:bookmarkStart w:id="22" w:name="sec20"/>
      <w:r>
        <w:rPr>
          <w:rFonts w:ascii="Georgia" w:hAnsi="Georgia"/>
          <w:b/>
          <w:color w:val="2A5CAA"/>
          <w:sz w:val="32"/>
        </w:rPr>
        <w:t>Chapter 7: Applications, Writing, and Well-Being</w:t>
      </w:r>
      <w:bookmarkEnd w:id="22"/>
    </w:p>
    <w:p>
      <w:pPr>
        <w:jc w:val="left"/>
      </w:pPr>
      <w:r>
        <w:rPr>
          <w:rFonts w:ascii="Georgia" w:hAnsi="Georgia"/>
          <w:sz w:val="22"/>
        </w:rPr>
        <w:t>The student writes the application. Adults provide deadlines, questions, factual checks, and support; they do not supply the student’s story or voice.</w:t>
      </w:r>
    </w:p>
    <w:p w14:paraId="4698832D" w14:textId="77777777" w:rsidR="00FE1D37" w:rsidRDefault="00CA19A5">
      <w:pPr>
        <w:pStyle w:val="Heading2"/>
        <w:keepNext/>
        <w:jc w:val="center"/>
      </w:pPr>
      <w:r>
        <w:rPr>
          <w:rFonts w:ascii="Georgia" w:hAnsi="Georgia"/>
          <w:b/>
          <w:color w:val="2A5CAA"/>
          <w:sz w:val="25"/>
        </w:rPr>
        <w:t>Applications and Related Writing</w:t>
      </w:r>
    </w:p>
    <w:p w14:paraId="63ED4032" w14:textId="77777777" w:rsidR="00557D37" w:rsidRDefault="00B54EE6">
      <w:pPr>
        <w:spacing w:after="200"/>
        <w:jc w:val="left"/>
      </w:pPr>
      <w:r>
        <w:rPr>
          <w:rFonts w:ascii="Georgia" w:hAnsi="Georgia"/>
          <w:sz w:val="22"/>
        </w:rPr>
        <w:t>The application is a set of forms plus a small number of written pieces. Accuracy and the student’s own voice matter more than polish supplied by someone else.</w:t>
      </w:r>
    </w:p>
    <w:p w14:paraId="1FC498C1" w14:textId="77777777" w:rsidR="00557D37" w:rsidRDefault="00B54EE6">
      <w:pPr>
        <w:pStyle w:val="Heading2"/>
        <w:keepNext/>
        <w:jc w:val="center"/>
      </w:pPr>
      <w:r>
        <w:rPr>
          <w:rFonts w:ascii="Georgia" w:hAnsi="Georgia"/>
          <w:b/>
          <w:color w:val="2A5CAA"/>
          <w:sz w:val="25"/>
        </w:rPr>
        <w:t>The Main Essay</w:t>
      </w:r>
    </w:p>
    <w:p>
      <w:pPr>
        <w:pStyle w:val="Heading2"/>
        <w:jc w:val="center"/>
      </w:pPr>
      <w:r>
        <w:rPr>
          <w:rFonts w:ascii="Georgia" w:hAnsi="Georgia"/>
          <w:b/>
          <w:color w:val="2A5CAA"/>
          <w:sz w:val="25"/>
        </w:rPr>
        <w:t>The Student Writes; Adults Ask Questions</w:t>
      </w:r>
    </w:p>
    <w:p>
      <w:pPr>
        <w:jc w:val="left"/>
      </w:pPr>
      <w:r>
        <w:rPr>
          <w:rFonts w:ascii="Georgia" w:hAnsi="Georgia"/>
          <w:sz w:val="22"/>
        </w:rPr>
        <w:t>The student writes the application; adults ask questions and flag confusion. A parent can help set deadlines, remember a useful detail, or say where a reader lost the thread. The student chooses the story, drafts the language, and owns the final submission.</w:t>
      </w:r>
    </w:p>
    <w:p>
      <w:pPr>
        <w:jc w:val="left"/>
      </w:pPr>
      <w:r>
        <w:rPr>
          <w:rFonts w:ascii="Georgia" w:hAnsi="Georgia"/>
          <w:sz w:val="22"/>
        </w:rPr>
        <w:t>If you have to explain what a sentence means, ask the student to rewrite it. A polished essay that no longer sounds like the applicant is an expensive way to create a consistency problem. The useful edit is a question: “What happened next?” or “Would you say this aloud?”</w:t>
      </w:r>
    </w:p>
    <w:p>
      <w:pPr>
        <w:jc w:val="left"/>
      </w:pPr>
      <w:r>
        <w:rPr>
          <w:rFonts w:ascii="Georgia" w:hAnsi="Georgia"/>
          <w:sz w:val="22"/>
        </w:rPr>
        <w:t>Use the same rule for activities. Before: “Helped with the community garden.” After, if accurate: “Set a weekly watering schedule for 12 beds and showed two new volunteers the routine.” Specific verbs clarify real work; they do not require invented leadership.</w:t>
      </w:r>
    </w:p>
    <w:p>
      <w:pPr>
        <w:jc w:val="left"/>
      </w:pPr>
      <w:r>
        <w:rPr>
          <w:rFonts w:ascii="Georgia" w:hAnsi="Georgia"/>
          <w:sz w:val="22"/>
        </w:rPr>
        <w:t>Keep private matters private unless the student chooses to share them. They do not owe an admissions reader intimate details to prove resilience. A modest, truthful story can work; a dramatic story written by a parent is still not the student’s story.</w:t>
      </w:r>
    </w:p>
    <w:p w14:paraId="14DB3D63" w14:textId="77777777" w:rsidR="00557D37" w:rsidRDefault="00B54EE6">
      <w:pPr>
        <w:pStyle w:val="Heading2"/>
        <w:keepNext/>
        <w:jc w:val="center"/>
      </w:pPr>
      <w:r>
        <w:rPr>
          <w:rFonts w:ascii="Georgia" w:hAnsi="Georgia"/>
          <w:b/>
          <w:color w:val="2A5CAA"/>
          <w:sz w:val="25"/>
        </w:rPr>
        <w:t>Activity Descriptions and Additional Short Answers</w:t>
      </w:r>
    </w:p>
    <w:p w14:paraId="39CEC3E1" w14:textId="77777777" w:rsidR="00557D37" w:rsidRDefault="00B54EE6">
      <w:pPr>
        <w:spacing w:after="200"/>
        <w:jc w:val="left"/>
      </w:pPr>
      <w:r>
        <w:rPr>
          <w:rFonts w:ascii="Georgia" w:hAnsi="Georgia"/>
          <w:sz w:val="22"/>
        </w:rPr>
        <w:t>Activity lists have tight character limits. Lead with the concrete role and what changed because of the student’s effort (“Organized weekly practices and raised funds for travel” rather than “Passionate member of the team”). Use the same plain style for any additional short-answer questions. Specifics beat adjectives.</w:t>
      </w:r>
    </w:p>
    <w:p w14:paraId="4C3D749F" w14:textId="77777777" w:rsidR="00557D37" w:rsidRDefault="00B54EE6">
      <w:pPr>
        <w:pStyle w:val="Heading2"/>
        <w:keepNext/>
        <w:jc w:val="center"/>
      </w:pPr>
      <w:r>
        <w:rPr>
          <w:rFonts w:ascii="Georgia" w:hAnsi="Georgia"/>
          <w:b/>
          <w:color w:val="2A5CAA"/>
          <w:sz w:val="25"/>
        </w:rPr>
        <w:t>Recommendations</w:t>
      </w:r>
    </w:p>
    <w:p w14:paraId="6CAFDAAA" w14:textId="77777777" w:rsidR="00557D37" w:rsidRDefault="00B54EE6">
      <w:pPr>
        <w:spacing w:after="200"/>
        <w:jc w:val="left"/>
      </w:pPr>
      <w:r>
        <w:rPr>
          <w:rFonts w:ascii="Georgia" w:hAnsi="Georgia"/>
          <w:sz w:val="22"/>
        </w:rPr>
        <w:t>Ask teachers who have seen the student over time and can describe specific work. Request early, provide a short factual list of projects or moments if the teacher wants it, and respect the deadline. A specific letter from a teacher who knows the student is more useful than a generic letter from a more famous name.</w:t>
      </w:r>
    </w:p>
    <w:p w14:paraId="3164A2F8" w14:textId="77777777" w:rsidR="00557D37" w:rsidRDefault="00B54EE6">
      <w:pPr>
        <w:pStyle w:val="Heading2"/>
        <w:keepNext/>
        <w:jc w:val="center"/>
      </w:pPr>
      <w:r>
        <w:rPr>
          <w:rFonts w:ascii="Georgia" w:hAnsi="Georgia"/>
          <w:b/>
          <w:color w:val="2A5CAA"/>
          <w:sz w:val="25"/>
        </w:rPr>
        <w:t>Forms, Deadlines, and Review</w:t>
      </w:r>
    </w:p>
    <w:p w14:paraId="7CCCDDA1" w14:textId="77777777" w:rsidR="00557D37" w:rsidRDefault="00B54EE6">
      <w:pPr>
        <w:spacing w:after="200"/>
        <w:jc w:val="left"/>
      </w:pPr>
      <w:r>
        <w:rPr>
          <w:rFonts w:ascii="Georgia" w:hAnsi="Georgia"/>
          <w:sz w:val="22"/>
        </w:rPr>
        <w:t>Fill every form accurately. Check names, dates, course titles, and self-reported grades or scores against official records. Submit financial-aid forms on their own earlier deadlines. Have one other person read the complete file for typos and inconsistencies before the final submission. Most errors are avoidable with a single careful pass.</w:t>
      </w:r>
    </w:p>
    <w:p w14:paraId="5A5F6C03" w14:textId="77777777" w:rsidR="00557D37" w:rsidRDefault="00B54EE6">
      <w:pPr>
        <w:spacing w:after="200"/>
        <w:jc w:val="left"/>
      </w:pPr>
      <w:r>
        <w:rPr>
          <w:rFonts w:ascii="Georgia" w:hAnsi="Georgia"/>
          <w:sz w:val="22"/>
        </w:rPr>
        <w:t>The writing and the forms should be consistent with the rest of the record. A coherent file is easier to read than one that looks assembled from unrelated pieces.</w:t>
      </w:r>
    </w:p>
    <w:p w14:paraId="19BF991E" w14:textId="77777777" w:rsidR="00557D37" w:rsidRDefault="00B54EE6">
      <w:pPr>
        <w:pStyle w:val="Heading2"/>
        <w:keepNext/>
        <w:jc w:val="center"/>
      </w:pPr>
      <w:r>
        <w:rPr>
          <w:rFonts w:ascii="Georgia" w:hAnsi="Georgia"/>
          <w:b/>
          <w:color w:val="2A5CAA"/>
          <w:sz w:val="25"/>
        </w:rPr>
        <w:t>Tailoring to Specific Colleges</w:t>
      </w:r>
    </w:p>
    <w:p>
      <w:pPr>
        <w:jc w:val="left"/>
      </w:pPr>
      <w:r>
        <w:rPr>
          <w:rFonts w:ascii="Georgia" w:hAnsi="Georgia"/>
          <w:sz w:val="22"/>
        </w:rPr>
        <w:t>Tailor only the parts that ask for college-specific information. Keep the student’s facts and main essay consistent. For a “why this college” prompt, name one or two real offerings the student has researched and connect them to an interest or experience they can explain.</w:t>
      </w:r>
    </w:p>
    <w:p>
      <w:pPr>
        <w:jc w:val="left"/>
      </w:pPr>
      <w:r>
        <w:rPr>
          <w:rFonts w:ascii="Georgia" w:hAnsi="Georgia"/>
          <w:sz w:val="22"/>
        </w:rPr>
        <w:t>Example: “I want to study environmental engineering” is a broad claim. A stronger answer, if true, might connect a student’s creek-water project to a specific course or undergraduate lab they verified on the college’s site. Do not paste a program name into an essay without understanding what it is.</w:t>
      </w:r>
    </w:p>
    <w:p>
      <w:pPr>
        <w:jc w:val="left"/>
      </w:pPr>
      <w:r>
        <w:rPr>
          <w:rFonts w:ascii="Georgia" w:hAnsi="Georgia"/>
          <w:sz w:val="22"/>
        </w:rPr>
        <w:t>Prioritize required supplements and applications the student genuinely wants to submit. Check current rules about outside editing and AI. One careful proofread for facts and errors is useful; endless adult revisions are not.</w:t>
      </w:r>
    </w:p>
    <w:p w14:paraId="2F6511BF" w14:textId="77777777" w:rsidR="00557D37" w:rsidRDefault="00B54EE6">
      <w:pPr>
        <w:pStyle w:val="Heading2"/>
        <w:keepNext/>
        <w:pageBreakBefore/>
        <w:jc w:val="center"/>
      </w:pPr>
      <w:bookmarkStart w:id="23" w:name="sec21"/>
      <w:r>
        <w:rPr>
          <w:rFonts w:ascii="Georgia" w:hAnsi="Georgia"/>
          <w:b/>
          <w:color w:val="2A5CAA"/>
          <w:sz w:val="25"/>
        </w:rPr>
        <w:t>Mental Health and the Burnout Trap</w:t>
      </w:r>
      <w:bookmarkEnd w:id="23"/>
    </w:p>
    <w:p>
      <w:pPr>
        <w:jc w:val="left"/>
      </w:pPr>
      <w:r>
        <w:rPr>
          <w:rFonts w:ascii="Georgia" w:hAnsi="Georgia"/>
          <w:sz w:val="22"/>
        </w:rPr>
        <w:t>Treat persistent sleep loss, panic before ordinary tasks, withdrawal from friends, only talking about rankings, or continuing an activity solely because it might help an application as information. Ask what is happening and review the whole week. If distress persists or affects health, attendance, or safety, involve a qualified professional.</w:t>
      </w:r>
    </w:p>
    <w:p>
      <w:pPr>
        <w:jc w:val="left"/>
      </w:pPr>
      <w:r>
        <w:rPr>
          <w:rFonts w:ascii="Georgia" w:hAnsi="Georgia"/>
          <w:sz w:val="22"/>
        </w:rPr>
        <w:t>An exhausted applicant is not a stronger applicant. Reduce or pause commitments when the schedule is unsustainable; a gap year or a lighter course load can be a sound decision. The relationship with the student lasts longer than the decision letters.</w:t>
      </w:r>
    </w:p>
    <w:p>
      <w:pPr>
        <w:jc w:val="left"/>
      </w:pPr>
      <w:r>
        <w:rPr>
          <w:rFonts w:ascii="Georgia" w:hAnsi="Georgia"/>
          <w:sz w:val="22"/>
        </w:rPr>
        <w:t>The application is a short public record of a much longer life. Keep the student in charge of the account and make health an early signal, not a last-minute concern.</w:t>
      </w:r>
    </w:p>
    <w:p w14:paraId="260A44DF" w14:textId="77777777" w:rsidR="00557D37" w:rsidRDefault="00B54EE6">
      <w:pPr>
        <w:pStyle w:val="Heading1"/>
        <w:keepNext/>
        <w:pageBreakBefore/>
        <w:jc w:val="center"/>
      </w:pPr>
      <w:bookmarkStart w:id="24" w:name="ivy"/>
      <w:bookmarkStart w:id="25" w:name="sec22"/>
      <w:bookmarkEnd w:id="24"/>
      <w:r>
        <w:rPr>
          <w:rFonts w:ascii="Georgia" w:hAnsi="Georgia"/>
          <w:b/>
          <w:color w:val="2A5CAA"/>
          <w:sz w:val="32"/>
        </w:rPr>
        <w:t>Chapter 8: The Ivy League and Choosing a College List</w:t>
      </w:r>
      <w:bookmarkEnd w:id="25"/>
    </w:p>
    <w:p>
      <w:pPr>
        <w:jc w:val="left"/>
      </w:pPr>
      <w:r>
        <w:rPr>
          <w:rFonts w:ascii="Georgia" w:hAnsi="Georgia"/>
          <w:sz w:val="22"/>
        </w:rPr>
        <w:t>Strong records are necessary at highly selective colleges and still usually insufficient. The family’s practical work is to build a list around fit, realistic likelihood, and a manageable net price.</w:t>
      </w:r>
    </w:p>
    <w:p w14:paraId="7300F148" w14:textId="77777777" w:rsidR="00FE1D37" w:rsidRDefault="00CA19A5">
      <w:pPr>
        <w:pStyle w:val="Heading2"/>
        <w:keepNext/>
        <w:jc w:val="center"/>
      </w:pPr>
      <w:r>
        <w:rPr>
          <w:rFonts w:ascii="Georgia" w:hAnsi="Georgia"/>
          <w:b/>
          <w:color w:val="2A5CAA"/>
          <w:sz w:val="25"/>
        </w:rPr>
        <w:t>The Ivy League in Particular</w:t>
      </w:r>
    </w:p>
    <w:p>
      <w:pPr>
        <w:jc w:val="left"/>
      </w:pPr>
      <w:r>
        <w:rPr>
          <w:rFonts w:ascii="Georgia" w:hAnsi="Georgia"/>
          <w:sz w:val="22"/>
        </w:rPr>
        <w:t>The Ivy League is eight private universities and an athletic conference, not a single admissions office or a measure of educational quality. Admission is highly selective. Excellent grades and scores are common among applicants, yet many highly qualified students are turned away. A published admit rate describes that year’s applicant pool; it is not a personal probability.</w:t>
      </w:r>
    </w:p>
    <w:p>
      <w:pPr>
        <w:jc w:val="left"/>
      </w:pPr>
      <w:r>
        <w:rPr>
          <w:rFonts w:ascii="Georgia" w:hAnsi="Georgia"/>
          <w:sz w:val="22"/>
        </w:rPr>
        <w:t>The practical arithmetic is simple: strong preparation helps, but there are far more qualified applicants than places. A 4.0 and high test scores can still end in rejection. The family can control the student’s learning, the accuracy of the application, and the quality of the list; it cannot calculate or compel an admission decision.</w:t>
      </w:r>
    </w:p>
    <w:p w14:paraId="442F1B28" w14:textId="77777777" w:rsidR="00557D37" w:rsidRDefault="00B54EE6">
      <w:pPr>
        <w:pStyle w:val="Heading2"/>
        <w:keepNext/>
        <w:jc w:val="center"/>
      </w:pPr>
      <w:r>
        <w:rPr>
          <w:rFonts w:ascii="Georgia" w:hAnsi="Georgia"/>
          <w:b/>
          <w:color w:val="2A5CAA"/>
          <w:sz w:val="25"/>
        </w:rPr>
        <w:t>What They Emphasize</w:t>
      </w:r>
    </w:p>
    <w:p w14:paraId="5E31A33F" w14:textId="77777777" w:rsidR="00557D37" w:rsidRDefault="00B54EE6">
      <w:pPr>
        <w:spacing w:after="200"/>
        <w:jc w:val="left"/>
      </w:pPr>
      <w:r>
        <w:rPr>
          <w:rFonts w:ascii="Georgia" w:hAnsi="Georgia"/>
          <w:sz w:val="22"/>
        </w:rPr>
        <w:t>Academic strength in a rigorous curriculum is the baseline. They also look for sustained intellectual curiosity, evidence that the student has pursued something in depth, and personal qualities that suggest the student will contribute to the residential community. Extracurricular lists are read for trajectory and impact more than for number of activities. Essays are used to hear the student’s own voice and to understand context. Policies and practices differ among colleges and can change. Avoid treating rumored institutional preferences as dependable strategies. People outside a college cannot know the full reasoning behind an individual decision.</w:t>
      </w:r>
    </w:p>
    <w:p w14:paraId="3150A04C" w14:textId="77777777" w:rsidR="00557D37" w:rsidRDefault="00B54EE6">
      <w:pPr>
        <w:pStyle w:val="Heading2"/>
        <w:keepNext/>
        <w:jc w:val="center"/>
      </w:pPr>
      <w:r>
        <w:rPr>
          <w:rFonts w:ascii="Georgia" w:hAnsi="Georgia"/>
          <w:b/>
          <w:color w:val="2A5CAA"/>
          <w:sz w:val="25"/>
        </w:rPr>
        <w:t>How the Earlier Chapters Connect</w:t>
      </w:r>
    </w:p>
    <w:p w14:paraId="7D225979" w14:textId="77777777" w:rsidR="00557D37" w:rsidRDefault="00B54EE6">
      <w:pPr>
        <w:spacing w:after="200"/>
        <w:jc w:val="left"/>
      </w:pPr>
      <w:r>
        <w:rPr>
          <w:rFonts w:ascii="Georgia" w:hAnsi="Georgia"/>
          <w:sz w:val="22"/>
        </w:rPr>
        <w:t>The early habits, sleep, reading volume, responsive interaction, and avoidance of burnout support the academic record and the capacity for sustained work that Ivy readers expect. They do not create an entitlement. Course rigor, strong performance, and one or two deep interests remain the visible academic signals. Test scores, when submitted, are interpreted in context. The same practices improve odds at a wide range of selective colleges; they do not specially manufacture an Ivy outcome.</w:t>
      </w:r>
    </w:p>
    <w:p w14:paraId="29CF7D4E" w14:textId="77777777" w:rsidR="00557D37" w:rsidRDefault="00B54EE6">
      <w:pPr>
        <w:pStyle w:val="Heading2"/>
        <w:keepNext/>
        <w:jc w:val="center"/>
      </w:pPr>
      <w:r>
        <w:rPr>
          <w:rFonts w:ascii="Georgia" w:hAnsi="Georgia"/>
          <w:b/>
          <w:color w:val="2A5CAA"/>
          <w:sz w:val="25"/>
        </w:rPr>
        <w:t>Realistic Odds and List Construction</w:t>
      </w:r>
    </w:p>
    <w:p>
      <w:pPr>
        <w:jc w:val="left"/>
      </w:pPr>
      <w:r>
        <w:rPr>
          <w:rFonts w:ascii="Georgia" w:hAnsi="Georgia"/>
          <w:sz w:val="22"/>
        </w:rPr>
        <w:t>Build a list using three questions: Is the academic and personal fit credible? Is the net price likely to be manageable? Is admission plausible based on the student’s record and the college’s published context? Include more than one school where the student’s record is typical or strong, and make sure the student would attend the affordable options.</w:t>
      </w:r>
    </w:p>
    <w:p>
      <w:pPr>
        <w:jc w:val="left"/>
      </w:pPr>
      <w:r>
        <w:rPr>
          <w:rFonts w:ascii="Georgia" w:hAnsi="Georgia"/>
          <w:sz w:val="22"/>
        </w:rPr>
        <w:t>For example, a student may like College A’s engineering program but find its estimated cost exceeds the family’s limit; College B may offer a strong program, more support, and a workable price; College C may be affordable but lack the subject the student wants. The list should reflect those tradeoffs, not rank the schools by prestige.</w:t>
      </w:r>
    </w:p>
    <w:p>
      <w:pPr>
        <w:jc w:val="left"/>
      </w:pPr>
      <w:r>
        <w:rPr>
          <w:rFonts w:ascii="Georgia" w:hAnsi="Georgia"/>
          <w:sz w:val="22"/>
        </w:rPr>
        <w:t>Recruited athletics and other institutional priorities are real parts of some decisions, but they are not strategies most families can create. A recruited athlete still needs to meet academic and eligibility requirements, and recruitment may not lead to admission. Legacy, donor, geographic, or other institutional considerations are not dependable levers for an individual applicant. Do not build a family plan around them.</w:t>
      </w:r>
    </w:p>
    <w:p w14:paraId="5BDA2BF8" w14:textId="77777777" w:rsidR="00557D37" w:rsidRDefault="00B54EE6">
      <w:pPr>
        <w:pStyle w:val="Heading2"/>
        <w:keepNext/>
        <w:jc w:val="center"/>
      </w:pPr>
      <w:r>
        <w:rPr>
          <w:rFonts w:ascii="Georgia" w:hAnsi="Georgia"/>
          <w:b/>
          <w:color w:val="2A5CAA"/>
          <w:sz w:val="25"/>
        </w:rPr>
        <w:t>What Does Not Meaningfully Improve Ivy Chances</w:t>
      </w:r>
    </w:p>
    <w:p w14:paraId="5BD5B1EB" w14:textId="77777777" w:rsidR="00557D37" w:rsidRDefault="00B54EE6">
      <w:pPr>
        <w:spacing w:after="200"/>
        <w:jc w:val="left"/>
      </w:pPr>
      <w:r>
        <w:rPr>
          <w:rFonts w:ascii="Georgia" w:hAnsi="Georgia"/>
          <w:sz w:val="22"/>
        </w:rPr>
        <w:t>Expensive summer programs bought mainly for the résumé, last-minute test cramming without skill gains, activity padding, perfect but generic essays written by others, or sacrificing sleep and health for marginal grade or score improvements. Readers see thousands of similarly polished files. Distinctive, sustained student work is rarer than purchased credentials.</w:t>
      </w:r>
    </w:p>
    <w:p w14:paraId="301762A2" w14:textId="77777777" w:rsidR="00557D37" w:rsidRDefault="00B54EE6">
      <w:pPr>
        <w:spacing w:after="200"/>
        <w:jc w:val="left"/>
      </w:pPr>
      <w:r>
        <w:rPr>
          <w:rFonts w:ascii="Georgia" w:hAnsi="Georgia"/>
          <w:sz w:val="22"/>
        </w:rPr>
        <w:t>The title of this book is aspirational. The practical content is about raising the probability of a strong academic trajectory and a coherent application. That trajectory is compatible with Ivy admission for a small minority of students and is valuable at many other colleges for everyone else. Families who need a particular Ivy outcome for financial, professional, or status reasons face odds that no parenting method reliably overcomes.</w:t>
      </w:r>
    </w:p>
    <w:p w14:paraId="0C2FA7AA" w14:textId="77777777" w:rsidR="00557D37" w:rsidRDefault="00B54EE6">
      <w:pPr>
        <w:pStyle w:val="Heading2"/>
        <w:keepNext/>
        <w:jc w:val="center"/>
      </w:pPr>
      <w:r>
        <w:rPr>
          <w:rFonts w:ascii="Georgia" w:hAnsi="Georgia"/>
          <w:b/>
          <w:color w:val="2A5CAA"/>
          <w:sz w:val="25"/>
        </w:rPr>
        <w:t>Alternative Paths: Athletics and Other Factors</w:t>
      </w:r>
    </w:p>
    <w:p w14:paraId="1B3FCAD3" w14:textId="77777777" w:rsidR="00557D37" w:rsidRDefault="00B54EE6">
      <w:pPr>
        <w:spacing w:after="200"/>
        <w:jc w:val="left"/>
      </w:pPr>
      <w:r>
        <w:rPr>
          <w:rFonts w:ascii="Georgia" w:hAnsi="Georgia"/>
          <w:sz w:val="22"/>
        </w:rPr>
        <w:t>A minority of Ivy seats are filled through channels other than the standard academic review. The largest of these is recruited athletics. Coaches at Ivy schools have a limited number of recruitment slots. A student who is a genuine high-level prospect in a sport the college needs can receive significantly higher admission odds, provided the academic record still meets the college’s athletic academic standards (which remain rigorous).</w:t>
      </w:r>
    </w:p>
    <w:p w14:paraId="7954BE9D" w14:textId="77777777" w:rsidR="00557D37" w:rsidRDefault="00B54EE6">
      <w:pPr>
        <w:spacing w:after="200"/>
        <w:jc w:val="left"/>
      </w:pPr>
      <w:r>
        <w:rPr>
          <w:rFonts w:ascii="Georgia" w:hAnsi="Georgia"/>
          <w:sz w:val="22"/>
        </w:rPr>
        <w:t>This path requires years of serious, high-level training and competition, not late specialization or recreational participation. Most families cannot create it. It also carries injury risk, time cost, and the possibility that the student is not recruited after all. It is not a strategy that can be added in high school to compensate for a weaker academic record.</w:t>
      </w:r>
    </w:p>
    <w:p w14:paraId="4321958E" w14:textId="77777777" w:rsidR="00557D37" w:rsidRDefault="00B54EE6">
      <w:pPr>
        <w:spacing w:after="200"/>
        <w:jc w:val="left"/>
      </w:pPr>
      <w:r>
        <w:rPr>
          <w:rFonts w:ascii="Georgia" w:hAnsi="Georgia"/>
          <w:sz w:val="22"/>
        </w:rPr>
        <w:t>Other factors that affect small numbers of decisions include legacy status (parent or sometimes grandparent attended), development or donor interest, and certain institutional priorities around geography, first-generation status, or specific talents. These are not under the applicant’s control and are not reliable plans. They do not replace the need for a strong academic baseline.</w:t>
      </w:r>
    </w:p>
    <w:p w14:paraId="7A7340A0" w14:textId="77777777" w:rsidR="00557D37" w:rsidRDefault="00B54EE6">
      <w:pPr>
        <w:spacing w:after="200"/>
        <w:jc w:val="left"/>
      </w:pPr>
      <w:r>
        <w:rPr>
          <w:rFonts w:ascii="Georgia" w:hAnsi="Georgia"/>
          <w:sz w:val="22"/>
        </w:rPr>
        <w:t>For the large majority of applicants none of these alternative paths apply. The relevant preparation remains the academic trajectory, sustained interests, and coherent application already described. Treating sports or other hooks as a controllable back door usually leads to disappointment and displaced effort.</w:t>
      </w:r>
    </w:p>
    <w:p w14:paraId="32832460" w14:textId="77777777" w:rsidR="00557D37" w:rsidRDefault="00B54EE6">
      <w:pPr>
        <w:spacing w:after="200"/>
        <w:jc w:val="left"/>
      </w:pPr>
      <w:r>
        <w:rPr>
          <w:rFonts w:ascii="Georgia" w:hAnsi="Georgia"/>
          <w:sz w:val="22"/>
        </w:rPr>
        <w:t>Do not push a child early to master a sport or treat sport selection as an admissions project. Ivy recruitment slots are few and require years of high-level training plus talent that most families cannot create. Early specialization raises burnout and injury risk and crowds out the academic habits that remain necessary. Let a child play if they enjoy it; do not steer youth sports toward the slim possibility of recruitment.</w:t>
      </w:r>
    </w:p>
    <w:p w14:paraId="6C17403A" w14:textId="77777777" w:rsidR="00557D37" w:rsidRDefault="00B54EE6">
      <w:pPr>
        <w:spacing w:after="200"/>
        <w:jc w:val="left"/>
      </w:pPr>
      <w:r>
        <w:rPr>
          <w:rFonts w:ascii="Georgia" w:hAnsi="Georgia"/>
          <w:sz w:val="22"/>
        </w:rPr>
        <w:t>There is no single GPA or test-score threshold for recruited athletes across the Ivy League. Recruiting, academic review, communication rules, and roster needs vary by college and sport. Use each school's official admissions and athletics information and ask the coach and admissions office what applies to the student. No coach can promise admission. Pursue recruiting only when the student wants the sport for its own sake and understands the demands. [9]</w:t>
      </w:r>
    </w:p>
    <w:p w14:paraId="5307EA9A" w14:textId="77777777" w:rsidR="00557D37" w:rsidRDefault="00B54EE6">
      <w:pPr>
        <w:pStyle w:val="Heading2"/>
        <w:keepNext/>
        <w:jc w:val="center"/>
      </w:pPr>
      <w:r>
        <w:rPr>
          <w:rFonts w:ascii="Georgia" w:hAnsi="Georgia"/>
          <w:b/>
          <w:color w:val="2A5CAA"/>
          <w:sz w:val="25"/>
        </w:rPr>
        <w:t>Intended Major and Admission Odds</w:t>
      </w:r>
    </w:p>
    <w:p w14:paraId="71C007C2" w14:textId="77777777" w:rsidR="00557D37" w:rsidRDefault="00B54EE6">
      <w:pPr>
        <w:spacing w:after="200"/>
        <w:jc w:val="left"/>
      </w:pPr>
      <w:r>
        <w:rPr>
          <w:rFonts w:ascii="Georgia" w:hAnsi="Georgia"/>
          <w:sz w:val="22"/>
        </w:rPr>
        <w:t>The effect of a stated academic interest depends on the college and its application structure. Some institutions admit to a school or program; others admit students more broadly and allow later exploration. Requirements and capacity differ. Check each college's official application, describe genuine interests honestly, and do not choose a field solely on a rumor about easier admission.</w:t>
      </w:r>
    </w:p>
    <w:p w14:paraId="058A93DB" w14:textId="77777777" w:rsidR="00557D37" w:rsidRDefault="00B54EE6">
      <w:pPr>
        <w:pStyle w:val="Heading2"/>
        <w:keepNext/>
        <w:pageBreakBefore/>
        <w:jc w:val="center"/>
      </w:pPr>
      <w:bookmarkStart w:id="26" w:name="sec23"/>
      <w:r>
        <w:rPr>
          <w:rFonts w:ascii="Georgia" w:hAnsi="Georgia"/>
          <w:b/>
          <w:color w:val="2A5CAA"/>
          <w:sz w:val="25"/>
        </w:rPr>
        <w:t>College Lists and What Admissions Offices Look For</w:t>
      </w:r>
      <w:bookmarkEnd w:id="26"/>
    </w:p>
    <w:p w14:paraId="3056F33B" w14:textId="77777777" w:rsidR="00557D37" w:rsidRDefault="00B54EE6">
      <w:pPr>
        <w:pStyle w:val="Heading2"/>
        <w:keepNext/>
        <w:jc w:val="center"/>
      </w:pPr>
      <w:r>
        <w:rPr>
          <w:rFonts w:ascii="Georgia" w:hAnsi="Georgia"/>
          <w:b/>
          <w:color w:val="2A5CAA"/>
          <w:sz w:val="25"/>
        </w:rPr>
        <w:t>Building the List</w:t>
      </w:r>
    </w:p>
    <w:p w14:paraId="12BDDA87" w14:textId="77777777" w:rsidR="00557D37" w:rsidRDefault="00B54EE6">
      <w:pPr>
        <w:spacing w:after="200"/>
        <w:jc w:val="left"/>
      </w:pPr>
      <w:r>
        <w:rPr>
          <w:rFonts w:ascii="Georgia" w:hAnsi="Georgia"/>
          <w:sz w:val="22"/>
        </w:rPr>
        <w:t>In 11th grade, build a list by fit, cost, and realistic likelihood rather than prestige alone. Include schools where the student’s record is typical or strong, not only reaches. Note net price after likely aid. Visit or research concrete offerings in the student’s areas of interest. Before spending time or money on visits, interviews, or outreach for admissions purposes, check whether the college says it considers demonstrated interest. A shorter, well-researched list outperforms a long generic one.</w:t>
      </w:r>
    </w:p>
    <w:p w14:paraId="18753A72" w14:textId="77777777" w:rsidR="00557D37" w:rsidRDefault="00B54EE6">
      <w:pPr>
        <w:pStyle w:val="Heading2"/>
        <w:keepNext/>
        <w:jc w:val="center"/>
      </w:pPr>
      <w:r>
        <w:rPr>
          <w:rFonts w:ascii="Georgia" w:hAnsi="Georgia"/>
          <w:b/>
          <w:color w:val="2A5CAA"/>
          <w:sz w:val="25"/>
        </w:rPr>
        <w:t>Matching to Grades, Tests, and the Individual</w:t>
      </w:r>
    </w:p>
    <w:p w14:paraId="644FF33D" w14:textId="77777777" w:rsidR="00557D37" w:rsidRDefault="00B54EE6">
      <w:pPr>
        <w:spacing w:after="200"/>
        <w:jc w:val="left"/>
      </w:pPr>
      <w:r>
        <w:rPr>
          <w:rFonts w:ascii="Georgia" w:hAnsi="Georgia"/>
          <w:sz w:val="22"/>
        </w:rPr>
        <w:t>Use published ranges as context, not as cutoffs or predictions. Colleges may report ranges for different cohorts or for students who submitted scores. Review the student's courses in the context of the school and available opportunities, and check each college's own guidance. Yale, for example, describes contextual review and encourages students to take a balanced set of challenging courses available at their school; its guidance should not be generalized to every institution. [7, 8]</w:t>
      </w:r>
    </w:p>
    <w:p w14:paraId="6A336478" w14:textId="77777777" w:rsidR="00557D37" w:rsidRDefault="00B54EE6">
      <w:pPr>
        <w:spacing w:after="200"/>
        <w:jc w:val="left"/>
      </w:pPr>
      <w:r>
        <w:rPr>
          <w:rFonts w:ascii="Georgia" w:hAnsi="Georgia"/>
          <w:sz w:val="22"/>
        </w:rPr>
        <w:t>Beyond numbers, weigh the student’s actual interests against the college’s offerings in those areas, the size and setting the student is likely to handle, and the net cost the family can sustain. A strong personal fit at a college where the academic record is typical usually produces better odds and a better experience than a prestige reach where the record is at the bottom of the range.</w:t>
      </w:r>
    </w:p>
    <w:p w14:paraId="50A22C5B" w14:textId="77777777" w:rsidR="00557D37" w:rsidRDefault="00B54EE6">
      <w:pPr>
        <w:spacing w:after="200"/>
        <w:jc w:val="left"/>
      </w:pPr>
      <w:r>
        <w:rPr>
          <w:rFonts w:ascii="Georgia" w:hAnsi="Georgia"/>
          <w:sz w:val="22"/>
        </w:rPr>
        <w:t>Categorize roughly: likely (record above the college’s typical range), target (record inside the range), reach (record below the range or the college is highly selective regardless of numbers). Include several likelies and targets. Reaches are optional. Cost and major availability can move a college from one category to another.</w:t>
      </w:r>
    </w:p>
    <w:p w14:paraId="788C73F3" w14:textId="77777777" w:rsidR="00557D37" w:rsidRDefault="00B54EE6">
      <w:pPr>
        <w:spacing w:after="200"/>
        <w:jc w:val="left"/>
      </w:pPr>
      <w:r>
        <w:rPr>
          <w:rFonts w:ascii="Georgia" w:hAnsi="Georgia"/>
          <w:sz w:val="22"/>
        </w:rPr>
        <w:t>The individual student’s readiness for independent work, need for support services, and preference for urban or residential life matter as much as the numerical match. A college that fits those practical conditions and where the grades and tests are competitive is the one that makes sense.</w:t>
      </w:r>
    </w:p>
    <w:p w14:paraId="3F4929C3" w14:textId="77777777" w:rsidR="00557D37" w:rsidRDefault="00B54EE6">
      <w:pPr>
        <w:pStyle w:val="Heading2"/>
        <w:keepNext/>
        <w:jc w:val="center"/>
      </w:pPr>
      <w:r>
        <w:rPr>
          <w:rFonts w:ascii="Georgia" w:hAnsi="Georgia"/>
          <w:b/>
          <w:color w:val="2A5CAA"/>
          <w:sz w:val="25"/>
        </w:rPr>
        <w:t>What Admissions Offices Actually Look For</w:t>
      </w:r>
    </w:p>
    <w:p w14:paraId="74D3FAAC" w14:textId="77777777" w:rsidR="00FE1D37" w:rsidRDefault="00CA19A5">
      <w:pPr>
        <w:pStyle w:val="Heading2"/>
        <w:keepNext/>
        <w:jc w:val="center"/>
      </w:pPr>
      <w:r>
        <w:rPr>
          <w:rFonts w:ascii="Georgia" w:hAnsi="Georgia"/>
          <w:b/>
          <w:color w:val="2A5CAA"/>
          <w:sz w:val="25"/>
        </w:rPr>
        <w:t>Depth Without a Formula</w:t>
      </w:r>
    </w:p>
    <w:p>
      <w:pPr>
        <w:pStyle w:val="Heading2"/>
        <w:jc w:val="center"/>
      </w:pPr>
      <w:r>
        <w:rPr>
          <w:rFonts w:ascii="Georgia" w:hAnsi="Georgia"/>
          <w:b/>
          <w:color w:val="2A5CAA"/>
          <w:sz w:val="25"/>
        </w:rPr>
        <w:t>A Distinctive Application Without a Manufactured Spike</w:t>
      </w:r>
    </w:p>
    <w:p>
      <w:pPr>
        <w:jc w:val="left"/>
      </w:pPr>
      <w:r>
        <w:rPr>
          <w:rFonts w:ascii="Georgia" w:hAnsi="Georgia"/>
          <w:sz w:val="22"/>
        </w:rPr>
        <w:t>“Spike” is a metaphor for depth, not a requirement to become extraordinary in one narrow field. A teenager can be deeply engaged in music, a job, family care, a community project, a sport, or an independent question. The activity list is not the activity; the meaningful part is what the student actually did and learned.</w:t>
      </w:r>
    </w:p>
    <w:p>
      <w:pPr>
        <w:jc w:val="left"/>
      </w:pPr>
      <w:r>
        <w:rPr>
          <w:rFonts w:ascii="Georgia" w:hAnsi="Georgia"/>
          <w:sz w:val="22"/>
        </w:rPr>
        <w:t>A summer program may teach something valuable. Its price is not evidence of admissions access. Ordinary high school life rarely looks like a brochure, and it does not need to. Help the student describe real choices, contribution, and growth without manufacturing a specialty.</w:t>
      </w:r>
    </w:p>
    <w:p>
      <w:pPr>
        <w:jc w:val="left"/>
      </w:pPr>
      <w:r>
        <w:rPr>
          <w:rFonts w:ascii="Georgia" w:hAnsi="Georgia"/>
          <w:sz w:val="22"/>
        </w:rPr>
        <w:t>A paid program can be worthwhile learning. A price tag is not an admissions credential.</w:t>
      </w:r>
    </w:p>
    <w:p>
      <w:pPr>
        <w:pStyle w:val="Heading2"/>
        <w:jc w:val="center"/>
      </w:pPr>
      <w:r>
        <w:rPr>
          <w:rFonts w:ascii="Georgia" w:hAnsi="Georgia"/>
          <w:b/>
          <w:color w:val="2A5CAA"/>
          <w:sz w:val="25"/>
        </w:rPr>
        <w:t>Reading Admissions Advice Without Chasing a Formula</w:t>
      </w:r>
    </w:p>
    <w:p>
      <w:pPr>
        <w:jc w:val="left"/>
      </w:pPr>
      <w:r>
        <w:rPr>
          <w:rFonts w:ascii="Georgia" w:hAnsi="Georgia"/>
          <w:sz w:val="22"/>
        </w:rPr>
        <w:t>Use books such as Who Gets In and Why and The Truth About College Admission to understand how admissions decisions are discussed, not to predict a future committee. Fiske can suggest colleges to compare; Where You Go Is Not Who You’ll Be is a useful counterweight to prestige anxiety. Policies and programs change, so verify consequential requirements on each college’s current official page.</w:t>
      </w:r>
    </w:p>
    <w:p>
      <w:pPr>
        <w:jc w:val="left"/>
      </w:pPr>
      <w:r>
        <w:rPr>
          <w:rFonts w:ascii="Georgia" w:hAnsi="Georgia"/>
          <w:sz w:val="22"/>
        </w:rPr>
        <w:t>When advice conflicts, label its source: official rule, reported practice, author interpretation, student story, or marketing. Give each a different weight. Keep a note of the official page and date checked for testing, deadlines, financial aid, and required materials. A book can frame the question; the school’s current instructions govern the application.</w:t>
      </w:r>
    </w:p>
    <w:p>
      <w:pPr>
        <w:jc w:val="left"/>
      </w:pPr>
      <w:r>
        <w:rPr>
          <w:rFonts w:ascii="Georgia" w:hAnsi="Georgia"/>
          <w:sz w:val="22"/>
        </w:rPr>
        <w:t>No one outside a college can know the exact weighting for an individual decision. Treat secret formulas as marketing. The same habits—strong work, real interests, honest writing, and good support—can prepare a student for many colleges. They do not create an Ivy entitlement.</w:t>
      </w:r>
    </w:p>
    <w:p>
      <w:pPr>
        <w:jc w:val="left"/>
      </w:pPr>
      <w:r>
        <w:rPr>
          <w:rFonts w:ascii="Georgia" w:hAnsi="Georgia"/>
          <w:sz w:val="22"/>
        </w:rPr>
        <w:t>A selective college is one possible outcome, not the definition of a successful student. Next, consider paths that fit the student’s interests, circumstances, and plans.</w:t>
      </w:r>
    </w:p>
    <w:p w14:paraId="50D239DE" w14:textId="77777777" w:rsidR="00557D37" w:rsidRDefault="00B54EE6">
      <w:pPr>
        <w:pStyle w:val="Heading1"/>
        <w:keepNext/>
        <w:pageBreakBefore/>
        <w:jc w:val="center"/>
      </w:pPr>
      <w:bookmarkStart w:id="27" w:name="sec24"/>
      <w:r>
        <w:rPr>
          <w:rFonts w:ascii="Georgia" w:hAnsi="Georgia"/>
          <w:b/>
          <w:color w:val="2A5CAA"/>
          <w:sz w:val="32"/>
        </w:rPr>
        <w:t>Chapter 9: Specialized and Nontraditional Paths</w:t>
      </w:r>
      <w:bookmarkEnd w:id="27"/>
    </w:p>
    <w:p w14:paraId="2C02DEBA" w14:textId="77777777" w:rsidR="00FE1D37" w:rsidRDefault="00CA19A5">
      <w:pPr>
        <w:pStyle w:val="Heading2"/>
        <w:keepNext/>
        <w:jc w:val="center"/>
      </w:pPr>
      <w:r>
        <w:rPr>
          <w:rFonts w:ascii="Georgia" w:hAnsi="Georgia"/>
          <w:b/>
          <w:color w:val="2A5CAA"/>
          <w:sz w:val="25"/>
        </w:rPr>
        <w:t>Dual-Citizen, International, and Non-Traditional Paths</w:t>
      </w:r>
    </w:p>
    <w:p w14:paraId="052760B0" w14:textId="77777777" w:rsidR="00557D37" w:rsidRDefault="00B54EE6">
      <w:pPr>
        <w:spacing w:after="200"/>
        <w:jc w:val="left"/>
      </w:pPr>
      <w:r>
        <w:rPr>
          <w:rFonts w:ascii="Georgia" w:hAnsi="Georgia"/>
          <w:sz w:val="22"/>
        </w:rPr>
        <w:t>Families with ties to more than one country have additional options and additional paperwork. A student who can study in the United States or in another system may have a broader set of choices. The practical work is to understand the requirements of each system early enough to meet them.</w:t>
      </w:r>
    </w:p>
    <w:p w14:paraId="52B4EE9E" w14:textId="77777777" w:rsidR="00557D37" w:rsidRDefault="00B54EE6">
      <w:pPr>
        <w:spacing w:after="200"/>
        <w:jc w:val="left"/>
      </w:pPr>
      <w:r>
        <w:rPr>
          <w:rFonts w:ascii="Georgia" w:hAnsi="Georgia"/>
          <w:sz w:val="22"/>
        </w:rPr>
        <w:t>Teaching example: a dual-citizen student with an engineering-oriented parent considered both U.S. selective colleges and strong European technical programs. The decision rested on language, cost, and where the student wanted to work afterward, not on a ranking. The application materials had to be prepared for more than one format.</w:t>
      </w:r>
    </w:p>
    <w:p w14:paraId="02330376" w14:textId="77777777" w:rsidR="00557D37" w:rsidRDefault="00B54EE6">
      <w:pPr>
        <w:spacing w:after="200"/>
        <w:jc w:val="left"/>
      </w:pPr>
      <w:r>
        <w:rPr>
          <w:rFonts w:ascii="Georgia" w:hAnsi="Georgia"/>
          <w:sz w:val="22"/>
        </w:rPr>
        <w:t>Non-traditional paths—community college transfer, gap years with real work, or late academic bloomers—can also lead to strong outcomes. The book does not treat them as failures. They are different routes that require the same honesty about preparation.</w:t>
      </w:r>
    </w:p>
    <w:p w14:paraId="172ABFB3" w14:textId="77777777" w:rsidR="00557D37" w:rsidRDefault="00B54EE6">
      <w:pPr>
        <w:pStyle w:val="Heading2"/>
        <w:keepNext/>
        <w:pageBreakBefore/>
        <w:jc w:val="center"/>
      </w:pPr>
      <w:bookmarkStart w:id="28" w:name="sec25"/>
      <w:r>
        <w:rPr>
          <w:rFonts w:ascii="Georgia" w:hAnsi="Georgia"/>
          <w:b/>
          <w:color w:val="2A5CAA"/>
          <w:sz w:val="25"/>
        </w:rPr>
        <w:t>STEM and Engineering-Minded Kids</w:t>
      </w:r>
      <w:bookmarkEnd w:id="28"/>
    </w:p>
    <w:p w14:paraId="5E08EDB3" w14:textId="77777777" w:rsidR="00557D37" w:rsidRDefault="00B54EE6">
      <w:pPr>
        <w:spacing w:after="200"/>
        <w:jc w:val="left"/>
      </w:pPr>
      <w:r>
        <w:rPr>
          <w:rFonts w:ascii="Georgia" w:hAnsi="Georgia"/>
          <w:sz w:val="22"/>
        </w:rPr>
        <w:t>Students who like building, measuring, and figuring out how things work often do better with projects than with additional generic activities. A parent with technical experience can help by providing materials, asking clarifying questions, and insisting on documentation. The documentation is what later becomes the activity description and the essay material.</w:t>
      </w:r>
    </w:p>
    <w:p w14:paraId="1793C44C" w14:textId="77777777" w:rsidR="00557D37" w:rsidRDefault="00B54EE6">
      <w:pPr>
        <w:spacing w:after="200"/>
        <w:jc w:val="left"/>
      </w:pPr>
      <w:r>
        <w:rPr>
          <w:rFonts w:ascii="Georgia" w:hAnsi="Georgia"/>
          <w:sz w:val="22"/>
        </w:rPr>
        <w:t>Useful projects are ones the student can explain: what was the problem, what was tried, what failed, what was learned. A polished result that the student cannot describe is less useful than a messy notebook of real attempts.</w:t>
      </w:r>
    </w:p>
    <w:p w14:paraId="1ADE4A0A" w14:textId="77777777" w:rsidR="00557D37" w:rsidRDefault="00B54EE6">
      <w:pPr>
        <w:spacing w:after="200"/>
        <w:jc w:val="left"/>
      </w:pPr>
      <w:r>
        <w:rPr>
          <w:rFonts w:ascii="Georgia" w:hAnsi="Georgia"/>
          <w:sz w:val="22"/>
        </w:rPr>
        <w:t>Course selection matters. Advanced mathematics and laboratory sciences, taken seriously, are clearer signals than a long list of unrelated clubs.</w:t>
      </w:r>
    </w:p>
    <w:p w14:paraId="775CF4AD" w14:textId="77777777" w:rsidR="00557D37" w:rsidRDefault="00B54EE6">
      <w:pPr>
        <w:pStyle w:val="Heading2"/>
        <w:keepNext/>
        <w:pageBreakBefore/>
        <w:jc w:val="center"/>
      </w:pPr>
      <w:bookmarkStart w:id="29" w:name="sec26"/>
      <w:r>
        <w:rPr>
          <w:rFonts w:ascii="Georgia" w:hAnsi="Georgia"/>
          <w:b/>
          <w:color w:val="2A5CAA"/>
          <w:sz w:val="25"/>
        </w:rPr>
        <w:t>The Medical School Path and Other Long Tracks</w:t>
      </w:r>
      <w:bookmarkEnd w:id="29"/>
    </w:p>
    <w:p w14:paraId="44238031" w14:textId="77777777" w:rsidR="00557D37" w:rsidRDefault="00B54EE6">
      <w:pPr>
        <w:spacing w:after="200"/>
        <w:jc w:val="left"/>
      </w:pPr>
      <w:r>
        <w:rPr>
          <w:rFonts w:ascii="Georgia" w:hAnsi="Georgia"/>
          <w:sz w:val="22"/>
        </w:rPr>
        <w:t>Supporting a student toward medicine or another long professional path is a multi-year commitment that begins well before the undergraduate application. The undergraduate years still require the same foundations: strong science and mathematics preparation, evidence of sustained interest, and the ability to do difficult work over time.</w:t>
      </w:r>
    </w:p>
    <w:p w14:paraId="20F9AEA5" w14:textId="77777777" w:rsidR="00557D37" w:rsidRDefault="00B54EE6">
      <w:pPr>
        <w:spacing w:after="200"/>
        <w:jc w:val="left"/>
      </w:pPr>
      <w:r>
        <w:rPr>
          <w:rFonts w:ascii="Georgia" w:hAnsi="Georgia"/>
          <w:sz w:val="22"/>
        </w:rPr>
        <w:t>Parents can help with logistics—transport to clinical volunteering if it is genuinely useful, financial planning for a long training period, and honest conversations about the lifestyle. They cannot do the coursework. A student who needs a parent to manage every deadline in high school will struggle in the later years.</w:t>
      </w:r>
    </w:p>
    <w:p w14:paraId="25ADB76D" w14:textId="77777777" w:rsidR="00557D37" w:rsidRDefault="00B54EE6">
      <w:pPr>
        <w:spacing w:after="200"/>
        <w:jc w:val="left"/>
      </w:pPr>
      <w:r>
        <w:rPr>
          <w:rFonts w:ascii="Georgia" w:hAnsi="Georgia"/>
          <w:sz w:val="22"/>
        </w:rPr>
        <w:t>Cost is real. Families that plan early for tuition, housing, and the possibility of additional years of training make better decisions than families that treat each stage as a surprise.</w:t>
      </w:r>
    </w:p>
    <w:p w14:paraId="24154BB2" w14:textId="77777777" w:rsidR="00557D37" w:rsidRDefault="00B54EE6">
      <w:pPr>
        <w:pStyle w:val="Heading1"/>
        <w:keepNext/>
        <w:pageBreakBefore/>
        <w:jc w:val="center"/>
      </w:pPr>
      <w:bookmarkStart w:id="30" w:name="sec27"/>
      <w:r>
        <w:rPr>
          <w:rFonts w:ascii="Georgia" w:hAnsi="Georgia"/>
          <w:b/>
          <w:color w:val="2A5CAA"/>
          <w:sz w:val="32"/>
        </w:rPr>
        <w:t>Chapter 10: College Costs, Outcomes, and Next Steps</w:t>
      </w:r>
      <w:bookmarkEnd w:id="30"/>
    </w:p>
    <w:p w14:paraId="6005AAD4" w14:textId="77777777" w:rsidR="00FE1D37" w:rsidRDefault="00CA19A5">
      <w:pPr>
        <w:pStyle w:val="Heading2"/>
        <w:keepNext/>
        <w:jc w:val="center"/>
      </w:pPr>
      <w:r>
        <w:rPr>
          <w:rFonts w:ascii="Georgia" w:hAnsi="Georgia"/>
          <w:b/>
          <w:color w:val="2A5CAA"/>
          <w:sz w:val="25"/>
        </w:rPr>
        <w:t>Money, Logistics, and the Real Cost</w:t>
      </w:r>
    </w:p>
    <w:p w14:paraId="54776593" w14:textId="77777777" w:rsidR="00557D37" w:rsidRDefault="00B54EE6">
      <w:pPr>
        <w:spacing w:after="200"/>
        <w:jc w:val="left"/>
      </w:pPr>
      <w:r>
        <w:rPr>
          <w:rFonts w:ascii="Georgia" w:hAnsi="Georgia"/>
          <w:sz w:val="22"/>
        </w:rPr>
        <w:t>Application and college costs can include fees, travel, housing, books, insurance, and other expenses. Fee waivers may be available, and colleges differ in how they package grants, work-study, and loans. Estimate the full cost of each option before the student applies.</w:t>
      </w:r>
    </w:p>
    <w:p w14:paraId="03809B16" w14:textId="77777777" w:rsidR="00557D37" w:rsidRDefault="00B54EE6">
      <w:pPr>
        <w:spacing w:after="200"/>
        <w:jc w:val="left"/>
      </w:pPr>
      <w:r>
        <w:rPr>
          <w:rFonts w:ascii="Georgia" w:hAnsi="Georgia"/>
          <w:sz w:val="22"/>
        </w:rPr>
        <w:t>Practical steps: list likely application and enrollment expenses; check each college's aid forms and priority dates; and use its net-price calculator. The FAFSA is used for federal aid and may also support state or college aid; state and school deadlines can be earlier than the federal deadline. Some colleges also require the CSS Profile for institutional aid. Verify deadlines on official financial-aid sites for the year the student will enroll. [10, 11]</w:t>
      </w:r>
    </w:p>
    <w:p w14:paraId="77CA56EF" w14:textId="77777777" w:rsidR="00557D37" w:rsidRDefault="00B54EE6">
      <w:pPr>
        <w:spacing w:after="200"/>
        <w:jc w:val="left"/>
      </w:pPr>
      <w:r>
        <w:rPr>
          <w:rFonts w:ascii="Georgia" w:hAnsi="Georgia"/>
          <w:sz w:val="22"/>
        </w:rPr>
        <w:t>A strong public university or a less selective private college that offers better aid can be the better outcome for many families. The ranking is not the only variable.</w:t>
      </w:r>
    </w:p>
    <w:p>
      <w:pPr>
        <w:jc w:val="left"/>
      </w:pPr>
      <w:r>
        <w:rPr>
          <w:rFonts w:ascii="Georgia" w:hAnsi="Georgia"/>
          <w:sz w:val="22"/>
        </w:rPr>
        <w:t>Sticker price starts the conversation; net price is the number the family has to plan around.</w:t>
      </w:r>
    </w:p>
    <w:p w14:paraId="50377ED0" w14:textId="77777777" w:rsidR="00557D37" w:rsidRDefault="00B54EE6">
      <w:pPr>
        <w:pStyle w:val="Heading2"/>
        <w:keepNext/>
        <w:pageBreakBefore/>
        <w:jc w:val="center"/>
      </w:pPr>
      <w:bookmarkStart w:id="31" w:name="sec28"/>
      <w:r>
        <w:rPr>
          <w:rFonts w:ascii="Georgia" w:hAnsi="Georgia"/>
          <w:b/>
          <w:color w:val="2A5CAA"/>
          <w:sz w:val="25"/>
        </w:rPr>
        <w:t>What Actually Mattered (and What Didn’t)</w:t>
      </w:r>
      <w:bookmarkEnd w:id="31"/>
    </w:p>
    <w:p w14:paraId="7C08CAB9" w14:textId="77777777" w:rsidR="00557D37" w:rsidRDefault="00B54EE6">
      <w:pPr>
        <w:spacing w:after="200"/>
        <w:jc w:val="left"/>
      </w:pPr>
      <w:r>
        <w:rPr>
          <w:rFonts w:ascii="Georgia" w:hAnsi="Georgia"/>
          <w:sz w:val="22"/>
        </w:rPr>
        <w:t>A family can invest energy where it is most likely to matter: regular reading and conversation, the student completing ordinary schoolwork, one or two genuine interests, enough sleep, and a parent who asks questions rather than taking over. In the earliest years, relationship safety and responsive care support the conditions in which learning develops; they do not fix a child’s trajectory. Expensive consultants, perfectly curated activity lists, and last-minute summer programs are not substitutes for those foundations.</w:t>
      </w:r>
    </w:p>
    <w:p w14:paraId="78562140" w14:textId="77777777" w:rsidR="00557D37" w:rsidRDefault="00B54EE6">
      <w:pPr>
        <w:spacing w:after="200"/>
        <w:jc w:val="left"/>
      </w:pPr>
      <w:r>
        <w:rPr>
          <w:rFonts w:ascii="Georgia" w:hAnsi="Georgia"/>
          <w:sz w:val="22"/>
        </w:rPr>
        <w:t>What did not matter as much as parents feared: the exact ranking of the high school, a perfect activity list, or the student’s ability to recite the mission statement of the target college. What mattered was whether the student could do the work and explain it.</w:t>
      </w:r>
    </w:p>
    <w:p w14:paraId="1B4692CE" w14:textId="77777777" w:rsidR="00557D37" w:rsidRDefault="00B54EE6">
      <w:pPr>
        <w:spacing w:after="200"/>
        <w:jc w:val="left"/>
      </w:pPr>
      <w:r>
        <w:rPr>
          <w:rFonts w:ascii="Georgia" w:hAnsi="Georgia"/>
          <w:sz w:val="22"/>
        </w:rPr>
        <w:t>These observations are patterns, not data. Your own results will depend on the student you have.</w:t>
      </w:r>
    </w:p>
    <w:p w14:paraId="685A863A" w14:textId="77777777" w:rsidR="00557D37" w:rsidRDefault="00B54EE6">
      <w:pPr>
        <w:pStyle w:val="Heading2"/>
        <w:keepNext/>
        <w:pageBreakBefore/>
        <w:jc w:val="center"/>
      </w:pPr>
      <w:bookmarkStart w:id="32" w:name="sec29"/>
      <w:r>
        <w:rPr>
          <w:rFonts w:ascii="Georgia" w:hAnsi="Georgia"/>
          <w:b/>
          <w:color w:val="2A5CAA"/>
          <w:sz w:val="25"/>
        </w:rPr>
        <w:t>Honest Outcomes and Strong Alternatives</w:t>
      </w:r>
      <w:bookmarkEnd w:id="32"/>
    </w:p>
    <w:p w14:paraId="73DC474B" w14:textId="77777777" w:rsidR="00557D37" w:rsidRDefault="00B54EE6">
      <w:pPr>
        <w:spacing w:after="200"/>
        <w:jc w:val="left"/>
      </w:pPr>
      <w:r>
        <w:rPr>
          <w:rFonts w:ascii="Georgia" w:hAnsi="Georgia"/>
          <w:sz w:val="22"/>
        </w:rPr>
        <w:t>Most strong students will not attend an Ivy League college. The arithmetic of seats makes this true. A student who is well prepared can still attend an excellent university, transfer later, or succeed in a different system. The preparation is not wasted.</w:t>
      </w:r>
    </w:p>
    <w:p w14:paraId="64A7FB7C" w14:textId="77777777" w:rsidR="00557D37" w:rsidRDefault="00B54EE6">
      <w:pPr>
        <w:spacing w:after="200"/>
        <w:jc w:val="left"/>
      </w:pPr>
      <w:r>
        <w:rPr>
          <w:rFonts w:ascii="Georgia" w:hAnsi="Georgia"/>
          <w:sz w:val="22"/>
        </w:rPr>
        <w:t>If the results are disappointing, the useful response is to look at the next decision the student controls: where to enroll, how to use the first year, whether a transfer application later makes sense. Arguing with the outcome does not change it.</w:t>
      </w:r>
    </w:p>
    <w:p w14:paraId="1B67ABFA" w14:textId="77777777" w:rsidR="00557D37" w:rsidRDefault="00B54EE6">
      <w:pPr>
        <w:spacing w:after="200"/>
        <w:jc w:val="left"/>
      </w:pPr>
      <w:r>
        <w:rPr>
          <w:rFonts w:ascii="Georgia" w:hAnsi="Georgia"/>
          <w:sz w:val="22"/>
        </w:rPr>
        <w:t>The relationship with the student continues after the decision letters arrive. Protecting that relationship is part of the work.</w:t>
      </w:r>
    </w:p>
    <w:p w14:paraId="10D2DE8D" w14:textId="77777777" w:rsidR="00557D37" w:rsidRDefault="00B54EE6">
      <w:pPr>
        <w:pStyle w:val="Heading2"/>
        <w:keepNext/>
        <w:pageBreakBefore/>
        <w:jc w:val="center"/>
      </w:pPr>
      <w:bookmarkStart w:id="33" w:name="sec30"/>
      <w:r>
        <w:rPr>
          <w:rFonts w:ascii="Georgia" w:hAnsi="Georgia"/>
          <w:b/>
          <w:color w:val="2A5CAA"/>
          <w:sz w:val="25"/>
        </w:rPr>
        <w:t>After Decisions, Money, and Other Practicalities</w:t>
      </w:r>
      <w:bookmarkEnd w:id="33"/>
    </w:p>
    <w:p w14:paraId="04B08F3C" w14:textId="77777777" w:rsidR="00557D37" w:rsidRDefault="00B54EE6">
      <w:pPr>
        <w:pStyle w:val="Heading2"/>
        <w:keepNext/>
        <w:jc w:val="center"/>
      </w:pPr>
      <w:r>
        <w:rPr>
          <w:rFonts w:ascii="Georgia" w:hAnsi="Georgia"/>
          <w:b/>
          <w:color w:val="2A5CAA"/>
          <w:sz w:val="25"/>
        </w:rPr>
        <w:t>Comparing Offers and Choosing</w:t>
      </w:r>
    </w:p>
    <w:p>
      <w:pPr>
        <w:pStyle w:val="Heading2"/>
        <w:jc w:val="center"/>
      </w:pPr>
      <w:r>
        <w:rPr>
          <w:rFonts w:ascii="Georgia" w:hAnsi="Georgia"/>
          <w:b/>
          <w:color w:val="2A5CAA"/>
          <w:sz w:val="25"/>
        </w:rPr>
        <w:t>A Family Framework for College Decisions</w:t>
      </w:r>
    </w:p>
    <w:p>
      <w:pPr>
        <w:jc w:val="left"/>
      </w:pPr>
      <w:r>
        <w:rPr>
          <w:rFonts w:ascii="Georgia" w:hAnsi="Georgia"/>
          <w:sz w:val="22"/>
        </w:rPr>
        <w:t>Emily Oster’s The Family Firm offers a decision-making lens: define the decision, list what matters to the family, gather information that could change the choice, and agree on a time to decide. For college, compare academic fit, cost, location, accessibility, student support, and distance from home. Include the student’s priorities and the adults’ financial constraints.</w:t>
      </w:r>
    </w:p>
    <w:p>
      <w:pPr>
        <w:jc w:val="left"/>
      </w:pPr>
      <w:r>
        <w:rPr>
          <w:rFonts w:ascii="Georgia" w:hAnsi="Georgia"/>
          <w:sz w:val="22"/>
        </w:rPr>
        <w:t>Ron Lieber’s The Price You Pay for College is a prompt to examine the full financial decision, not only tuition. Compare current net-price estimates, grants, loans, work expectations, travel, housing, and likely changes across years. Confirm whether aid renews and under what conditions. Before borrowing, record who is responsible, the interest terms, and the repayment plan.</w:t>
      </w:r>
    </w:p>
    <w:p>
      <w:pPr>
        <w:jc w:val="left"/>
      </w:pPr>
      <w:r>
        <w:rPr>
          <w:rFonts w:ascii="Georgia" w:hAnsi="Georgia"/>
          <w:sz w:val="22"/>
        </w:rPr>
        <w:t>The Millionaire Next Door is a popular account of financial habits, not a representative study of how children should be raised or a college-choice formula. Families can still teach practical money skills: distinguish income from spending, compare recurring costs, understand interest, plan for a goal, and make room for generosity.</w:t>
      </w:r>
    </w:p>
    <w:p w14:paraId="04739345" w14:textId="77777777" w:rsidR="00FE1D37" w:rsidRDefault="00CA19A5">
      <w:pPr>
        <w:jc w:val="left"/>
      </w:pPr>
      <w:r>
        <w:rPr>
          <w:rFonts w:ascii="Georgia" w:hAnsi="Georgia"/>
          <w:sz w:val="22"/>
        </w:rPr>
        <w:t>Compare colleges using the same categories for each offer: total estimated cost after grants, likely borrowing, academic fit, access to advising, location, housing, health services, and the student’s willingness to attend. Separate facts from impressions. A campus visit can help, but a virtual tour, conversation with current students, and official program information may be more accessible. Ask what an ordinary week would look like, not only what the institution’s name might signal to other people.</w:t>
      </w:r>
    </w:p>
    <w:p w14:paraId="60E56075" w14:textId="77777777" w:rsidR="00FE1D37" w:rsidRDefault="00CA19A5">
      <w:pPr>
        <w:jc w:val="left"/>
      </w:pPr>
      <w:r>
        <w:rPr>
          <w:rFonts w:ascii="Georgia" w:hAnsi="Georgia"/>
          <w:sz w:val="22"/>
        </w:rPr>
        <w:t>A financial aid offer is an estimate with conditions. Check whether grants renew, whether work is expected, what happens if family income changes, and whether tuition or housing costs are likely to rise. Compare net price and borrowing obligations rather than the advertised scholarship amount. If two offers remain close, contact the financial aid office with a clear question and documentation; do not assume a negotiation will succeed or that aid is portable between institutions.</w:t>
      </w:r>
    </w:p>
    <w:p w14:paraId="5AB250A7" w14:textId="77777777" w:rsidR="00FE1D37" w:rsidRDefault="00CA19A5">
      <w:pPr>
        <w:jc w:val="left"/>
      </w:pPr>
      <w:r>
        <w:rPr>
          <w:rFonts w:ascii="Georgia" w:hAnsi="Georgia"/>
          <w:sz w:val="22"/>
        </w:rPr>
        <w:t>The student should have meaningful ownership of the decision, with parents providing the family’s real budget and constraints. A school that is affordable, supportive, and aligned with the student’s goals can be a better choice than a more famous option that brings unmanageable debt or an unhealthy fit. Make the decision using current written information, then stop repeatedly reopening it unless a material fact changes.</w:t>
      </w:r>
    </w:p>
    <w:p w14:paraId="05CD02F1" w14:textId="77777777" w:rsidR="00557D37" w:rsidRDefault="00B54EE6">
      <w:pPr>
        <w:spacing w:after="200"/>
        <w:jc w:val="left"/>
      </w:pPr>
      <w:r>
        <w:rPr>
          <w:rFonts w:ascii="Georgia" w:hAnsi="Georgia"/>
          <w:sz w:val="22"/>
        </w:rPr>
        <w:t>When decisions arrive, compare net price (cost after grants and scholarships, before loans) rather than sticker price. Use each college’s aid letter and net-price calculator. Note differences in loan expectations, work-study, and renewable merit. A lower net price at a strong target often outweighs a higher-priced reach. Handle wait-lists by sending one updated factual note if allowed; do not count on them. Choose by fit, cost, and the student’s readiness rather than prestige alone.</w:t>
      </w:r>
    </w:p>
    <w:p>
      <w:pPr>
        <w:jc w:val="left"/>
      </w:pPr>
      <w:r>
        <w:rPr>
          <w:rFonts w:ascii="Georgia" w:hAnsi="Georgia"/>
          <w:sz w:val="22"/>
        </w:rPr>
        <w:t>A comparison can begin with three columns written in plain language: what the student values, what the family can afford without harmful strain, and what still needs verification. For each school, record the estimated annual net cost, what is grant versus loan, how far the student would travel, and which academic or support features matter. If a favorite option depends on uncertain aid or borrowing, identify a financially workable alternative before deposit deadlines arrive.</w:t>
      </w:r>
    </w:p>
    <w:p>
      <w:pPr>
        <w:jc w:val="left"/>
      </w:pPr>
      <w:r>
        <w:rPr>
          <w:rFonts w:ascii="Georgia" w:hAnsi="Georgia"/>
          <w:sz w:val="22"/>
        </w:rPr>
        <w:t>This fictional comparison shows how cost, fit, and constraints can point in different directions. The figures are examples, not current college prices or aid estimates.</w:t>
      </w:r>
    </w:p>
    <w:tbl>
      <w:tblPr>
        <w:tblW w:type="auto" w:w="0"/>
        <w:tblLook w:firstColumn="1" w:firstRow="1" w:lastColumn="0" w:lastRow="0" w:noHBand="0" w:noVBand="1" w:val="04A0"/>
      </w:tblPr>
      <w:tblGrid>
        <w:gridCol w:w="1440"/>
        <w:gridCol w:w="1440"/>
        <w:gridCol w:w="1440"/>
      </w:tblGrid>
      <w:tr>
        <w:tc>
          <w:tcPr>
            <w:tcW w:type="dxa" w:w="1440"/>
          </w:tcPr>
          <w:p>
            <w:r>
              <w:rPr>
                <w:rFonts w:ascii="Georgia" w:hAnsi="Georgia"/>
                <w:b/>
                <w:color w:val="2A5CAA"/>
                <w:sz w:val="19"/>
              </w:rPr>
              <w:t>Option / estimated net price</w:t>
            </w:r>
          </w:p>
        </w:tc>
        <w:tc>
          <w:tcPr>
            <w:tcW w:type="dxa" w:w="1440"/>
          </w:tcPr>
          <w:p>
            <w:r>
              <w:rPr>
                <w:rFonts w:ascii="Georgia" w:hAnsi="Georgia"/>
                <w:b/>
                <w:color w:val="2A5CAA"/>
                <w:sz w:val="19"/>
              </w:rPr>
              <w:t>Academic fit</w:t>
            </w:r>
          </w:p>
        </w:tc>
        <w:tc>
          <w:tcPr>
            <w:tcW w:type="dxa" w:w="1440"/>
          </w:tcPr>
          <w:p>
            <w:r>
              <w:rPr>
                <w:rFonts w:ascii="Georgia" w:hAnsi="Georgia"/>
                <w:b/>
                <w:color w:val="2A5CAA"/>
                <w:sz w:val="19"/>
              </w:rPr>
              <w:t>Constraint to check</w:t>
            </w:r>
          </w:p>
        </w:tc>
      </w:tr>
      <w:tr>
        <w:tc>
          <w:tcPr>
            <w:tcW w:type="dxa" w:w="1440"/>
          </w:tcPr>
          <w:p>
            <w:r>
              <w:rPr>
                <w:rFonts w:ascii="Georgia" w:hAnsi="Georgia"/>
                <w:sz w:val="18"/>
              </w:rPr>
              <w:t>College A — $18,000/year</w:t>
            </w:r>
          </w:p>
        </w:tc>
        <w:tc>
          <w:tcPr>
            <w:tcW w:type="dxa" w:w="1440"/>
          </w:tcPr>
          <w:p>
            <w:r>
              <w:rPr>
                <w:rFonts w:ascii="Georgia" w:hAnsi="Georgia"/>
                <w:sz w:val="18"/>
              </w:rPr>
              <w:t>Strong engineering match</w:t>
            </w:r>
          </w:p>
        </w:tc>
        <w:tc>
          <w:tcPr>
            <w:tcW w:type="dxa" w:w="1440"/>
          </w:tcPr>
          <w:p>
            <w:r>
              <w:rPr>
                <w:rFonts w:ascii="Georgia" w:hAnsi="Georgia"/>
                <w:sz w:val="18"/>
              </w:rPr>
              <w:t>Above the family’s $15,000 annual limit</w:t>
            </w:r>
          </w:p>
        </w:tc>
      </w:tr>
      <w:tr>
        <w:tc>
          <w:tcPr>
            <w:tcW w:type="dxa" w:w="1440"/>
          </w:tcPr>
          <w:p>
            <w:r>
              <w:rPr>
                <w:rFonts w:ascii="Georgia" w:hAnsi="Georgia"/>
                <w:sz w:val="18"/>
              </w:rPr>
              <w:t>College B — $13,000/year</w:t>
            </w:r>
          </w:p>
        </w:tc>
        <w:tc>
          <w:tcPr>
            <w:tcW w:type="dxa" w:w="1440"/>
          </w:tcPr>
          <w:p>
            <w:r>
              <w:rPr>
                <w:rFonts w:ascii="Georgia" w:hAnsi="Georgia"/>
                <w:sz w:val="18"/>
              </w:rPr>
              <w:t>Good program and advising support</w:t>
            </w:r>
          </w:p>
        </w:tc>
        <w:tc>
          <w:tcPr>
            <w:tcW w:type="dxa" w:w="1440"/>
          </w:tcPr>
          <w:p>
            <w:r>
              <w:rPr>
                <w:rFonts w:ascii="Georgia" w:hAnsi="Georgia"/>
                <w:sz w:val="18"/>
              </w:rPr>
              <w:t>Within limit; confirm renewal terms</w:t>
            </w:r>
          </w:p>
        </w:tc>
      </w:tr>
      <w:tr>
        <w:tc>
          <w:tcPr>
            <w:tcW w:type="dxa" w:w="1440"/>
          </w:tcPr>
          <w:p>
            <w:r>
              <w:rPr>
                <w:rFonts w:ascii="Georgia" w:hAnsi="Georgia"/>
                <w:sz w:val="18"/>
              </w:rPr>
              <w:t>College C — $9,000/year</w:t>
            </w:r>
          </w:p>
        </w:tc>
        <w:tc>
          <w:tcPr>
            <w:tcW w:type="dxa" w:w="1440"/>
          </w:tcPr>
          <w:p>
            <w:r>
              <w:rPr>
                <w:rFonts w:ascii="Georgia" w:hAnsi="Georgia"/>
                <w:sz w:val="18"/>
              </w:rPr>
              <w:t>Affordable, but desired major is unavailable</w:t>
            </w:r>
          </w:p>
        </w:tc>
        <w:tc>
          <w:tcPr>
            <w:tcW w:type="dxa" w:w="1440"/>
          </w:tcPr>
          <w:p>
            <w:r>
              <w:rPr>
                <w:rFonts w:ascii="Georgia" w:hAnsi="Georgia"/>
                <w:sz w:val="18"/>
              </w:rPr>
              <w:t>Low price does not solve the fit problem</w:t>
            </w:r>
          </w:p>
        </w:tc>
      </w:tr>
    </w:tbl>
    <w:p>
      <w:pPr>
        <w:jc w:val="left"/>
      </w:pPr>
      <w:r>
        <w:rPr>
          <w:rFonts w:ascii="Georgia" w:hAnsi="Georgia"/>
          <w:sz w:val="22"/>
        </w:rPr>
        <w:t>Net price is an estimate until the official aid offer arrives. Separate grants from loans and work expectations, then confirm renewal conditions with the financial-aid office.</w:t>
      </w:r>
    </w:p>
    <w:p>
      <w:pPr>
        <w:pStyle w:val="Heading2"/>
        <w:jc w:val="center"/>
      </w:pPr>
      <w:r>
        <w:rPr>
          <w:rFonts w:ascii="Georgia" w:hAnsi="Georgia"/>
          <w:b/>
          <w:color w:val="2A5CAA"/>
          <w:sz w:val="25"/>
        </w:rPr>
        <w:t>Compare Cost, Fit, and Opportunity Together</w:t>
      </w:r>
    </w:p>
    <w:p>
      <w:pPr>
        <w:jc w:val="left"/>
      </w:pPr>
      <w:r>
        <w:rPr>
          <w:rFonts w:ascii="Georgia" w:hAnsi="Georgia"/>
          <w:sz w:val="22"/>
        </w:rPr>
        <w:t>Use a shared decision sheet for each serious college option. Record the published cost of attendance, the family’s estimated net price after grants, which aid is renewable, likely annual increases, travel costs, and any required fees. Separate grants from loans and work expectations. Then list academic fit, advising and accessibility supports, class environment, location, and the student’s own level of interest. This makes hidden assumptions visible before an exciting campus visit or a prestige label dominates the conversation.</w:t>
      </w:r>
    </w:p>
    <w:p>
      <w:pPr>
        <w:jc w:val="left"/>
      </w:pPr>
      <w:r>
        <w:rPr>
          <w:rFonts w:ascii="Georgia" w:hAnsi="Georgia"/>
          <w:sz w:val="22"/>
        </w:rPr>
        <w:t>Ron Lieber’s focus on the price families pay is especially useful when comparing offers. A large first-year grant is not enough information by itself: check the renewal rules, satisfactory academic progress requirements, whether the grant can change, and what happens if family income or circumstances shift. Use each school’s official net-price calculator early, then compare the final aid letters carefully. If the numbers are difficult to interpret, ask the financial-aid office to explain them in writing.</w:t>
      </w:r>
    </w:p>
    <w:p>
      <w:pPr>
        <w:jc w:val="left"/>
      </w:pPr>
      <w:r>
        <w:rPr>
          <w:rFonts w:ascii="Georgia" w:hAnsi="Georgia"/>
          <w:sz w:val="22"/>
        </w:rPr>
        <w:t>Emily Oster’s decision-making approach can be adapted without pretending every family choice can be reduced to a spreadsheet. Identify the family’s constraints, such as a maximum borrowing amount or a need to stay within travel distance. Name the values that matter most to the student. Separate reversible choices from commitments that are harder to unwind. Then decide what additional information is worth gathering and when the family will stop researching. This reduces both impulsive decisions and endless comparison.</w:t>
      </w:r>
    </w:p>
    <w:p>
      <w:pPr>
        <w:jc w:val="left"/>
      </w:pPr>
      <w:r>
        <w:rPr>
          <w:rFonts w:ascii="Georgia" w:hAnsi="Georgia"/>
          <w:sz w:val="22"/>
        </w:rPr>
        <w:t>Financial habits can be taught in ordinary ways: compare prices, save for a chosen goal, understand interest, read a bank statement, and discuss the difference between wanting something and being able to afford it. Stanley and Danko’s book is one perspective on household behavior, not a prediction of which children will become wealthy. Use it to prompt conversation about discipline and consumption, while also recognizing that financial outcomes depend on opportunity, wages, health, inheritance, and broader economic conditions.</w:t>
      </w:r>
    </w:p>
    <w:p w14:paraId="24F69D16" w14:textId="77777777" w:rsidR="00557D37" w:rsidRDefault="00B54EE6">
      <w:pPr>
        <w:pStyle w:val="Heading2"/>
        <w:keepNext/>
        <w:jc w:val="center"/>
      </w:pPr>
      <w:r>
        <w:rPr>
          <w:rFonts w:ascii="Georgia" w:hAnsi="Georgia"/>
          <w:b/>
          <w:color w:val="2A5CAA"/>
          <w:sz w:val="25"/>
        </w:rPr>
        <w:t>If the Target Colleges Say No</w:t>
      </w:r>
    </w:p>
    <w:p w14:paraId="23F51E0D" w14:textId="77777777" w:rsidR="00557D37" w:rsidRDefault="00B54EE6">
      <w:pPr>
        <w:spacing w:after="200"/>
        <w:jc w:val="left"/>
      </w:pPr>
      <w:r>
        <w:rPr>
          <w:rFonts w:ascii="Georgia" w:hAnsi="Georgia"/>
          <w:sz w:val="22"/>
        </w:rPr>
        <w:t>Accept the best realistic offer in hand. If none is acceptable, a planned gap with concrete work or a community-college start with transfer intent keeps progress moving. Community college is effective when the student completes transferable courses at high grades under formal articulation agreements. After strong college performance the high-school record fades. Transfer from a four-year school is possible but harder and still unlikely at the most selective places. Later graduate admissions depend mainly on undergraduate grades, research or equivalent experience, and recommendations, not on the name of the first college.</w:t>
      </w:r>
    </w:p>
    <w:p w14:paraId="0D8E9006" w14:textId="77777777" w:rsidR="00557D37" w:rsidRDefault="00B54EE6">
      <w:pPr>
        <w:pStyle w:val="Heading2"/>
        <w:keepNext/>
        <w:jc w:val="center"/>
      </w:pPr>
      <w:r>
        <w:rPr>
          <w:rFonts w:ascii="Georgia" w:hAnsi="Georgia"/>
          <w:b/>
          <w:color w:val="2A5CAA"/>
          <w:sz w:val="25"/>
        </w:rPr>
        <w:t>Excelling as an Undergraduate for Graduate School</w:t>
      </w:r>
    </w:p>
    <w:p w14:paraId="3137EB9B" w14:textId="77777777" w:rsidR="00FE1D37" w:rsidRDefault="00CA19A5">
      <w:pPr>
        <w:jc w:val="left"/>
      </w:pPr>
      <w:r>
        <w:rPr>
          <w:rFonts w:ascii="Georgia" w:hAnsi="Georgia"/>
          <w:sz w:val="22"/>
        </w:rPr>
        <w:t>Graduate preparation begins with learning how a field works, not with collecting prestigious labels. In the first year, attend classes, use office hours before a crisis, and explore introductory courses across possible interests. Later, seek deeper work: a substantial course project, lab or studio experience, field placement, thesis, performance, or independent research. The appropriate evidence differs by discipline, so ask faculty and department advisers what strong applicants in that field usually demonstrate.</w:t>
      </w:r>
    </w:p>
    <w:p w14:paraId="49566057" w14:textId="77777777" w:rsidR="00FE1D37" w:rsidRDefault="00CA19A5">
      <w:pPr>
        <w:jc w:val="left"/>
      </w:pPr>
      <w:r>
        <w:rPr>
          <w:rFonts w:ascii="Georgia" w:hAnsi="Georgia"/>
          <w:sz w:val="22"/>
        </w:rPr>
        <w:t>Letters of recommendation grow from sustained, substantive contact. A student can contribute thoughtfully in class, complete work reliably, ask specific questions, and follow through on feedback. When requesting a letter, provide the recommender with a résumé, transcript if useful, a short description of goals, and adequate time. A generic request made at the deadline is unlikely to produce a detailed assessment. The student should give the recommender an easy and honest way to decline.</w:t>
      </w:r>
    </w:p>
    <w:p w14:paraId="11BACAF1" w14:textId="77777777" w:rsidR="00FE1D37" w:rsidRDefault="00CA19A5">
      <w:pPr>
        <w:jc w:val="left"/>
      </w:pPr>
      <w:r>
        <w:rPr>
          <w:rFonts w:ascii="Georgia" w:hAnsi="Georgia"/>
          <w:sz w:val="22"/>
        </w:rPr>
        <w:t>Keep the path financially realistic. Some graduate programs offer funding, while others expect students to pay substantial tuition; norms vary by field and degree. Before enrolling, examine placement outcomes, completion rates, advising structure, total costs, and likely employment—not only the program’s ranking. A master’s degree, doctorate, professional degree, or direct entry into work can each be sensible depending on the student’s aims. Reassess as interests develop rather than treating graduate school as a prize that must follow from an Ivy undergraduate admission.</w:t>
      </w:r>
    </w:p>
    <w:p w14:paraId="46083127" w14:textId="77777777" w:rsidR="00557D37" w:rsidRDefault="00B54EE6">
      <w:pPr>
        <w:spacing w:after="200"/>
        <w:jc w:val="left"/>
      </w:pPr>
      <w:r>
        <w:rPr>
          <w:rFonts w:ascii="Georgia" w:hAnsi="Georgia"/>
          <w:sz w:val="22"/>
        </w:rPr>
        <w:t>For a strong master’s or doctoral application, prioritize a high GPA in rigorous major courses, multi-year research or equivalent deep work that produces something concrete, and detailed letters from faculty who supervised that work. Start research early. Use office hours. Apply to a realistic range and calculate funding carefully. Fully funded doctoral offers are preferable in many fields. The same habits of consistent work, sleep, and sustained intellectual interest continue to matter. Undergraduate prestige is secondary to actual performance and output.</w:t>
      </w:r>
    </w:p>
    <w:p w14:paraId="43528873" w14:textId="77777777" w:rsidR="00557D37" w:rsidRDefault="00B54EE6">
      <w:pPr>
        <w:pStyle w:val="Heading2"/>
        <w:keepNext/>
        <w:jc w:val="center"/>
      </w:pPr>
      <w:r>
        <w:rPr>
          <w:rFonts w:ascii="Georgia" w:hAnsi="Georgia"/>
          <w:b/>
          <w:color w:val="2A5CAA"/>
          <w:sz w:val="25"/>
        </w:rPr>
        <w:t>Financial Aid Timing and Outlook</w:t>
      </w:r>
    </w:p>
    <w:p w14:paraId="5049711A" w14:textId="77777777" w:rsidR="00557D37" w:rsidRDefault="00B54EE6">
      <w:pPr>
        <w:spacing w:after="200"/>
        <w:jc w:val="left"/>
      </w:pPr>
      <w:hyperlink r:id="rId8" w:history="1">
        <w:r>
          <w:rPr>
            <w:rStyle w:val="Hyperlink"/>
          </w:rPr>
          <w:t>FAFSA</w:t>
        </w:r>
      </w:hyperlink>
      <w:r>
        <w:rPr>
          <w:rFonts w:ascii="Georgia" w:hAnsi="Georgia"/>
          <w:sz w:val="22"/>
        </w:rPr>
        <w:t xml:space="preserve"> as soon as it opens (usually October of senior year) and the CSS Profile if required. Deadlines are earlier than application deadlines at many colleges. Merit aid is limited and unpredictable at Ivies; need-based aid is more systematic but still requires accurate forms. Run net-price calculators in 11th grade so the list reflects what the family can actually sustain. The long-term outlook depends more on total debt at graduation and the student’s ability to finish than on the college’s name.</w:t>
      </w:r>
    </w:p>
    <w:p w14:paraId="2C84DDAB" w14:textId="77777777" w:rsidR="00557D37" w:rsidRDefault="00B54EE6">
      <w:pPr>
        <w:pStyle w:val="Heading2"/>
        <w:keepNext/>
        <w:jc w:val="center"/>
      </w:pPr>
      <w:r>
        <w:rPr>
          <w:rFonts w:ascii="Georgia" w:hAnsi="Georgia"/>
          <w:b/>
          <w:color w:val="2A5CAA"/>
          <w:sz w:val="25"/>
        </w:rPr>
        <w:t>Common Expensive Mistakes</w:t>
      </w:r>
    </w:p>
    <w:p w14:paraId="0038C031" w14:textId="77777777" w:rsidR="00557D37" w:rsidRDefault="00B54EE6">
      <w:pPr>
        <w:spacing w:after="200"/>
        <w:jc w:val="left"/>
      </w:pPr>
      <w:r>
        <w:rPr>
          <w:rFonts w:ascii="Georgia" w:hAnsi="Georgia"/>
          <w:sz w:val="22"/>
        </w:rPr>
        <w:t>Résumé-padding summer programs, repeated testing without skill gains, sleep sacrifice for marginal improvements, ghostwritten essays, early sport specialization aimed at recruitment, and activity collecting. These rarely change outcomes and often reduce the coherence of the file or the student’s well-being.</w:t>
      </w:r>
    </w:p>
    <w:p w14:paraId="1C31CDD4" w14:textId="77777777" w:rsidR="00557D37" w:rsidRDefault="00B54EE6">
      <w:pPr>
        <w:pStyle w:val="Heading2"/>
        <w:keepNext/>
        <w:jc w:val="center"/>
      </w:pPr>
      <w:r>
        <w:rPr>
          <w:rFonts w:ascii="Georgia" w:hAnsi="Georgia"/>
          <w:b/>
          <w:color w:val="2A5CAA"/>
          <w:sz w:val="25"/>
        </w:rPr>
        <w:t>Gap Year</w:t>
      </w:r>
    </w:p>
    <w:p w14:paraId="3DB1F012" w14:textId="77777777" w:rsidR="00557D37" w:rsidRDefault="00B54EE6">
      <w:pPr>
        <w:spacing w:after="200"/>
        <w:jc w:val="left"/>
      </w:pPr>
      <w:r>
        <w:rPr>
          <w:rFonts w:ascii="Georgia" w:hAnsi="Georgia"/>
          <w:sz w:val="22"/>
        </w:rPr>
        <w:t>A structured gap year can be reasonable for a student who needs maturity, recovery, or a specific experience. Colleges generally accept deferrals when the plan is concrete. Unstructured time is less well regarded. It is optional, not a strategy to improve admission odds.</w:t>
      </w:r>
    </w:p>
    <w:p w14:paraId="6E53B149" w14:textId="77777777" w:rsidR="00557D37" w:rsidRDefault="00B54EE6">
      <w:pPr>
        <w:pStyle w:val="Heading2"/>
        <w:keepNext/>
        <w:jc w:val="center"/>
      </w:pPr>
      <w:r>
        <w:rPr>
          <w:rFonts w:ascii="Georgia" w:hAnsi="Georgia"/>
          <w:b/>
          <w:color w:val="2A5CAA"/>
          <w:sz w:val="25"/>
        </w:rPr>
        <w:t>Dual-Citizen and International Mechanics</w:t>
      </w:r>
    </w:p>
    <w:p w14:paraId="1BC53A0E" w14:textId="77777777" w:rsidR="00557D37" w:rsidRDefault="00B54EE6">
      <w:pPr>
        <w:spacing w:after="200"/>
        <w:jc w:val="left"/>
      </w:pPr>
      <w:r>
        <w:rPr>
          <w:rFonts w:ascii="Georgia" w:hAnsi="Georgia"/>
          <w:sz w:val="22"/>
        </w:rPr>
        <w:t>Dual citizens may face additional forms, credential evaluations, or different aid rules depending on residency and the colleges. Check each school’s international or dual-citizen instructions early. Timelines can shift. The academic and activity standards remain the same.</w:t>
      </w:r>
    </w:p>
    <w:p w14:paraId="7850DA5D" w14:textId="77777777" w:rsidR="00557D37" w:rsidRDefault="00B54EE6">
      <w:pPr>
        <w:pStyle w:val="Heading2"/>
        <w:keepNext/>
        <w:jc w:val="center"/>
      </w:pPr>
      <w:r>
        <w:rPr>
          <w:rFonts w:ascii="Georgia" w:hAnsi="Georgia"/>
          <w:b/>
          <w:color w:val="2A5CAA"/>
          <w:sz w:val="25"/>
        </w:rPr>
        <w:t>Teachers and Counselors</w:t>
      </w:r>
    </w:p>
    <w:p w14:paraId="50D6133A" w14:textId="77777777" w:rsidR="00557D37" w:rsidRDefault="00B54EE6">
      <w:pPr>
        <w:spacing w:after="200"/>
        <w:jc w:val="left"/>
      </w:pPr>
      <w:r>
        <w:rPr>
          <w:rFonts w:ascii="Georgia" w:hAnsi="Georgia"/>
          <w:sz w:val="22"/>
        </w:rPr>
        <w:t>Ask recommenders early in senior year (or late junior). Provide a short factual list of work they have seen. Keep communication polite and minimal. A specific letter from a teacher who knows the student is more useful than a generic one.</w:t>
      </w:r>
    </w:p>
    <w:p w14:paraId="3FAC7236" w14:textId="77777777" w:rsidR="00557D37" w:rsidRDefault="00B54EE6">
      <w:pPr>
        <w:pStyle w:val="Heading2"/>
        <w:keepNext/>
        <w:jc w:val="center"/>
      </w:pPr>
      <w:r>
        <w:rPr>
          <w:rFonts w:ascii="Georgia" w:hAnsi="Georgia"/>
          <w:b/>
          <w:color w:val="2A5CAA"/>
          <w:sz w:val="25"/>
        </w:rPr>
        <w:t>Intellectual Curiosity Day to Day</w:t>
      </w:r>
    </w:p>
    <w:p w14:paraId="55A648CC" w14:textId="77777777" w:rsidR="00557D37" w:rsidRDefault="00B54EE6">
      <w:pPr>
        <w:spacing w:after="200"/>
        <w:jc w:val="left"/>
      </w:pPr>
      <w:r>
        <w:rPr>
          <w:rFonts w:ascii="Georgia" w:hAnsi="Georgia"/>
          <w:sz w:val="22"/>
        </w:rPr>
        <w:t>It appears as reading beyond assignments, asking follow-up questions, pursuing a project without a grade, or returning to a hard problem. It is not a club title. The reading habit and sustained interests already described are the ordinary forms.</w:t>
      </w:r>
    </w:p>
    <w:p w14:paraId="6743A960" w14:textId="77777777" w:rsidR="00557D37" w:rsidRDefault="00B54EE6">
      <w:pPr>
        <w:pStyle w:val="Heading2"/>
        <w:keepNext/>
        <w:jc w:val="center"/>
      </w:pPr>
      <w:r>
        <w:rPr>
          <w:rFonts w:ascii="Georgia" w:hAnsi="Georgia"/>
          <w:b/>
          <w:color w:val="2A5CAA"/>
          <w:sz w:val="25"/>
        </w:rPr>
        <w:t>If You Only Do These Things</w:t>
      </w:r>
    </w:p>
    <w:p w14:paraId="29C5BDF7" w14:textId="77777777" w:rsidR="00557D37" w:rsidRDefault="00B54EE6">
      <w:pPr>
        <w:spacing w:after="200"/>
        <w:jc w:val="left"/>
      </w:pPr>
      <w:r>
        <w:rPr>
          <w:rFonts w:ascii="Georgia" w:hAnsi="Georgia"/>
          <w:sz w:val="22"/>
        </w:rPr>
        <w:t>Protect sleep. Keep daily reading and responsive interaction. Take the most rigorous courses the student can handle well. Sustain one or two real interests over years. Prepare for tests with official materials once ready. Write the student’s own essays. Build a list by fit and net cost that includes likelies and targets. Avoid the expensive mistakes listed above. These raise the probability of a strong trajectory more reliably than any Ivy-specific tactic.</w:t>
      </w:r>
    </w:p>
    <w:p w14:paraId="2A9F9157" w14:textId="77777777" w:rsidR="00557D37" w:rsidRDefault="00B54EE6">
      <w:pPr>
        <w:pStyle w:val="Heading1"/>
        <w:keepNext/>
        <w:pageBreakBefore/>
        <w:jc w:val="center"/>
      </w:pPr>
      <w:bookmarkStart w:id="34" w:name="sec31"/>
      <w:r>
        <w:rPr>
          <w:rFonts w:ascii="Georgia" w:hAnsi="Georgia"/>
          <w:b/>
          <w:color w:val="2A5CAA"/>
          <w:sz w:val="32"/>
        </w:rPr>
        <w:t>Chapter 11: A Practical Timeline</w:t>
      </w:r>
      <w:bookmarkEnd w:id="34"/>
    </w:p>
    <w:p>
      <w:pPr>
        <w:jc w:val="left"/>
      </w:pPr>
      <w:r>
        <w:rPr>
          <w:rFonts w:ascii="Georgia" w:hAnsi="Georgia"/>
          <w:sz w:val="22"/>
        </w:rPr>
        <w:t>A useful timeline tells the family what to decide next—and what not to spend time or money on yet.</w:t>
      </w:r>
    </w:p>
    <w:p w14:paraId="4697789E" w14:textId="77777777" w:rsidR="00FE1D37" w:rsidRDefault="00CA19A5">
      <w:pPr>
        <w:pStyle w:val="Heading2"/>
        <w:keepNext/>
        <w:jc w:val="center"/>
      </w:pPr>
      <w:r>
        <w:rPr>
          <w:rFonts w:ascii="Georgia" w:hAnsi="Georgia"/>
          <w:b/>
          <w:color w:val="2A5CAA"/>
          <w:sz w:val="25"/>
        </w:rPr>
        <w:t>A Practical Timeline</w:t>
      </w:r>
    </w:p>
    <w:p>
      <w:pPr>
        <w:jc w:val="left"/>
      </w:pPr>
      <w:r>
        <w:rPr>
          <w:rFonts w:ascii="Georgia" w:hAnsi="Georgia"/>
          <w:sz w:val="22"/>
        </w:rPr>
        <w:t>Use the timeline in Appendix A as a decision map, not a race. At each stage, ask what matters now, what the child can begin to own, and what can wait. The costly mistake is usually adding commitments before the family has checked time, support, and net price.</w:t>
      </w:r>
    </w:p>
    <w:p>
      <w:pPr>
        <w:jc w:val="left"/>
      </w:pPr>
      <w:r>
        <w:rPr>
          <w:rFonts w:ascii="Georgia" w:hAnsi="Georgia"/>
          <w:sz w:val="22"/>
        </w:rPr>
        <w:t>Before a child, choose a co-parent for reliability, emotional safety, shared work, and the ability to repair conflict. Cognitive estimates do not supply a selection method.</w:t>
      </w:r>
    </w:p>
    <w:p>
      <w:pPr>
        <w:jc w:val="left"/>
      </w:pPr>
      <w:r>
        <w:rPr>
          <w:rFonts w:ascii="Georgia" w:hAnsi="Georgia"/>
          <w:sz w:val="22"/>
        </w:rPr>
        <w:t>In infancy and early childhood, build responsive daily interaction and protect health; enrichment products are optional. In elementary school, build basic skills and routines. In middle school, teach planning systems and let the student lead them. In high school, choose a sustainable course load, prepare for required tests with feedback, and pursue interests the student values.</w:t>
      </w:r>
    </w:p>
    <w:p>
      <w:pPr>
        <w:jc w:val="left"/>
      </w:pPr>
      <w:r>
        <w:rPr>
          <w:rFonts w:ascii="Georgia" w:hAnsi="Georgia"/>
          <w:sz w:val="22"/>
        </w:rPr>
        <w:t>In the application years, the student owns the writing and forms, while adults provide logistics and careful questions. Build the college list around academic fit, realistic likelihood, and net price. Recheck deadlines and policies for the actual application year; old calendars are excellent at being out of date.</w:t>
      </w:r>
    </w:p>
    <w:p w14:paraId="0DD849EC" w14:textId="77777777" w:rsidR="00557D37" w:rsidRDefault="00B54EE6">
      <w:pPr>
        <w:pStyle w:val="Heading1"/>
        <w:keepNext/>
        <w:pageBreakBefore/>
        <w:jc w:val="center"/>
      </w:pPr>
      <w:bookmarkStart w:id="35" w:name="sec32"/>
      <w:bookmarkStart w:id="36" w:name="appxA"/>
      <w:r>
        <w:rPr>
          <w:rFonts w:ascii="Georgia" w:hAnsi="Georgia"/>
          <w:b/>
          <w:color w:val="2A5CAA"/>
          <w:sz w:val="32"/>
        </w:rPr>
        <w:t>Appendix A: Timeline at a Glance</w:t>
      </w:r>
      <w:bookmarkEnd w:id="35"/>
      <w:bookmarkEnd w:id="36"/>
    </w:p>
    <w:p>
      <w:pPr>
        <w:jc w:val="left"/>
      </w:pPr>
      <w:r>
        <w:rPr>
          <w:rFonts w:ascii="Georgia" w:hAnsi="Georgia"/>
          <w:sz w:val="22"/>
        </w:rPr>
        <w:t>Use this table to choose the next useful action. Ages and school calendars vary; current requirements belong to the student’s actual school and application year.</w:t>
      </w:r>
    </w:p>
    <w:tbl>
      <w:tblPr>
        <w:tblW w:type="auto" w:w="0"/>
        <w:tblLook w:firstColumn="1" w:firstRow="1" w:lastColumn="0" w:lastRow="0" w:noHBand="0" w:noVBand="1" w:val="04A0"/>
      </w:tblPr>
      <w:tblGrid>
        <w:gridCol w:w="1440"/>
        <w:gridCol w:w="1440"/>
        <w:gridCol w:w="1440"/>
      </w:tblGrid>
      <w:tr>
        <w:tc>
          <w:tcPr>
            <w:tcW w:type="dxa" w:w="1440"/>
          </w:tcPr>
          <w:p>
            <w:r>
              <w:rPr>
                <w:rFonts w:ascii="Georgia" w:hAnsi="Georgia"/>
                <w:b/>
                <w:color w:val="2A5CAA"/>
                <w:sz w:val="19"/>
              </w:rPr>
              <w:t>Stage</w:t>
            </w:r>
          </w:p>
        </w:tc>
        <w:tc>
          <w:tcPr>
            <w:tcW w:type="dxa" w:w="1440"/>
          </w:tcPr>
          <w:p>
            <w:r>
              <w:rPr>
                <w:rFonts w:ascii="Georgia" w:hAnsi="Georgia"/>
                <w:b/>
                <w:color w:val="2A5CAA"/>
                <w:sz w:val="19"/>
              </w:rPr>
              <w:t>High-leverage focus</w:t>
            </w:r>
          </w:p>
        </w:tc>
        <w:tc>
          <w:tcPr>
            <w:tcW w:type="dxa" w:w="1440"/>
          </w:tcPr>
          <w:p>
            <w:r>
              <w:rPr>
                <w:rFonts w:ascii="Georgia" w:hAnsi="Georgia"/>
                <w:b/>
                <w:color w:val="2A5CAA"/>
                <w:sz w:val="19"/>
              </w:rPr>
              <w:t>Common costly mistake</w:t>
            </w:r>
          </w:p>
        </w:tc>
      </w:tr>
      <w:tr>
        <w:tc>
          <w:tcPr>
            <w:tcW w:type="dxa" w:w="1440"/>
          </w:tcPr>
          <w:p>
            <w:r>
              <w:rPr>
                <w:rFonts w:ascii="Georgia" w:hAnsi="Georgia"/>
                <w:sz w:val="18"/>
              </w:rPr>
              <w:t>Before a child</w:t>
            </w:r>
          </w:p>
        </w:tc>
        <w:tc>
          <w:tcPr>
            <w:tcW w:type="dxa" w:w="1440"/>
          </w:tcPr>
          <w:p>
            <w:r>
              <w:rPr>
                <w:rFonts w:ascii="Georgia" w:hAnsi="Georgia"/>
                <w:sz w:val="18"/>
              </w:rPr>
              <w:t>Reliable co-parenting, shared work, health</w:t>
            </w:r>
          </w:p>
        </w:tc>
        <w:tc>
          <w:tcPr>
            <w:tcW w:type="dxa" w:w="1440"/>
          </w:tcPr>
          <w:p>
            <w:r>
              <w:rPr>
                <w:rFonts w:ascii="Georgia" w:hAnsi="Georgia"/>
                <w:sz w:val="18"/>
              </w:rPr>
              <w:t>Treating cognitive estimates or prenatal products as a forecast</w:t>
            </w:r>
          </w:p>
        </w:tc>
      </w:tr>
      <w:tr>
        <w:tc>
          <w:tcPr>
            <w:tcW w:type="dxa" w:w="1440"/>
          </w:tcPr>
          <w:p>
            <w:r>
              <w:rPr>
                <w:rFonts w:ascii="Georgia" w:hAnsi="Georgia"/>
                <w:sz w:val="18"/>
              </w:rPr>
              <w:t>Infancy–preschool</w:t>
            </w:r>
          </w:p>
        </w:tc>
        <w:tc>
          <w:tcPr>
            <w:tcW w:type="dxa" w:w="1440"/>
          </w:tcPr>
          <w:p>
            <w:r>
              <w:rPr>
                <w:rFonts w:ascii="Georgia" w:hAnsi="Georgia"/>
                <w:sz w:val="18"/>
              </w:rPr>
              <w:t>Responsive interaction, reading, play, sleep</w:t>
            </w:r>
          </w:p>
        </w:tc>
        <w:tc>
          <w:tcPr>
            <w:tcW w:type="dxa" w:w="1440"/>
          </w:tcPr>
          <w:p>
            <w:r>
              <w:rPr>
                <w:rFonts w:ascii="Georgia" w:hAnsi="Georgia"/>
                <w:sz w:val="18"/>
              </w:rPr>
              <w:t>Buying stimulation programs instead of making time for ordinary care</w:t>
            </w:r>
          </w:p>
        </w:tc>
      </w:tr>
      <w:tr>
        <w:tc>
          <w:tcPr>
            <w:tcW w:type="dxa" w:w="1440"/>
          </w:tcPr>
          <w:p>
            <w:r>
              <w:rPr>
                <w:rFonts w:ascii="Georgia" w:hAnsi="Georgia"/>
                <w:sz w:val="18"/>
              </w:rPr>
              <w:t>Elementary</w:t>
            </w:r>
          </w:p>
        </w:tc>
        <w:tc>
          <w:tcPr>
            <w:tcW w:type="dxa" w:w="1440"/>
          </w:tcPr>
          <w:p>
            <w:r>
              <w:rPr>
                <w:rFonts w:ascii="Georgia" w:hAnsi="Georgia"/>
                <w:sz w:val="18"/>
              </w:rPr>
              <w:t>Reading, math, routines, chosen interests</w:t>
            </w:r>
          </w:p>
        </w:tc>
        <w:tc>
          <w:tcPr>
            <w:tcW w:type="dxa" w:w="1440"/>
          </w:tcPr>
          <w:p>
            <w:r>
              <w:rPr>
                <w:rFonts w:ascii="Georgia" w:hAnsi="Georgia"/>
                <w:sz w:val="18"/>
              </w:rPr>
              <w:t>Turning every activity into an admissions credential</w:t>
            </w:r>
          </w:p>
        </w:tc>
      </w:tr>
      <w:tr>
        <w:tc>
          <w:tcPr>
            <w:tcW w:type="dxa" w:w="1440"/>
          </w:tcPr>
          <w:p>
            <w:r>
              <w:rPr>
                <w:rFonts w:ascii="Georgia" w:hAnsi="Georgia"/>
                <w:sz w:val="18"/>
              </w:rPr>
              <w:t>Middle school</w:t>
            </w:r>
          </w:p>
        </w:tc>
        <w:tc>
          <w:tcPr>
            <w:tcW w:type="dxa" w:w="1440"/>
          </w:tcPr>
          <w:p>
            <w:r>
              <w:rPr>
                <w:rFonts w:ascii="Georgia" w:hAnsi="Georgia"/>
                <w:sz w:val="18"/>
              </w:rPr>
              <w:t>Planner habits, support, exploration, sleep</w:t>
            </w:r>
          </w:p>
        </w:tc>
        <w:tc>
          <w:tcPr>
            <w:tcW w:type="dxa" w:w="1440"/>
          </w:tcPr>
          <w:p>
            <w:r>
              <w:rPr>
                <w:rFonts w:ascii="Georgia" w:hAnsi="Georgia"/>
                <w:sz w:val="18"/>
              </w:rPr>
              <w:t>Managing every assignment or loading the schedule too early</w:t>
            </w:r>
          </w:p>
        </w:tc>
      </w:tr>
      <w:tr>
        <w:tc>
          <w:tcPr>
            <w:tcW w:type="dxa" w:w="1440"/>
          </w:tcPr>
          <w:p>
            <w:r>
              <w:rPr>
                <w:rFonts w:ascii="Georgia" w:hAnsi="Georgia"/>
                <w:sz w:val="18"/>
              </w:rPr>
              <w:t>High school</w:t>
            </w:r>
          </w:p>
        </w:tc>
        <w:tc>
          <w:tcPr>
            <w:tcW w:type="dxa" w:w="1440"/>
          </w:tcPr>
          <w:p>
            <w:r>
              <w:rPr>
                <w:rFonts w:ascii="Georgia" w:hAnsi="Georgia"/>
                <w:sz w:val="18"/>
              </w:rPr>
              <w:t>Sustainable rigor, depth, test plan if needed</w:t>
            </w:r>
          </w:p>
        </w:tc>
        <w:tc>
          <w:tcPr>
            <w:tcW w:type="dxa" w:w="1440"/>
          </w:tcPr>
          <w:p>
            <w:r>
              <w:rPr>
                <w:rFonts w:ascii="Georgia" w:hAnsi="Georgia"/>
                <w:sz w:val="18"/>
              </w:rPr>
              <w:t>Taking every advanced course or retesting without a reason</w:t>
            </w:r>
          </w:p>
        </w:tc>
      </w:tr>
      <w:tr>
        <w:tc>
          <w:tcPr>
            <w:tcW w:type="dxa" w:w="1440"/>
          </w:tcPr>
          <w:p>
            <w:r>
              <w:rPr>
                <w:rFonts w:ascii="Georgia" w:hAnsi="Georgia"/>
                <w:sz w:val="18"/>
              </w:rPr>
              <w:t>Application year</w:t>
            </w:r>
          </w:p>
        </w:tc>
        <w:tc>
          <w:tcPr>
            <w:tcW w:type="dxa" w:w="1440"/>
          </w:tcPr>
          <w:p>
            <w:r>
              <w:rPr>
                <w:rFonts w:ascii="Georgia" w:hAnsi="Georgia"/>
                <w:sz w:val="18"/>
              </w:rPr>
              <w:t>Student-owned writing, accurate forms, balanced list</w:t>
            </w:r>
          </w:p>
        </w:tc>
        <w:tc>
          <w:tcPr>
            <w:tcW w:type="dxa" w:w="1440"/>
          </w:tcPr>
          <w:p>
            <w:r>
              <w:rPr>
                <w:rFonts w:ascii="Georgia" w:hAnsi="Georgia"/>
                <w:sz w:val="18"/>
              </w:rPr>
              <w:t>Paying for polish or applying only to famous reaches</w:t>
            </w:r>
          </w:p>
        </w:tc>
      </w:tr>
      <w:tr>
        <w:tc>
          <w:tcPr>
            <w:tcW w:type="dxa" w:w="1440"/>
          </w:tcPr>
          <w:p>
            <w:r>
              <w:rPr>
                <w:rFonts w:ascii="Georgia" w:hAnsi="Georgia"/>
                <w:sz w:val="18"/>
              </w:rPr>
              <w:t>Choosing a college</w:t>
            </w:r>
          </w:p>
        </w:tc>
        <w:tc>
          <w:tcPr>
            <w:tcW w:type="dxa" w:w="1440"/>
          </w:tcPr>
          <w:p>
            <w:r>
              <w:rPr>
                <w:rFonts w:ascii="Georgia" w:hAnsi="Georgia"/>
                <w:sz w:val="18"/>
              </w:rPr>
              <w:t>Net price, fit, support, willingness to attend</w:t>
            </w:r>
          </w:p>
        </w:tc>
        <w:tc>
          <w:tcPr>
            <w:tcW w:type="dxa" w:w="1440"/>
          </w:tcPr>
          <w:p>
            <w:r>
              <w:rPr>
                <w:rFonts w:ascii="Georgia" w:hAnsi="Georgia"/>
                <w:sz w:val="18"/>
              </w:rPr>
              <w:t>Comparing sticker prices or committing before aid is clear</w:t>
            </w:r>
          </w:p>
        </w:tc>
      </w:tr>
    </w:tbl>
    <w:p w14:paraId="5D9D3A57" w14:textId="77777777" w:rsidR="00557D37" w:rsidRDefault="00B54EE6">
      <w:pPr>
        <w:pStyle w:val="Heading1"/>
        <w:keepNext/>
        <w:pageBreakBefore/>
        <w:jc w:val="center"/>
      </w:pPr>
      <w:bookmarkStart w:id="37" w:name="sec33"/>
      <w:bookmarkStart w:id="38" w:name="appxB"/>
      <w:r>
        <w:rPr>
          <w:rFonts w:ascii="Georgia" w:hAnsi="Georgia"/>
          <w:b/>
          <w:color w:val="2A5CAA"/>
          <w:sz w:val="32"/>
        </w:rPr>
        <w:t>Appendix B: Questions for the Student</w:t>
      </w:r>
      <w:bookmarkEnd w:id="37"/>
      <w:bookmarkEnd w:id="38"/>
    </w:p>
    <w:p w14:paraId="73D40F5E" w14:textId="77777777" w:rsidR="00557D37" w:rsidRDefault="00B54EE6">
      <w:pPr>
        <w:spacing w:after="160"/>
        <w:jc w:val="left"/>
      </w:pPr>
      <w:r>
        <w:rPr>
          <w:rFonts w:ascii="Georgia" w:hAnsi="Georgia"/>
          <w:sz w:val="22"/>
        </w:rPr>
        <w:t>Use these when the student is willing to talk. Do not turn them into an interrogation.</w:t>
      </w:r>
    </w:p>
    <w:p w14:paraId="295E7B57" w14:textId="77777777" w:rsidR="00557D37" w:rsidRDefault="00B54EE6">
      <w:pPr>
        <w:pStyle w:val="ListParagraph"/>
        <w:numPr>
          <w:ilvl w:val="0"/>
          <w:numId w:val="3"/>
        </w:numPr>
      </w:pPr>
      <w:r>
        <w:t>What are you working on that you would keep doing even if no one graded it?</w:t>
      </w:r>
    </w:p>
    <w:p w14:paraId="28AE8B8E" w14:textId="77777777" w:rsidR="00557D37" w:rsidRDefault="00B54EE6">
      <w:pPr>
        <w:pStyle w:val="ListParagraph"/>
        <w:numPr>
          <w:ilvl w:val="0"/>
          <w:numId w:val="3"/>
        </w:numPr>
      </w:pPr>
      <w:r>
        <w:t>Which class is hard in a useful way, and which is hard in a pointless way?</w:t>
      </w:r>
    </w:p>
    <w:p w14:paraId="4B2C7CFC" w14:textId="77777777" w:rsidR="00557D37" w:rsidRDefault="00B54EE6">
      <w:pPr>
        <w:pStyle w:val="ListParagraph"/>
        <w:numPr>
          <w:ilvl w:val="0"/>
          <w:numId w:val="3"/>
        </w:numPr>
      </w:pPr>
      <w:r>
        <w:t>If you had to explain one project to a stranger, which one would you choose and what would you say?</w:t>
      </w:r>
    </w:p>
    <w:p w14:paraId="04C3A472" w14:textId="77777777" w:rsidR="00557D37" w:rsidRDefault="00B54EE6">
      <w:pPr>
        <w:pStyle w:val="ListParagraph"/>
        <w:numPr>
          <w:ilvl w:val="0"/>
          <w:numId w:val="3"/>
        </w:numPr>
      </w:pPr>
      <w:r>
        <w:t>What would you stop doing if the college application disappeared tomorrow?</w:t>
      </w:r>
    </w:p>
    <w:p w14:paraId="6088552C" w14:textId="77777777" w:rsidR="00FE1D37" w:rsidRDefault="00CA19A5">
      <w:pPr>
        <w:pStyle w:val="Heading1"/>
        <w:keepNext/>
        <w:pageBreakBefore/>
        <w:jc w:val="center"/>
      </w:pPr>
      <w:bookmarkStart w:id="39" w:name="appx300"/>
      <w:r>
        <w:rPr>
          <w:rFonts w:ascii="Georgia" w:hAnsi="Georgia"/>
          <w:b/>
          <w:color w:val="2A5CAA"/>
          <w:sz w:val="32"/>
        </w:rPr>
        <w:t>Appendix C: Conversations That Support Independence</w:t>
      </w:r>
      <w:bookmarkEnd w:id="39"/>
    </w:p>
    <w:p w14:paraId="693855D1" w14:textId="77777777" w:rsidR="00FE1D37" w:rsidRDefault="00CA19A5">
      <w:pPr>
        <w:jc w:val="left"/>
      </w:pPr>
      <w:r>
        <w:rPr>
          <w:rFonts w:ascii="Georgia" w:hAnsi="Georgia"/>
          <w:sz w:val="22"/>
        </w:rPr>
        <w:t>A parent can help a student think without taking over by asking questions that invite the student to notice, choose, and reflect. Use one question at a time and let silence do some work. These prompts are invitations; the student can decline, answer briefly, or return to the topic later.</w:t>
      </w:r>
    </w:p>
    <w:p w14:paraId="31413527" w14:textId="77777777" w:rsidR="00FE1D37" w:rsidRDefault="00CA19A5">
      <w:pPr>
        <w:jc w:val="left"/>
      </w:pPr>
      <w:r>
        <w:rPr>
          <w:rFonts w:ascii="Georgia" w:hAnsi="Georgia"/>
          <w:sz w:val="22"/>
        </w:rPr>
        <w:t>When school feels difficult, try: What part is clear so far? Where did you get stuck? What have you tried? Would it help to talk with the teacher, practice one example, or take a break and come back? If the student is discouraged, first acknowledge the feeling. Advice offered too quickly can sound like a judgment.</w:t>
      </w:r>
    </w:p>
    <w:p w14:paraId="2DA0E72B" w14:textId="77777777" w:rsidR="00FE1D37" w:rsidRDefault="00CA19A5">
      <w:pPr>
        <w:jc w:val="left"/>
      </w:pPr>
      <w:r>
        <w:rPr>
          <w:rFonts w:ascii="Georgia" w:hAnsi="Georgia"/>
          <w:sz w:val="22"/>
        </w:rPr>
        <w:t>When choosing a course or activity, try: What are you hoping to learn or experience? What will the weekly time commitment look like? What would you have to give up? What support would make this sustainable? If the student wants to stop, ask what has changed and whether a different role or a planned ending would help.</w:t>
      </w:r>
    </w:p>
    <w:p w14:paraId="10D139D6" w14:textId="77777777" w:rsidR="00FE1D37" w:rsidRDefault="00CA19A5">
      <w:pPr>
        <w:jc w:val="left"/>
      </w:pPr>
      <w:r>
        <w:rPr>
          <w:rFonts w:ascii="Georgia" w:hAnsi="Georgia"/>
          <w:sz w:val="22"/>
        </w:rPr>
        <w:t>When researching colleges, try: What would you want to do in an ordinary week there? Which academic options matter most? What support or access would you need? What do you know about cost, and what still needs checking? Ask the student to explain the reasons in their own words rather than repeating a parent's ranking or preference.</w:t>
      </w:r>
    </w:p>
    <w:p w14:paraId="45A478B8" w14:textId="77777777" w:rsidR="00FE1D37" w:rsidRDefault="00CA19A5">
      <w:pPr>
        <w:jc w:val="left"/>
      </w:pPr>
      <w:r>
        <w:rPr>
          <w:rFonts w:ascii="Georgia" w:hAnsi="Georgia"/>
          <w:sz w:val="22"/>
        </w:rPr>
        <w:t>When applications are complete, try: What part of the process are you proud of? What would you do differently next time? What are you looking forward to regardless of the outcome? Keep conversations brief enough that college does not become the only family topic. The purpose is to help a student develop judgment, not to extract a perfect answer.</w:t>
      </w:r>
    </w:p>
    <w:p w14:paraId="51B80A9A" w14:textId="77777777" w:rsidR="00FE1D37" w:rsidRDefault="00CA19A5">
      <w:pPr>
        <w:pStyle w:val="Heading1"/>
        <w:keepNext/>
        <w:pageBreakBefore/>
        <w:jc w:val="center"/>
      </w:pPr>
      <w:bookmarkStart w:id="40" w:name="appx301"/>
      <w:r>
        <w:rPr>
          <w:rFonts w:ascii="Georgia" w:hAnsi="Georgia"/>
          <w:b/>
          <w:color w:val="2A5CAA"/>
          <w:sz w:val="32"/>
        </w:rPr>
        <w:t>Appendix D: A Calm College Research Routine</w:t>
      </w:r>
      <w:bookmarkEnd w:id="40"/>
    </w:p>
    <w:p w14:paraId="1C7B9508" w14:textId="77777777" w:rsidR="00FE1D37" w:rsidRDefault="00CA19A5">
      <w:pPr>
        <w:jc w:val="left"/>
      </w:pPr>
      <w:r>
        <w:rPr>
          <w:rFonts w:ascii="Georgia" w:hAnsi="Georgia"/>
          <w:sz w:val="22"/>
        </w:rPr>
        <w:t>A repeatable research routine can make a large college list more manageable. Start with the official website for the current application year. Read the admissions requirements, academic offerings, cost information, and student-support pages. Record what is confirmed, what is unclear, and the date checked. This prevents an old saved document or a social-media post from becoming the family's source of truth.</w:t>
      </w:r>
    </w:p>
    <w:p w14:paraId="4C111AA3" w14:textId="77777777" w:rsidR="00FE1D37" w:rsidRDefault="00CA19A5">
      <w:pPr>
        <w:jc w:val="left"/>
      </w:pPr>
      <w:r>
        <w:rPr>
          <w:rFonts w:ascii="Georgia" w:hAnsi="Georgia"/>
          <w:sz w:val="22"/>
        </w:rPr>
        <w:t>For each institution, identify a few concrete questions. Does the college offer the subject the student wants to explore? What are the first-year course choices? How do students access advising, tutoring, disability services, counseling, and health care? What is the actual cost after grants, and what expenses are not included? How easy is it to change academic direction? Questions should reflect this student's situation, not a generic prestige checklist.</w:t>
      </w:r>
    </w:p>
    <w:p w14:paraId="4737CB09" w14:textId="77777777" w:rsidR="00FE1D37" w:rsidRDefault="00CA19A5">
      <w:pPr>
        <w:jc w:val="left"/>
      </w:pPr>
      <w:r>
        <w:rPr>
          <w:rFonts w:ascii="Georgia" w:hAnsi="Georgia"/>
          <w:sz w:val="22"/>
        </w:rPr>
        <w:t>Use more than one source when the answer affects a major decision. The college's official pages are authoritative for its own requirements. Current students may help explain daily life but cannot promise how a future class or aid package will work. Rankings and discussion forums can suggest questions, but they should not substitute for official details. If contacting an office, write a concise question and save the reply.</w:t>
      </w:r>
    </w:p>
    <w:p w14:paraId="427500B8" w14:textId="77777777" w:rsidR="00FE1D37" w:rsidRDefault="00CA19A5">
      <w:pPr>
        <w:jc w:val="left"/>
      </w:pPr>
      <w:r>
        <w:rPr>
          <w:rFonts w:ascii="Georgia" w:hAnsi="Georgia"/>
          <w:sz w:val="22"/>
        </w:rPr>
        <w:t>When comparing schools, describe the tradeoffs in plain language. A campus may be strong in a desired subject but too expensive. Another may be close to home and offer dependable support. A third may be academically appealing but require a commute or housing arrangement that will not work. The student and family can weigh these factors without pretending they are interchangeable or reducible to one score.</w:t>
      </w:r>
    </w:p>
    <w:p w14:paraId="1DA974A1" w14:textId="77777777" w:rsidR="00FE1D37" w:rsidRDefault="00CA19A5">
      <w:pPr>
        <w:jc w:val="left"/>
      </w:pPr>
      <w:r>
        <w:rPr>
          <w:rFonts w:ascii="Georgia" w:hAnsi="Georgia"/>
          <w:sz w:val="22"/>
        </w:rPr>
        <w:t>Recheck policies before applying and again before committing. Requirements, deadlines, programs, and aid information change. A careful list is a living document, not a promise to apply to every name already written down.</w:t>
      </w:r>
    </w:p>
    <w:p w14:paraId="08EBF98B" w14:textId="77777777" w:rsidR="00FE1D37" w:rsidRDefault="00CA19A5">
      <w:pPr>
        <w:pStyle w:val="Heading1"/>
        <w:keepNext/>
        <w:pageBreakBefore/>
        <w:jc w:val="center"/>
      </w:pPr>
      <w:bookmarkStart w:id="41" w:name="appx302"/>
      <w:r>
        <w:rPr>
          <w:rFonts w:ascii="Georgia" w:hAnsi="Georgia"/>
          <w:b/>
          <w:color w:val="2A5CAA"/>
          <w:sz w:val="32"/>
        </w:rPr>
        <w:t>Appendix E: Application Integrity and Digital Tools</w:t>
      </w:r>
      <w:bookmarkEnd w:id="41"/>
    </w:p>
    <w:p w14:paraId="5FD0EDAF" w14:textId="77777777" w:rsidR="00FE1D37" w:rsidRDefault="00CA19A5">
      <w:pPr>
        <w:jc w:val="left"/>
      </w:pPr>
      <w:r>
        <w:rPr>
          <w:rFonts w:ascii="Georgia" w:hAnsi="Georgia"/>
          <w:sz w:val="22"/>
        </w:rPr>
        <w:t>The application belongs to the student. Parents can help with transportation, calendars, fees, and proofreading questions, but they should not create accomplishments, write essays in the student's voice, or submit work the student cannot explain. Read the rules from each application platform and college. Expectations for editing, translation, outside advice, and artificial-intelligence tools can differ and may change.</w:t>
      </w:r>
    </w:p>
    <w:p w14:paraId="6D3B4882" w14:textId="77777777" w:rsidR="00FE1D37" w:rsidRDefault="00CA19A5">
      <w:pPr>
        <w:jc w:val="left"/>
      </w:pPr>
      <w:r>
        <w:rPr>
          <w:rFonts w:ascii="Georgia" w:hAnsi="Georgia"/>
          <w:sz w:val="22"/>
        </w:rPr>
        <w:t>A student can use ordinary tools responsibly by keeping the underlying work their own. They might ask a grammar checker to identify a sentence that is difficult to read, then decide how to revise it. They might ask a tutor to explain a prompt, then draft the response themselves. If a tool proposes ideas or wording, the student should verify every detail, reject anything untrue, and follow the institution's disclosure or use rules. When uncertain, ask the admissions office before submitting.</w:t>
      </w:r>
    </w:p>
    <w:p w14:paraId="16599FAF" w14:textId="77777777" w:rsidR="00FE1D37" w:rsidRDefault="00CA19A5">
      <w:pPr>
        <w:jc w:val="left"/>
      </w:pPr>
      <w:r>
        <w:rPr>
          <w:rFonts w:ascii="Georgia" w:hAnsi="Georgia"/>
          <w:sz w:val="22"/>
        </w:rPr>
        <w:t>Protect privacy while preparing applications. Do not paste sensitive personal, medical, financial, or identifying information into a service unless the student and parent understand how that information is handled and have permission to use it. Use strong passwords and secure accounts. Be cautious about messages promising admission, scholarships, or special access in exchange for money or personal data.</w:t>
      </w:r>
    </w:p>
    <w:p w14:paraId="074FCB2E" w14:textId="77777777" w:rsidR="00FE1D37" w:rsidRDefault="00CA19A5">
      <w:pPr>
        <w:jc w:val="left"/>
      </w:pPr>
      <w:r>
        <w:rPr>
          <w:rFonts w:ascii="Georgia" w:hAnsi="Georgia"/>
          <w:sz w:val="22"/>
        </w:rPr>
        <w:t>A parent can support integrity by asking, "Does this sound like you? Is every detail accurate? Could you explain this choice to an admissions officer?" The student should have the final say over their story and should understand what is being submitted in their name.</w:t>
      </w:r>
    </w:p>
    <w:p w14:paraId="1B324595" w14:textId="77777777" w:rsidR="00FE1D37" w:rsidRDefault="00CA19A5">
      <w:pPr>
        <w:pStyle w:val="Heading1"/>
        <w:keepNext/>
        <w:pageBreakBefore/>
        <w:jc w:val="center"/>
      </w:pPr>
      <w:bookmarkStart w:id="42" w:name="appx303"/>
      <w:r>
        <w:rPr>
          <w:rFonts w:ascii="Georgia" w:hAnsi="Georgia"/>
          <w:b/>
          <w:color w:val="2A5CAA"/>
          <w:sz w:val="32"/>
        </w:rPr>
        <w:t>Appendix F: Financial Aid Terms to Compare</w:t>
      </w:r>
      <w:bookmarkEnd w:id="42"/>
    </w:p>
    <w:p w14:paraId="72A41C80" w14:textId="77777777" w:rsidR="00FE1D37" w:rsidRDefault="00CA19A5">
      <w:pPr>
        <w:jc w:val="left"/>
      </w:pPr>
      <w:r>
        <w:rPr>
          <w:rFonts w:ascii="Georgia" w:hAnsi="Georgia"/>
          <w:sz w:val="22"/>
        </w:rPr>
        <w:t>A grant or scholarship is generally aid that does not have to be repaid if the student meets its terms. A loan is borrowed money that must be repaid according to its conditions. Work-study is an opportunity to earn wages through eligible employment; it is not money automatically subtracted from the bill. Read the official aid offer for the amount, renewal rules, and any conditions attached to each item.</w:t>
      </w:r>
    </w:p>
    <w:p w14:paraId="1CE63D42" w14:textId="77777777" w:rsidR="00FE1D37" w:rsidRDefault="00CA19A5">
      <w:pPr>
        <w:jc w:val="left"/>
      </w:pPr>
      <w:r>
        <w:rPr>
          <w:rFonts w:ascii="Georgia" w:hAnsi="Georgia"/>
          <w:sz w:val="22"/>
        </w:rPr>
        <w:t>The published cost of attendance is an estimate that may include tuition, fees, housing, meals, books, transportation, and personal expenses. The billed amount can be lower or higher depending on housing, travel, health insurance, and the student's choices. A net-price calculator offers an estimate based on entered information, but it does not guarantee the eventual award. A net price is also not necessarily the same as the amount a family can comfortably pay.</w:t>
      </w:r>
    </w:p>
    <w:p w14:paraId="47C8D00A" w14:textId="77777777" w:rsidR="00FE1D37" w:rsidRDefault="00CA19A5">
      <w:pPr>
        <w:jc w:val="left"/>
      </w:pPr>
      <w:r>
        <w:rPr>
          <w:rFonts w:ascii="Georgia" w:hAnsi="Georgia"/>
          <w:sz w:val="22"/>
        </w:rPr>
        <w:t>When comparing two offers, separate gift aid from loans and expected work. Note whether aid is renewable, whether it depends on grades or enrollment status, and how it may change if the family income changes. Ask whether outside scholarships reduce loans, grants, or another part of the package. If there is an unusual family circumstance, contact the financial-aid office and ask what documentation it needs for a review.</w:t>
      </w:r>
    </w:p>
    <w:p w14:paraId="7DE1D8E9" w14:textId="77777777" w:rsidR="00FE1D37" w:rsidRDefault="00CA19A5">
      <w:pPr>
        <w:jc w:val="left"/>
      </w:pPr>
      <w:r>
        <w:rPr>
          <w:rFonts w:ascii="Georgia" w:hAnsi="Georgia"/>
          <w:sz w:val="22"/>
        </w:rPr>
        <w:t>If the family must borrow, compare the type of loan, interest, fees, repayment start, and who is legally responsible. Do not sign a loan agreement without understanding those terms. A financial-aid professional or qualified counselor can explain options. Aid rules are time-sensitive; use current official sources rather than this summary for a final decision.</w:t>
      </w:r>
    </w:p>
    <w:p w14:paraId="5C4B5535" w14:textId="77777777" w:rsidR="00FE1D37" w:rsidRDefault="00CA19A5">
      <w:pPr>
        <w:pStyle w:val="Heading1"/>
        <w:keepNext/>
        <w:pageBreakBefore/>
        <w:jc w:val="center"/>
      </w:pPr>
      <w:bookmarkStart w:id="43" w:name="appx304"/>
      <w:r>
        <w:rPr>
          <w:rFonts w:ascii="Georgia" w:hAnsi="Georgia"/>
          <w:b/>
          <w:color w:val="2A5CAA"/>
          <w:sz w:val="32"/>
        </w:rPr>
        <w:t>Appendix G: What to Recheck Each Application Year</w:t>
      </w:r>
      <w:bookmarkEnd w:id="43"/>
    </w:p>
    <w:p w14:paraId="5110C81E" w14:textId="77777777" w:rsidR="00557D37" w:rsidRDefault="00B54EE6">
      <w:pPr>
        <w:pStyle w:val="ListParagraph"/>
        <w:numPr>
          <w:ilvl w:val="0"/>
          <w:numId w:val="2"/>
        </w:numPr>
      </w:pPr>
      <w:r>
        <w:t>Twelfth: applications complete; aid submitted; decisions reviewed; enrollment choice made.</w:t>
      </w:r>
    </w:p>
    <w:p w14:paraId="0BD9F607" w14:textId="77777777" w:rsidR="00557D37" w:rsidRDefault="00B54EE6">
      <w:pPr>
        <w:pStyle w:val="ListParagraph"/>
        <w:numPr>
          <w:ilvl w:val="0"/>
          <w:numId w:val="2"/>
        </w:numPr>
      </w:pPr>
      <w:r>
        <w:t>Eleventh: testing plan set; college list drafted; teachers approached; aid forms researched.</w:t>
      </w:r>
    </w:p>
    <w:p w14:paraId="43C016D3" w14:textId="77777777" w:rsidR="00557D37" w:rsidRDefault="00B54EE6">
      <w:pPr>
        <w:pStyle w:val="ListParagraph"/>
        <w:numPr>
          <w:ilvl w:val="0"/>
          <w:numId w:val="2"/>
        </w:numPr>
      </w:pPr>
      <w:r>
        <w:t>Ninth–tenth: course plan reviewed with counselor; activity record started; sleep schedule protected.</w:t>
      </w:r>
    </w:p>
    <w:p w14:paraId="3B3883E7" w14:textId="77777777" w:rsidR="00557D37" w:rsidRDefault="00B54EE6">
      <w:pPr>
        <w:pStyle w:val="ListParagraph"/>
        <w:numPr>
          <w:ilvl w:val="0"/>
          <w:numId w:val="2"/>
        </w:numPr>
      </w:pPr>
      <w:r>
        <w:t>Middle school: homework routine established; one sustained interest identified; reading outside class happening.</w:t>
      </w:r>
    </w:p>
    <w:p w14:paraId="7DE2A63B" w14:textId="77777777" w:rsidR="00FE1D37" w:rsidRDefault="00CA19A5">
      <w:pPr>
        <w:pageBreakBefore/>
        <w:jc w:val="left"/>
      </w:pPr>
      <w:r>
        <w:rPr>
          <w:rFonts w:ascii="Georgia" w:hAnsi="Georgia"/>
          <w:sz w:val="22"/>
        </w:rPr>
        <w:t>Finally, ask the student what has changed: interests, responsibilities, health, family circumstances, or preferred setting. Remove colleges that no longer fit and add options the student has discovered. The goal is an accurate plan for this student and this cycle, not an inherited checklist.</w:t>
      </w:r>
    </w:p>
    <w:p w14:paraId="7B10105B" w14:textId="77777777" w:rsidR="00FE1D37" w:rsidRDefault="00CA19A5">
      <w:pPr>
        <w:jc w:val="left"/>
      </w:pPr>
      <w:r>
        <w:rPr>
          <w:rFonts w:ascii="Georgia" w:hAnsi="Georgia"/>
          <w:sz w:val="22"/>
        </w:rPr>
        <w:t>For academic planning, review graduation requirements, course availability, testing dates, accommodation processes, and school calendar changes. If the student is recruited for a sport or applying to a specialized program, check the relevant current rules directly. If the student needs disability or health support, ask the receiving institution how documentation and accommodation requests work; high-school arrangements do not automatically transfer.</w:t>
      </w:r>
    </w:p>
    <w:p w14:paraId="32506B9F" w14:textId="77777777" w:rsidR="00FE1D37" w:rsidRDefault="00CA19A5">
      <w:pPr>
        <w:jc w:val="left"/>
      </w:pPr>
      <w:r>
        <w:rPr>
          <w:rFonts w:ascii="Georgia" w:hAnsi="Georgia"/>
          <w:sz w:val="22"/>
        </w:rPr>
        <w:t>For financial aid, check the FAFSA year, state deadlines, institutional forms, CSS Profile requirements, priority dates, and the documentation each school expects. Confirm the family's online accounts work before a deadline week and use only official websites. If the student has citizenship, residency, or immigration questions, use authoritative government and college resources and qualified advisers.</w:t>
      </w:r>
    </w:p>
    <w:p w14:paraId="523D7047" w14:textId="77777777" w:rsidR="00FE1D37" w:rsidRDefault="00CA19A5">
      <w:pPr>
        <w:jc w:val="left"/>
      </w:pPr>
      <w:r>
        <w:rPr>
          <w:rFonts w:ascii="Georgia" w:hAnsi="Georgia"/>
          <w:sz w:val="22"/>
        </w:rPr>
        <w:t>At the start of each application year, verify the colleges' current testing policies, application platforms, required essays, recommendation rules, deadlines, fee-waiver procedures, and interview or demonstrated-interest policies. Confirm whether a student applies to the university, a particular school, or a direct-entry program. Save the official links and the date checked. Do not rely on screenshots or advice from an older sibling without verifying it.</w:t>
      </w:r>
    </w:p>
    <w:p w14:paraId="1A093281" w14:textId="77777777" w:rsidR="00FE1D37" w:rsidRDefault="00CA19A5">
      <w:pPr>
        <w:pStyle w:val="Heading1"/>
        <w:keepNext/>
        <w:pageBreakBefore/>
        <w:jc w:val="center"/>
      </w:pPr>
      <w:r>
        <w:rPr>
          <w:rFonts w:ascii="Georgia" w:hAnsi="Georgia"/>
          <w:b/>
          <w:color w:val="2A5CAA"/>
          <w:sz w:val="32"/>
        </w:rPr>
        <w:t>Appendix H: Quick-Use Reference Guides</w:t>
      </w:r>
    </w:p>
    <w:p>
      <w:pPr>
        <w:pStyle w:val="Heading2"/>
        <w:jc w:val="center"/>
      </w:pPr>
      <w:r>
        <w:rPr>
          <w:rFonts w:ascii="Georgia" w:hAnsi="Georgia"/>
          <w:b/>
          <w:color w:val="2A5CAA"/>
          <w:sz w:val="25"/>
        </w:rPr>
        <w:t>A Short Weekly Check-In</w:t>
      </w:r>
    </w:p>
    <w:p>
      <w:pPr>
        <w:jc w:val="left"/>
      </w:pPr>
      <w:r>
        <w:rPr>
          <w:rFonts w:ascii="Georgia" w:hAnsi="Georgia"/>
          <w:sz w:val="22"/>
        </w:rPr>
        <w:t>Ask four questions: What is going well? What feels crowded? What needs an adult’s help? What is one change to try this week? Keep it brief and use the answers to adjust the plan, not grade the student.</w:t>
      </w:r>
    </w:p>
    <w:p>
      <w:pPr>
        <w:pStyle w:val="Heading2"/>
        <w:jc w:val="center"/>
      </w:pPr>
      <w:r>
        <w:rPr>
          <w:rFonts w:ascii="Georgia" w:hAnsi="Georgia"/>
          <w:b/>
          <w:color w:val="2A5CAA"/>
          <w:sz w:val="25"/>
        </w:rPr>
        <w:t>From Interest to a Small Project</w:t>
      </w:r>
    </w:p>
    <w:p>
      <w:pPr>
        <w:jc w:val="left"/>
      </w:pPr>
      <w:r>
        <w:rPr>
          <w:rFonts w:ascii="Georgia" w:hAnsi="Georgia"/>
          <w:sz w:val="22"/>
        </w:rPr>
        <w:t>1. What question does the student actually want to answer? 2. What is the smallest safe next step? 3. What can they make, learn, or contribute with available time and materials? 4. Who can offer useful feedback? 5. Does the student want to continue? A project can stop after one version and still have been worthwhile.</w:t>
      </w:r>
    </w:p>
    <w:p>
      <w:pPr>
        <w:pStyle w:val="Heading2"/>
        <w:jc w:val="center"/>
      </w:pPr>
      <w:r>
        <w:rPr>
          <w:rFonts w:ascii="Georgia" w:hAnsi="Georgia"/>
          <w:b/>
          <w:color w:val="2A5CAA"/>
          <w:sz w:val="25"/>
        </w:rPr>
        <w:t>A Testing Error Log</w:t>
      </w:r>
    </w:p>
    <w:p>
      <w:pPr>
        <w:jc w:val="left"/>
      </w:pPr>
      <w:r>
        <w:rPr>
          <w:rFonts w:ascii="Georgia" w:hAnsi="Georgia"/>
          <w:sz w:val="22"/>
        </w:rPr>
        <w:t>Record the skill, why the first answer seemed plausible, the corrected reasoning, and one next practice step. Review recurring patterns weekly. A score tells you what happened; the log helps decide what to do next.</w:t>
      </w:r>
    </w:p>
    <w:p>
      <w:pPr>
        <w:pStyle w:val="Heading2"/>
        <w:jc w:val="center"/>
      </w:pPr>
      <w:r>
        <w:rPr>
          <w:rFonts w:ascii="Georgia" w:hAnsi="Georgia"/>
          <w:b/>
          <w:color w:val="2A5CAA"/>
          <w:sz w:val="25"/>
        </w:rPr>
        <w:t>A College Comparison</w:t>
      </w:r>
    </w:p>
    <w:p>
      <w:pPr>
        <w:jc w:val="left"/>
      </w:pPr>
      <w:r>
        <w:rPr>
          <w:rFonts w:ascii="Georgia" w:hAnsi="Georgia"/>
          <w:sz w:val="22"/>
        </w:rPr>
        <w:t>For each serious option, record the estimated annual net price, the academic program and support that fit the student, and the family constraint that could rule it out. Separate grants from loans and work expectations. Check the official aid offer before making a final commitment.</w:t>
      </w:r>
    </w:p>
    <w:p>
      <w:pPr>
        <w:pStyle w:val="Heading2"/>
        <w:jc w:val="center"/>
      </w:pPr>
      <w:r>
        <w:rPr>
          <w:rFonts w:ascii="Georgia" w:hAnsi="Georgia"/>
          <w:b/>
          <w:color w:val="2A5CAA"/>
          <w:sz w:val="25"/>
        </w:rPr>
        <w:t>A School Concern Record</w:t>
      </w:r>
    </w:p>
    <w:p>
      <w:pPr>
        <w:jc w:val="left"/>
      </w:pPr>
      <w:r>
        <w:rPr>
          <w:rFonts w:ascii="Georgia" w:hAnsi="Georgia"/>
          <w:sz w:val="22"/>
        </w:rPr>
        <w:t>Write the date, observable event, effect on the student, what has already been tried, who was contacted, and the agreed next step and review date. Facts help the school respond; labels such as “lazy” or “unfair” rarely explain what needs to change.</w:t>
      </w:r>
    </w:p>
    <w:p>
      <w:pPr>
        <w:pStyle w:val="Heading2"/>
        <w:jc w:val="center"/>
      </w:pPr>
      <w:r>
        <w:rPr>
          <w:rFonts w:ascii="Georgia" w:hAnsi="Georgia"/>
          <w:b/>
          <w:color w:val="2A5CAA"/>
          <w:sz w:val="25"/>
        </w:rPr>
        <w:t>An Application Voice Check</w:t>
      </w:r>
    </w:p>
    <w:p>
      <w:pPr>
        <w:jc w:val="left"/>
      </w:pPr>
      <w:r>
        <w:rPr>
          <w:rFonts w:ascii="Georgia" w:hAnsi="Georgia"/>
          <w:sz w:val="22"/>
        </w:rPr>
        <w:t>Can the student explain every sentence? Are details accurate? Does the writing sound like the student in conversation? Did an adult add a claim, interpretation, or vocabulary the student would not use? If so, return the draft to the student to revise.</w:t>
      </w:r>
    </w:p>
    <w:p>
      <w:pPr>
        <w:pStyle w:val="Heading2"/>
        <w:jc w:val="center"/>
      </w:pPr>
      <w:r>
        <w:rPr>
          <w:rFonts w:ascii="Georgia" w:hAnsi="Georgia"/>
          <w:b/>
          <w:color w:val="2A5CAA"/>
          <w:sz w:val="25"/>
        </w:rPr>
        <w:t>A Source Check for Changing Rules</w:t>
      </w:r>
    </w:p>
    <w:p>
      <w:pPr>
        <w:jc w:val="left"/>
      </w:pPr>
      <w:r>
        <w:rPr>
          <w:rFonts w:ascii="Georgia" w:hAnsi="Georgia"/>
          <w:sz w:val="22"/>
        </w:rPr>
        <w:t>For testing, deadlines, aid forms, eligibility, and program requirements, note the official page, the date checked, and the instruction that matters. A book or adviser can explain a process; the current official source determines the rule.</w:t>
      </w:r>
    </w:p>
    <w:p w14:paraId="1D42BE12" w14:textId="77777777" w:rsidR="00557D37" w:rsidRDefault="00B54EE6">
      <w:pPr>
        <w:pStyle w:val="Heading1"/>
        <w:keepNext/>
        <w:pageBreakBefore/>
        <w:jc w:val="center"/>
      </w:pPr>
      <w:bookmarkStart w:id="45" w:name="sec34"/>
      <w:r>
        <w:rPr>
          <w:rFonts w:ascii="Georgia" w:hAnsi="Georgia"/>
          <w:b/>
          <w:color w:val="2A5CAA"/>
          <w:sz w:val="32"/>
        </w:rPr>
        <w:t>A Closing Word</w:t>
      </w:r>
      <w:bookmarkEnd w:id="45"/>
    </w:p>
    <w:p w14:paraId="24826892" w14:textId="77777777" w:rsidR="00557D37" w:rsidRDefault="00B54EE6">
      <w:pPr>
        <w:spacing w:after="200"/>
        <w:jc w:val="left"/>
      </w:pPr>
      <w:r>
        <w:rPr>
          <w:rFonts w:ascii="Georgia" w:hAnsi="Georgia"/>
          <w:sz w:val="22"/>
        </w:rPr>
        <w:t>The title is a hook, not a promise. The work is to support a young person who can learn, ask for help, make choices, and build a life not defined by one admissions decision. Protect sleep and relationships; seek help when a problem is beyond the family's expertise; and apply to colleges that fit the student's goals and resources. Admission is uncertain, and a good life has many routes.</w:t>
      </w:r>
    </w:p>
    <w:p w14:paraId="39F26D13" w14:textId="77777777" w:rsidR="00557D37" w:rsidRDefault="00B54EE6">
      <w:pPr>
        <w:spacing w:after="200"/>
        <w:jc w:val="left"/>
      </w:pPr>
      <w:r>
        <w:rPr>
          <w:rFonts w:ascii="Georgia" w:hAnsi="Georgia"/>
          <w:sz w:val="22"/>
        </w:rPr>
        <w:t>That is the realistic version of giving birth to a strong applicant. The rest is marketing.</w:t>
      </w:r>
    </w:p>
    <w:p w14:paraId="19DD66FE" w14:textId="77777777" w:rsidR="00557D37" w:rsidRDefault="00B54EE6">
      <w:pPr>
        <w:pStyle w:val="Heading1"/>
        <w:keepNext/>
        <w:pageBreakBefore/>
        <w:jc w:val="center"/>
      </w:pPr>
      <w:bookmarkStart w:id="46" w:name="sec35"/>
      <w:bookmarkEnd w:id="46"/>
      <w:r>
        <w:rPr>
          <w:rFonts w:ascii="Georgia" w:hAnsi="Georgia"/>
          <w:b/>
          <w:color w:val="2A5CAA"/>
          <w:sz w:val="32"/>
        </w:rPr>
        <w:t>Selected References and Further Reading</w:t>
      </w:r>
    </w:p>
    <w:p w14:paraId="5DC4DF03" w14:textId="77777777" w:rsidR="00FE1D37" w:rsidRDefault="00CA19A5">
      <w:pPr>
        <w:jc w:val="left"/>
      </w:pPr>
      <w:r>
        <w:rPr>
          <w:rFonts w:ascii="Georgia" w:hAnsi="Georgia"/>
          <w:sz w:val="22"/>
        </w:rPr>
        <w:t>1. MedlinePlus Genetics. “What Is Heritability?” National Library of Medicine. https://medlineplus.gov/genetics/understanding/inheritance/heritability/</w:t>
      </w:r>
    </w:p>
    <w:p w14:paraId="64AC4D87" w14:textId="77777777" w:rsidR="00FE1D37" w:rsidRDefault="00CA19A5">
      <w:pPr>
        <w:jc w:val="left"/>
      </w:pPr>
      <w:r>
        <w:rPr>
          <w:rFonts w:ascii="Georgia" w:hAnsi="Georgia"/>
          <w:sz w:val="22"/>
        </w:rPr>
        <w:t>2. Partanen, E., Kujala, T., Tervaniemi, M., and Huotilainen, M. “Learning-Induced Neural Plasticity of Speech Processing Before Birth.” Proceedings of the National Academy of Sciences 110, no. 37 (2013): 15145–15150. https://doi.org/10.1073/pnas.1302159110</w:t>
      </w:r>
    </w:p>
    <w:p w14:paraId="41273345" w14:textId="77777777" w:rsidR="00FE1D37" w:rsidRDefault="00CA19A5">
      <w:pPr>
        <w:jc w:val="left"/>
      </w:pPr>
      <w:r>
        <w:rPr>
          <w:rFonts w:ascii="Georgia" w:hAnsi="Georgia"/>
          <w:sz w:val="22"/>
        </w:rPr>
        <w:t>3. Center on the Developing Child, Harvard University. “Serve and Return: Back-and-Forth Exchanges.” https://developingchild.harvard.edu/key-concept/serve-and-return/</w:t>
      </w:r>
    </w:p>
    <w:p w14:paraId="17E6C83E" w14:textId="77777777" w:rsidR="00FE1D37" w:rsidRDefault="00CA19A5">
      <w:pPr>
        <w:jc w:val="left"/>
      </w:pPr>
      <w:r>
        <w:rPr>
          <w:rFonts w:ascii="Georgia" w:hAnsi="Georgia"/>
          <w:sz w:val="22"/>
        </w:rPr>
        <w:t>4. Munzer, T., Parga-Belinkie, J., Milkovich, L. M., et al. “Digital Ecosystems, Children, and Adolescents: Policy Statement.” Pediatrics 157, no. 2 (2026): e2025075320. https://doi.org/10.1542/peds.2025-075320</w:t>
      </w:r>
    </w:p>
    <w:p w14:paraId="0B9CB4C3" w14:textId="77777777" w:rsidR="00FE1D37" w:rsidRDefault="00CA19A5">
      <w:pPr>
        <w:jc w:val="left"/>
      </w:pPr>
      <w:r>
        <w:rPr>
          <w:rFonts w:ascii="Georgia" w:hAnsi="Georgia"/>
          <w:sz w:val="22"/>
        </w:rPr>
        <w:t>5. Paruthi, S., Brooks, L. J., D’Ambrosio, C., et al. “Recommended Amount of Sleep for Pediatric Populations: A Consensus Statement of the American Academy of Sleep Medicine.” Journal of Clinical Sleep Medicine 12, no. 6 (2016): 785–786. https://doi.org/10.5664/jcsm.5866</w:t>
      </w:r>
    </w:p>
    <w:p w14:paraId="15CF6633" w14:textId="77777777" w:rsidR="00FE1D37" w:rsidRDefault="00CA19A5">
      <w:pPr>
        <w:jc w:val="left"/>
      </w:pPr>
      <w:r>
        <w:rPr>
          <w:rFonts w:ascii="Georgia" w:hAnsi="Georgia"/>
          <w:sz w:val="22"/>
        </w:rPr>
        <w:t>6. Centers for Disease Control and Prevention. “Dogs: Healthy Pets, Healthy People.” https://www.cdc.gov/healthy-pets/about/dogs.html</w:t>
      </w:r>
    </w:p>
    <w:p w14:paraId="50905F55" w14:textId="77777777" w:rsidR="00FE1D37" w:rsidRDefault="00CA19A5">
      <w:pPr>
        <w:jc w:val="left"/>
      </w:pPr>
      <w:r>
        <w:rPr>
          <w:rFonts w:ascii="Georgia" w:hAnsi="Georgia"/>
          <w:sz w:val="22"/>
        </w:rPr>
        <w:t>7. Yale University Office of Undergraduate Admissions. “Course Selection.” Check the current page for the application year. https://admissions.yale.edu/course-selection</w:t>
      </w:r>
    </w:p>
    <w:p w14:paraId="4DA6318B" w14:textId="77777777" w:rsidR="00FE1D37" w:rsidRDefault="00CA19A5">
      <w:pPr>
        <w:jc w:val="left"/>
      </w:pPr>
      <w:r>
        <w:rPr>
          <w:rFonts w:ascii="Georgia" w:hAnsi="Georgia"/>
          <w:sz w:val="22"/>
        </w:rPr>
        <w:t>8. Yale University Office of Undergraduate Admissions. “What Yale Looks For” and “Standardized Testing.” School-specific policies; confirm current requirements. https://admissions.yale.edu/what-yale-looks-for and https://admissions.yale.edu/standardized-testing</w:t>
      </w:r>
    </w:p>
    <w:p w14:paraId="7BC79063" w14:textId="77777777" w:rsidR="00FE1D37" w:rsidRDefault="00CA19A5">
      <w:pPr>
        <w:jc w:val="left"/>
      </w:pPr>
      <w:r>
        <w:rPr>
          <w:rFonts w:ascii="Georgia" w:hAnsi="Georgia"/>
          <w:sz w:val="22"/>
        </w:rPr>
        <w:t>9. National Collegiate Athletic Association. “NCAA Recruiting.” Rules vary by sport, division, and year. https://www.ncaa.org/eligibility-center/recruiting/</w:t>
      </w:r>
    </w:p>
    <w:p w14:paraId="31FB1F93" w14:textId="77777777" w:rsidR="00FE1D37" w:rsidRDefault="00CA19A5">
      <w:pPr>
        <w:jc w:val="left"/>
      </w:pPr>
      <w:r>
        <w:rPr>
          <w:rFonts w:ascii="Georgia" w:hAnsi="Georgia"/>
          <w:sz w:val="22"/>
        </w:rPr>
        <w:t>10. Federal Student Aid. FAFSA application and deadlines. Use the current aid-year form and deadline information. https://studentaid.gov/h/apply-for-aid/fafsa</w:t>
      </w:r>
    </w:p>
    <w:p w14:paraId="09F71CC1" w14:textId="77777777" w:rsidR="00FE1D37" w:rsidRDefault="00CA19A5">
      <w:pPr>
        <w:jc w:val="left"/>
      </w:pPr>
      <w:r>
        <w:rPr>
          <w:rFonts w:ascii="Georgia" w:hAnsi="Georgia"/>
          <w:sz w:val="22"/>
        </w:rPr>
        <w:t>11. College Board. “About CSS Profile.” Check each college’s current requirements and deadlines. https://cssprofile.collegeboard.org/about</w:t>
      </w:r>
    </w:p>
    <w:p w14:paraId="6816BD20" w14:textId="77777777" w:rsidR="00557D37" w:rsidRDefault="00B54EE6">
      <w:pPr>
        <w:spacing w:after="200"/>
        <w:jc w:val="left"/>
      </w:pPr>
      <w:r>
        <w:rPr>
          <w:rFonts w:ascii="Georgia" w:hAnsi="Georgia"/>
          <w:sz w:val="22"/>
        </w:rPr>
        <w:t>The following works informed the practical recommendations in this book. They are starting points rather than an exhaustive list.</w:t>
      </w:r>
    </w:p>
    <w:p w14:paraId="4B626A7D" w14:textId="77777777" w:rsidR="00557D37" w:rsidRDefault="00B54EE6">
      <w:pPr>
        <w:spacing w:after="120"/>
        <w:jc w:val="left"/>
      </w:pPr>
      <w:r>
        <w:rPr>
          <w:rFonts w:ascii="Georgia" w:hAnsi="Georgia"/>
          <w:sz w:val="22"/>
        </w:rPr>
        <w:t>Bronfenbrenner, Urie. The Ecology of Human Development. Harvard University Press, 1979.</w:t>
      </w:r>
    </w:p>
    <w:p w14:paraId="199C0C89" w14:textId="77777777" w:rsidR="00557D37" w:rsidRDefault="00B54EE6">
      <w:pPr>
        <w:spacing w:after="120"/>
        <w:jc w:val="left"/>
      </w:pPr>
      <w:hyperlink r:id="rId9" w:history="1">
        <w:r>
          <w:rPr>
            <w:rStyle w:val="Hyperlink"/>
          </w:rPr>
          <w:t>Center on the Developing Child at Harvard University. Serve and Return Interaction.</w:t>
        </w:r>
      </w:hyperlink>
    </w:p>
    <w:p w14:paraId="1299B66B" w14:textId="77777777" w:rsidR="00557D37" w:rsidRDefault="00B54EE6">
      <w:pPr>
        <w:spacing w:after="120"/>
        <w:jc w:val="left"/>
      </w:pPr>
      <w:r>
        <w:rPr>
          <w:rFonts w:ascii="Georgia" w:hAnsi="Georgia"/>
          <w:sz w:val="22"/>
        </w:rPr>
        <w:t>Duckworth, Angela. Grit: The Power of Passion and Perseverance. Scribner, 2016.</w:t>
      </w:r>
    </w:p>
    <w:p w14:paraId="2DF7E7C3" w14:textId="77777777" w:rsidR="00557D37" w:rsidRDefault="00B54EE6">
      <w:pPr>
        <w:spacing w:after="120"/>
        <w:jc w:val="left"/>
      </w:pPr>
      <w:r>
        <w:rPr>
          <w:rFonts w:ascii="Georgia" w:hAnsi="Georgia"/>
          <w:sz w:val="22"/>
        </w:rPr>
        <w:t>Dweck, Carol S. Mindset: The New Psychology of Success. Random House, 2006.</w:t>
      </w:r>
    </w:p>
    <w:p w14:paraId="1A82E2DB" w14:textId="77777777" w:rsidR="00557D37" w:rsidRDefault="00B54EE6">
      <w:pPr>
        <w:spacing w:after="120"/>
        <w:jc w:val="left"/>
      </w:pPr>
      <w:r>
        <w:rPr>
          <w:rFonts w:ascii="Georgia" w:hAnsi="Georgia"/>
          <w:sz w:val="22"/>
        </w:rPr>
        <w:t>Heckman, James J. Various papers on early skill formation and non-cognitive skills. National Bureau of Economic Research.</w:t>
      </w:r>
    </w:p>
    <w:p w14:paraId="2A45BC2F" w14:textId="77777777" w:rsidR="00557D37" w:rsidRDefault="00B54EE6">
      <w:pPr>
        <w:spacing w:after="120"/>
        <w:jc w:val="left"/>
      </w:pPr>
      <w:r>
        <w:rPr>
          <w:rFonts w:ascii="Georgia" w:hAnsi="Georgia"/>
          <w:sz w:val="22"/>
        </w:rPr>
        <w:t>Lareau, Annette. Unequal Childhoods: Class, Race, and Family Life. University of California Press, 2003/2011.</w:t>
      </w:r>
    </w:p>
    <w:p w14:paraId="50511BA2" w14:textId="77777777" w:rsidR="00557D37" w:rsidRDefault="00B54EE6">
      <w:pPr>
        <w:spacing w:after="120"/>
        <w:jc w:val="left"/>
      </w:pPr>
      <w:r>
        <w:rPr>
          <w:rFonts w:ascii="Georgia" w:hAnsi="Georgia"/>
          <w:sz w:val="22"/>
        </w:rPr>
        <w:t>National Academies of Sciences, Engineering, and Medicine. How People Learn II. National Academies Press, 2018.</w:t>
      </w:r>
    </w:p>
    <w:p w14:paraId="529DF768" w14:textId="77777777" w:rsidR="00557D37" w:rsidRDefault="00B54EE6">
      <w:pPr>
        <w:spacing w:after="120"/>
        <w:jc w:val="left"/>
      </w:pPr>
      <w:r>
        <w:rPr>
          <w:rFonts w:ascii="Georgia" w:hAnsi="Georgia"/>
          <w:sz w:val="22"/>
        </w:rPr>
        <w:t>Selingo, Jeffrey J. Who Gets In and Why: A Year Inside College Admissions. Scribner, 2020.</w:t>
      </w:r>
    </w:p>
    <w:p w14:paraId="11293DA8" w14:textId="77777777" w:rsidR="00557D37" w:rsidRDefault="00B54EE6">
      <w:pPr>
        <w:spacing w:after="120"/>
        <w:jc w:val="left"/>
      </w:pPr>
      <w:r>
        <w:rPr>
          <w:rFonts w:ascii="Georgia" w:hAnsi="Georgia"/>
          <w:sz w:val="22"/>
        </w:rPr>
        <w:t>Tough, Paul. How Children Succeed: Grit, Curiosity, and the Hidden Power of Character. Houghton Mifflin Harcourt, 2012.</w:t>
      </w:r>
    </w:p>
    <w:p w14:paraId="762F0695" w14:textId="77777777" w:rsidR="00557D37" w:rsidRDefault="00B54EE6">
      <w:pPr>
        <w:spacing w:after="120"/>
        <w:jc w:val="left"/>
      </w:pPr>
      <w:hyperlink r:id="rId10" w:history="1">
        <w:r>
          <w:rPr>
            <w:rStyle w:val="Hyperlink"/>
          </w:rPr>
          <w:t>American Academy of Pediatrics. Policy statements on media use, sleep, and early childhood development.</w:t>
        </w:r>
      </w:hyperlink>
    </w:p>
    <w:p w14:paraId="051C76F2" w14:textId="77777777" w:rsidR="00557D37" w:rsidRDefault="00B54EE6">
      <w:pPr>
        <w:spacing w:after="120"/>
        <w:jc w:val="left"/>
      </w:pPr>
      <w:hyperlink r:id="rId11" w:history="1">
        <w:r>
          <w:rPr>
            <w:rStyle w:val="Hyperlink"/>
          </w:rPr>
          <w:t>College Board</w:t>
        </w:r>
      </w:hyperlink>
      <w:r>
        <w:rPr>
          <w:rFonts w:ascii="Georgia" w:hAnsi="Georgia"/>
          <w:sz w:val="22"/>
        </w:rPr>
        <w:t xml:space="preserve"> and </w:t>
      </w:r>
      <w:hyperlink r:id="rId12" w:history="1">
        <w:r>
          <w:rPr>
            <w:rStyle w:val="Hyperlink"/>
          </w:rPr>
          <w:t>ACT, Inc.</w:t>
        </w:r>
      </w:hyperlink>
      <w:r>
        <w:rPr>
          <w:rFonts w:ascii="Georgia" w:hAnsi="Georgia"/>
          <w:sz w:val="22"/>
        </w:rPr>
        <w:t>. Official test information, practice materials, and technical reports.</w:t>
      </w:r>
    </w:p>
    <w:p w14:paraId="300BDC49" w14:textId="77777777" w:rsidR="00557D37" w:rsidRDefault="00B54EE6">
      <w:pPr>
        <w:spacing w:after="120"/>
        <w:jc w:val="left"/>
      </w:pPr>
      <w:hyperlink r:id="rId13" w:history="1">
        <w:r>
          <w:rPr>
            <w:rStyle w:val="Hyperlink"/>
          </w:rPr>
          <w:t>Federal Student Aid – FAFSA</w:t>
        </w:r>
      </w:hyperlink>
      <w:r>
        <w:rPr>
          <w:rFonts w:ascii="Georgia" w:hAnsi="Georgia"/>
          <w:sz w:val="22"/>
        </w:rPr>
        <w:t xml:space="preserve"> and </w:t>
      </w:r>
      <w:hyperlink r:id="rId14" w:history="1">
        <w:r>
          <w:rPr>
            <w:rStyle w:val="Hyperlink"/>
          </w:rPr>
          <w:t>net-price resources</w:t>
        </w:r>
      </w:hyperlink>
      <w:r>
        <w:rPr>
          <w:rFonts w:ascii="Georgia" w:hAnsi="Georgia"/>
          <w:sz w:val="22"/>
        </w:rPr>
        <w:t>.</w:t>
      </w:r>
    </w:p>
    <w:p w14:paraId="520EA31A" w14:textId="77777777" w:rsidR="00557D37" w:rsidRDefault="00B54EE6">
      <w:pPr>
        <w:spacing w:after="200"/>
        <w:jc w:val="left"/>
      </w:pPr>
      <w:r>
        <w:rPr>
          <w:rFonts w:ascii="Georgia" w:hAnsi="Georgia"/>
          <w:sz w:val="22"/>
        </w:rPr>
        <w:t>Additional peer-reviewed work on attachment, sleep, reading volume, and extracurricular depth appears in journals such as Child Development, Developmental Psychology, and Educational Researcher.</w:t>
      </w:r>
    </w:p>
    <w:p w14:paraId="1693FA55" w14:textId="77777777" w:rsidR="00FE1D37" w:rsidRDefault="00CA19A5">
      <w:pPr>
        <w:jc w:val="left"/>
      </w:pPr>
      <w:r>
        <w:rPr>
          <w:rFonts w:ascii="Georgia" w:hAnsi="Georgia"/>
          <w:sz w:val="22"/>
        </w:rPr>
        <w:t>Vasquez, A. C., Patall, E. A., Fong, C. J., et al. “Parent Autonomy Support, Academic Achievement, and Psychosocial Functioning: A Meta-analysis of Research.” Educational Psychology Review 28 (2016): 605–644. https://doi.org/10.1007/s10648-015-9329-z.</w:t>
      </w:r>
    </w:p>
    <w:p w14:paraId="45F75935" w14:textId="77777777" w:rsidR="00FE1D37" w:rsidRDefault="00CA19A5">
      <w:pPr>
        <w:jc w:val="left"/>
      </w:pPr>
      <w:r>
        <w:rPr>
          <w:rFonts w:ascii="Georgia" w:hAnsi="Georgia"/>
          <w:sz w:val="22"/>
        </w:rPr>
        <w:t>Yeager, D. S., et al. “A National Experiment Reveals Where a Growth Mindset Improves Achievement.” Nature 573 (2019): 364–369. https://doi.org/10.1038/s41586-019-1466-y.</w:t>
      </w:r>
    </w:p>
    <w:p w14:paraId="3D262749" w14:textId="77777777" w:rsidR="00FE1D37" w:rsidRDefault="00CA19A5">
      <w:pPr>
        <w:jc w:val="left"/>
      </w:pPr>
      <w:r>
        <w:rPr>
          <w:rFonts w:ascii="Georgia" w:hAnsi="Georgia"/>
          <w:sz w:val="22"/>
        </w:rPr>
        <w:t>Macnamara, B. N., and A. P. Burgoyne. “Do Growth Mindset Interventions Impact Students’ Academic Achievement? A Systematic Review and Meta-analysis.” Psychological Bulletin 149 (2023): 133–173. https://doi.org/10.1037/bul0000352.</w:t>
      </w:r>
    </w:p>
    <w:p w14:paraId="7BBDFDF9" w14:textId="77777777" w:rsidR="00FE1D37" w:rsidRDefault="00CA19A5">
      <w:pPr>
        <w:jc w:val="left"/>
      </w:pPr>
      <w:r>
        <w:rPr>
          <w:rFonts w:ascii="Georgia" w:hAnsi="Georgia"/>
          <w:sz w:val="22"/>
        </w:rPr>
        <w:t>College Board. “SAT Suite Practice Tests: Bluebook.” https://satsuite.collegeboard.org/practice/practice-tests/bluebook.</w:t>
      </w:r>
    </w:p>
    <w:p>
      <w:pPr>
        <w:jc w:val="left"/>
      </w:pPr>
      <w:r>
        <w:rPr>
          <w:rFonts w:ascii="Georgia" w:hAnsi="Georgia"/>
          <w:sz w:val="22"/>
        </w:rPr>
        <w:t>Cerro, Michael. For the Love of ACT Science: An Innovative Approach to Mastering the Science Section of the ACT Standardized Exam. Private Prep, 2015. Compare older strategies with current test-maker practice.</w:t>
      </w:r>
    </w:p>
    <w:p>
      <w:pPr>
        <w:jc w:val="left"/>
      </w:pPr>
      <w:r>
        <w:rPr>
          <w:rFonts w:ascii="Georgia" w:hAnsi="Georgia"/>
          <w:sz w:val="22"/>
        </w:rPr>
        <w:t>ACT. “ACT Exam Sections, Structure &amp; Timing.” Confirm current test-date and administration details. https://www.act.org/content/act/en/products-and-services/the-act/test-preparation/act-exam-sections-and-structure.html.</w:t>
      </w:r>
    </w:p>
    <w:p w14:paraId="42C52D39" w14:textId="77777777" w:rsidR="00FE1D37" w:rsidRDefault="00CA19A5">
      <w:pPr>
        <w:jc w:val="left"/>
      </w:pPr>
      <w:r>
        <w:rPr>
          <w:rFonts w:ascii="Georgia" w:hAnsi="Georgia"/>
          <w:sz w:val="22"/>
        </w:rPr>
        <w:t>ACT. The Official ACT Prep Guide, 2026–2027. Check current edition and test format. https://www.act.org/content/act/en/products-and-services/the-act/test-preparation/the-official-guide.html.</w:t>
      </w:r>
    </w:p>
    <w:p w14:paraId="2164AF9D" w14:textId="77777777" w:rsidR="00FE1D37" w:rsidRDefault="00CA19A5">
      <w:pPr>
        <w:jc w:val="left"/>
      </w:pPr>
      <w:r>
        <w:rPr>
          <w:rFonts w:ascii="Georgia" w:hAnsi="Georgia"/>
          <w:sz w:val="22"/>
        </w:rPr>
        <w:t>Stixrud, William, and Ned Johnson. The Self-Driven Child. Viking, 2018.</w:t>
      </w:r>
    </w:p>
    <w:p w14:paraId="2EB1CD96" w14:textId="77777777" w:rsidR="00FE1D37" w:rsidRDefault="00CA19A5">
      <w:pPr>
        <w:jc w:val="left"/>
      </w:pPr>
      <w:r>
        <w:rPr>
          <w:rFonts w:ascii="Georgia" w:hAnsi="Georgia"/>
          <w:sz w:val="22"/>
        </w:rPr>
        <w:t>Gopnik, Alison. The Gardener and the Carpenter. Farrar, Straus and Giroux, 2016.</w:t>
      </w:r>
    </w:p>
    <w:p w14:paraId="7628CC21" w14:textId="77777777" w:rsidR="00FE1D37" w:rsidRDefault="00CA19A5">
      <w:pPr>
        <w:jc w:val="left"/>
      </w:pPr>
      <w:r>
        <w:rPr>
          <w:rFonts w:ascii="Georgia" w:hAnsi="Georgia"/>
          <w:sz w:val="22"/>
        </w:rPr>
        <w:t>Chua, Amy. Battle Hymn of the Tiger Mother. Penguin Press, 2011. A memoir, not a universal model.</w:t>
      </w:r>
    </w:p>
    <w:p w14:paraId="162C099F" w14:textId="77777777" w:rsidR="00FE1D37" w:rsidRDefault="00CA19A5">
      <w:pPr>
        <w:jc w:val="left"/>
      </w:pPr>
      <w:r>
        <w:rPr>
          <w:rFonts w:ascii="Georgia" w:hAnsi="Georgia"/>
          <w:sz w:val="22"/>
        </w:rPr>
        <w:t>Oster, Emily. The Family Firm. Penguin Press, 2021.</w:t>
      </w:r>
    </w:p>
    <w:p w14:paraId="3279E783" w14:textId="77777777" w:rsidR="00FE1D37" w:rsidRDefault="00CA19A5">
      <w:pPr>
        <w:jc w:val="left"/>
      </w:pPr>
      <w:r>
        <w:rPr>
          <w:rFonts w:ascii="Georgia" w:hAnsi="Georgia"/>
          <w:sz w:val="22"/>
        </w:rPr>
        <w:t>Bronson, Po, and Ashley Merryman. NurtureShock. Twelve, 2009. Check newer research on specific claims.</w:t>
      </w:r>
    </w:p>
    <w:p w14:paraId="09B362C3" w14:textId="77777777" w:rsidR="00FE1D37" w:rsidRDefault="00CA19A5">
      <w:pPr>
        <w:jc w:val="left"/>
      </w:pPr>
      <w:r>
        <w:rPr>
          <w:rFonts w:ascii="Georgia" w:hAnsi="Georgia"/>
          <w:sz w:val="22"/>
        </w:rPr>
        <w:t>Lythcott-Haims, Julie. How to Raise an Adult. Henry Holt, 2015.</w:t>
      </w:r>
    </w:p>
    <w:p w14:paraId="41E081F8" w14:textId="77777777" w:rsidR="00FE1D37" w:rsidRDefault="00CA19A5">
      <w:pPr>
        <w:jc w:val="left"/>
      </w:pPr>
      <w:r>
        <w:rPr>
          <w:rFonts w:ascii="Georgia" w:hAnsi="Georgia"/>
          <w:sz w:val="22"/>
        </w:rPr>
        <w:t>Stanley, Thomas J., and William D. Danko. The Millionaire Next Door. Longstreet Press, 1996. A financial-behavior book, not parenting evidence.</w:t>
      </w:r>
    </w:p>
    <w:p w14:paraId="5CE6EA99" w14:textId="77777777" w:rsidR="00FE1D37" w:rsidRDefault="00CA19A5">
      <w:pPr>
        <w:jc w:val="left"/>
      </w:pPr>
      <w:r>
        <w:rPr>
          <w:rFonts w:ascii="Georgia" w:hAnsi="Georgia"/>
          <w:sz w:val="22"/>
        </w:rPr>
        <w:t>Lieber, Ron. The Price You Pay for College. Harper, 2021.</w:t>
      </w:r>
    </w:p>
    <w:p w14:paraId="21C2D1D1" w14:textId="77777777" w:rsidR="00FE1D37" w:rsidRDefault="00CA19A5">
      <w:pPr>
        <w:jc w:val="left"/>
      </w:pPr>
      <w:r>
        <w:rPr>
          <w:rFonts w:ascii="Georgia" w:hAnsi="Georgia"/>
          <w:sz w:val="22"/>
        </w:rPr>
        <w:t>Deresiewicz, William. Excellent Sheep. Free Press, 2014.</w:t>
      </w:r>
    </w:p>
    <w:p w14:paraId="49F7F76C" w14:textId="77777777" w:rsidR="00FE1D37" w:rsidRDefault="00CA19A5">
      <w:pPr>
        <w:jc w:val="left"/>
      </w:pPr>
      <w:r>
        <w:rPr>
          <w:rFonts w:ascii="Georgia" w:hAnsi="Georgia"/>
          <w:sz w:val="22"/>
        </w:rPr>
        <w:t>Newport, Cal. How to Be a High School Superstar. Broadway Books, 2010.</w:t>
      </w:r>
    </w:p>
    <w:p w14:paraId="48DBC26D" w14:textId="77777777" w:rsidR="00FE1D37" w:rsidRDefault="00CA19A5">
      <w:pPr>
        <w:jc w:val="left"/>
      </w:pPr>
      <w:r>
        <w:rPr>
          <w:rFonts w:ascii="Georgia" w:hAnsi="Georgia"/>
          <w:sz w:val="22"/>
        </w:rPr>
        <w:t>Bruni, Frank. Where You Go Is Not Who You’ll Be. Grand Central Publishing, 2015.</w:t>
      </w:r>
    </w:p>
    <w:p w14:paraId="31BEA16C" w14:textId="77777777" w:rsidR="00FE1D37" w:rsidRDefault="00CA19A5">
      <w:pPr>
        <w:jc w:val="left"/>
      </w:pPr>
      <w:r>
        <w:rPr>
          <w:rFonts w:ascii="Georgia" w:hAnsi="Georgia"/>
          <w:sz w:val="22"/>
        </w:rPr>
        <w:t>Barnard, Brennan, and Rick Clark. The Truth About College Admission. 2nd ed. Johns Hopkins University Press, 2023.</w:t>
      </w:r>
    </w:p>
    <w:p w14:paraId="79436D32" w14:textId="77777777" w:rsidR="00FE1D37" w:rsidRDefault="00CA19A5">
      <w:pPr>
        <w:jc w:val="left"/>
      </w:pPr>
      <w:r>
        <w:rPr>
          <w:rFonts w:ascii="Georgia" w:hAnsi="Georgia"/>
          <w:sz w:val="22"/>
        </w:rPr>
        <w:t>Fiske, Edward B. Fiske Guide to Colleges. Annual edition; consult the current application-year edition.</w:t>
      </w:r>
    </w:p>
    <w:p w14:paraId="2AC10383" w14:textId="77777777" w:rsidR="00FE1D37" w:rsidRDefault="00CA19A5">
      <w:pPr>
        <w:jc w:val="left"/>
      </w:pPr>
      <w:r>
        <w:rPr>
          <w:rFonts w:ascii="Georgia" w:hAnsi="Georgia"/>
          <w:sz w:val="22"/>
        </w:rPr>
        <w:t>Stier, Debbie. The Perfect Score Project. Simon &amp; Schuster, 2014. A personal account, not a required preparation plan.</w:t>
      </w:r>
    </w:p>
    <w:p w14:paraId="49B0853E" w14:textId="77777777" w:rsidR="00FE1D37" w:rsidRDefault="00CA19A5">
      <w:pPr>
        <w:jc w:val="left"/>
      </w:pPr>
      <w:r>
        <w:rPr>
          <w:rFonts w:ascii="Georgia" w:hAnsi="Georgia"/>
          <w:sz w:val="22"/>
        </w:rPr>
        <w:t>Gladwell, Malcolm. Outliers. Little, Brown and Company, 2008. A popular narrative, not a test-prep manual.</w:t>
      </w:r>
    </w:p>
    <w:p w14:paraId="13F46E66" w14:textId="77777777" w:rsidR="00FE1D37" w:rsidRDefault="00CA19A5">
      <w:pPr>
        <w:jc w:val="left"/>
      </w:pPr>
      <w:r>
        <w:rPr>
          <w:rFonts w:ascii="Georgia" w:hAnsi="Georgia"/>
          <w:sz w:val="22"/>
        </w:rPr>
        <w:t>College Panda. SAT Math preparation materials. Check current edition and digital-test alignment.</w:t>
      </w:r>
    </w:p>
    <w:p w14:paraId="233BEE7D" w14:textId="77777777" w:rsidR="00FE1D37" w:rsidRDefault="00CA19A5">
      <w:pPr>
        <w:jc w:val="left"/>
      </w:pPr>
      <w:r>
        <w:rPr>
          <w:rFonts w:ascii="Georgia" w:hAnsi="Georgia"/>
          <w:sz w:val="22"/>
        </w:rPr>
        <w:t>Meltzer, Erica. SAT Reading and Writing and ACT English materials. Check current editions and exam-format alignment.</w:t>
      </w:r>
    </w:p>
    <w:p w14:paraId="4D38E410" w14:textId="77777777" w:rsidR="00557D37" w:rsidRDefault="00B54EE6">
      <w:pPr>
        <w:pStyle w:val="Heading1"/>
        <w:keepNext/>
        <w:pageBreakBefore/>
        <w:jc w:val="center"/>
      </w:pPr>
      <w:bookmarkStart w:id="47" w:name="sec36"/>
      <w:r>
        <w:rPr>
          <w:rFonts w:ascii="Georgia" w:hAnsi="Georgia"/>
          <w:b/>
          <w:color w:val="2A5CAA"/>
          <w:sz w:val="32"/>
        </w:rPr>
        <w:t>About the Author</w:t>
      </w:r>
      <w:bookmarkEnd w:id="47"/>
    </w:p>
    <w:p w14:paraId="1A920B90" w14:textId="77777777" w:rsidR="00557D37" w:rsidRDefault="00B54EE6">
      <w:pPr>
        <w:spacing w:after="200"/>
        <w:jc w:val="left"/>
      </w:pPr>
      <w:r>
        <w:rPr>
          <w:rFonts w:ascii="Georgia" w:hAnsi="Georgia"/>
          <w:sz w:val="22"/>
        </w:rPr>
        <w:t>Sophia Shepherd is a mother of four. Her own growing experience as a parent made the academic outcomes better with each successive child as she learned which ordinary habits to protect and which costly mistakes to avoid. This book collects those lessons together with approaches she heard from other families and educators, including some she did not personally carry out. The aim is a clear, realistic account rather than a claim of unique expertise or guaranteed results.</w:t>
      </w:r>
    </w:p>
    <w:sectPr w:rsidR="00557D37" w:rsidSect="00032C4D">
      <w:footerReference w:type="even" r:id="rId15"/>
      <w:footerReference w:type="default" r:id="rId16"/>
      <w:footerReference w:type="first" r:id="rId17"/>
      <w:pgSz w:w="5184" w:h="6912"/>
      <w:pgMar w:top="432" w:right="432" w:bottom="432" w:left="432"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C23A3" w14:textId="77777777" w:rsidR="00945197" w:rsidRDefault="00945197">
      <w:r>
        <w:separator/>
      </w:r>
    </w:p>
  </w:endnote>
  <w:endnote w:type="continuationSeparator" w:id="0">
    <w:p w14:paraId="075FFE18" w14:textId="77777777" w:rsidR="00945197" w:rsidRDefault="00945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5FCF5" w14:textId="77777777" w:rsidR="00032C4D" w:rsidRDefault="00032C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6B74" w14:textId="77777777" w:rsidR="007D4F68" w:rsidRDefault="007D4F68" w:rsidP="007D4F68">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AC09A" w14:textId="77777777" w:rsidR="007D4F68" w:rsidRDefault="007D4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36739" w14:textId="77777777" w:rsidR="00945197" w:rsidRDefault="00945197">
      <w:r>
        <w:separator/>
      </w:r>
    </w:p>
  </w:footnote>
  <w:footnote w:type="continuationSeparator" w:id="0">
    <w:p w14:paraId="43326D5F" w14:textId="77777777" w:rsidR="00945197" w:rsidRDefault="009451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D1276"/>
    <w:multiLevelType w:val="hybridMultilevel"/>
    <w:tmpl w:val="FFFFFFFF"/>
    <w:lvl w:ilvl="0" w:tplc="C442B7D4">
      <w:start w:val="1"/>
      <w:numFmt w:val="bullet"/>
      <w:lvlText w:val="●"/>
      <w:lvlJc w:val="left"/>
      <w:pPr>
        <w:ind w:left="720" w:hanging="360"/>
      </w:pPr>
    </w:lvl>
    <w:lvl w:ilvl="1" w:tplc="F79A6EB6">
      <w:start w:val="1"/>
      <w:numFmt w:val="bullet"/>
      <w:lvlText w:val="○"/>
      <w:lvlJc w:val="left"/>
      <w:pPr>
        <w:ind w:left="1440" w:hanging="360"/>
      </w:pPr>
    </w:lvl>
    <w:lvl w:ilvl="2" w:tplc="BC34B57C">
      <w:start w:val="1"/>
      <w:numFmt w:val="bullet"/>
      <w:lvlText w:val="■"/>
      <w:lvlJc w:val="left"/>
      <w:pPr>
        <w:ind w:left="2160" w:hanging="360"/>
      </w:pPr>
    </w:lvl>
    <w:lvl w:ilvl="3" w:tplc="DF80C1C4">
      <w:start w:val="1"/>
      <w:numFmt w:val="bullet"/>
      <w:lvlText w:val="●"/>
      <w:lvlJc w:val="left"/>
      <w:pPr>
        <w:ind w:left="2880" w:hanging="360"/>
      </w:pPr>
    </w:lvl>
    <w:lvl w:ilvl="4" w:tplc="33FEE8E0">
      <w:start w:val="1"/>
      <w:numFmt w:val="bullet"/>
      <w:lvlText w:val="○"/>
      <w:lvlJc w:val="left"/>
      <w:pPr>
        <w:ind w:left="3600" w:hanging="360"/>
      </w:pPr>
    </w:lvl>
    <w:lvl w:ilvl="5" w:tplc="5A0A9276">
      <w:start w:val="1"/>
      <w:numFmt w:val="bullet"/>
      <w:lvlText w:val="■"/>
      <w:lvlJc w:val="left"/>
      <w:pPr>
        <w:ind w:left="4320" w:hanging="360"/>
      </w:pPr>
    </w:lvl>
    <w:lvl w:ilvl="6" w:tplc="3BE2DC82">
      <w:start w:val="1"/>
      <w:numFmt w:val="bullet"/>
      <w:lvlText w:val="●"/>
      <w:lvlJc w:val="left"/>
      <w:pPr>
        <w:ind w:left="5040" w:hanging="360"/>
      </w:pPr>
    </w:lvl>
    <w:lvl w:ilvl="7" w:tplc="149E53C2">
      <w:start w:val="1"/>
      <w:numFmt w:val="bullet"/>
      <w:lvlText w:val="●"/>
      <w:lvlJc w:val="left"/>
      <w:pPr>
        <w:ind w:left="5760" w:hanging="360"/>
      </w:pPr>
    </w:lvl>
    <w:lvl w:ilvl="8" w:tplc="977282C4">
      <w:start w:val="1"/>
      <w:numFmt w:val="bullet"/>
      <w:lvlText w:val="●"/>
      <w:lvlJc w:val="left"/>
      <w:pPr>
        <w:ind w:left="6480" w:hanging="360"/>
      </w:pPr>
    </w:lvl>
  </w:abstractNum>
  <w:abstractNum w:abstractNumId="1" w15:restartNumberingAfterBreak="0">
    <w:nsid w:val="5AB6322D"/>
    <w:multiLevelType w:val="hybridMultilevel"/>
    <w:tmpl w:val="FFFFFFFF"/>
    <w:lvl w:ilvl="0" w:tplc="70E6BF7A">
      <w:start w:val="1"/>
      <w:numFmt w:val="decimal"/>
      <w:lvlText w:val="%1."/>
      <w:lvlJc w:val="left"/>
      <w:pPr>
        <w:ind w:left="720" w:hanging="360"/>
      </w:pPr>
    </w:lvl>
    <w:lvl w:ilvl="1" w:tplc="44C244C2">
      <w:numFmt w:val="decimal"/>
      <w:lvlText w:val=""/>
      <w:lvlJc w:val="left"/>
    </w:lvl>
    <w:lvl w:ilvl="2" w:tplc="162C1DE4">
      <w:numFmt w:val="decimal"/>
      <w:lvlText w:val=""/>
      <w:lvlJc w:val="left"/>
    </w:lvl>
    <w:lvl w:ilvl="3" w:tplc="131EEBBA">
      <w:numFmt w:val="decimal"/>
      <w:lvlText w:val=""/>
      <w:lvlJc w:val="left"/>
    </w:lvl>
    <w:lvl w:ilvl="4" w:tplc="D4545166">
      <w:numFmt w:val="decimal"/>
      <w:lvlText w:val=""/>
      <w:lvlJc w:val="left"/>
    </w:lvl>
    <w:lvl w:ilvl="5" w:tplc="4C5E2CA8">
      <w:numFmt w:val="decimal"/>
      <w:lvlText w:val=""/>
      <w:lvlJc w:val="left"/>
    </w:lvl>
    <w:lvl w:ilvl="6" w:tplc="9DC87BEA">
      <w:numFmt w:val="decimal"/>
      <w:lvlText w:val=""/>
      <w:lvlJc w:val="left"/>
    </w:lvl>
    <w:lvl w:ilvl="7" w:tplc="6534EDDE">
      <w:numFmt w:val="decimal"/>
      <w:lvlText w:val=""/>
      <w:lvlJc w:val="left"/>
    </w:lvl>
    <w:lvl w:ilvl="8" w:tplc="05DC4D1A">
      <w:numFmt w:val="decimal"/>
      <w:lvlText w:val=""/>
      <w:lvlJc w:val="left"/>
    </w:lvl>
  </w:abstractNum>
  <w:abstractNum w:abstractNumId="2" w15:restartNumberingAfterBreak="0">
    <w:nsid w:val="7FC44CE2"/>
    <w:multiLevelType w:val="hybridMultilevel"/>
    <w:tmpl w:val="FFFFFFFF"/>
    <w:lvl w:ilvl="0" w:tplc="63401774">
      <w:start w:val="1"/>
      <w:numFmt w:val="bullet"/>
      <w:lvlText w:val="•"/>
      <w:lvlJc w:val="left"/>
      <w:pPr>
        <w:ind w:left="720" w:hanging="360"/>
      </w:pPr>
    </w:lvl>
    <w:lvl w:ilvl="1" w:tplc="29FCF90C">
      <w:numFmt w:val="decimal"/>
      <w:lvlText w:val=""/>
      <w:lvlJc w:val="left"/>
    </w:lvl>
    <w:lvl w:ilvl="2" w:tplc="E836E748">
      <w:numFmt w:val="decimal"/>
      <w:lvlText w:val=""/>
      <w:lvlJc w:val="left"/>
    </w:lvl>
    <w:lvl w:ilvl="3" w:tplc="5B90FB98">
      <w:numFmt w:val="decimal"/>
      <w:lvlText w:val=""/>
      <w:lvlJc w:val="left"/>
    </w:lvl>
    <w:lvl w:ilvl="4" w:tplc="BEF6597E">
      <w:numFmt w:val="decimal"/>
      <w:lvlText w:val=""/>
      <w:lvlJc w:val="left"/>
    </w:lvl>
    <w:lvl w:ilvl="5" w:tplc="9C16A2A2">
      <w:numFmt w:val="decimal"/>
      <w:lvlText w:val=""/>
      <w:lvlJc w:val="left"/>
    </w:lvl>
    <w:lvl w:ilvl="6" w:tplc="9E06FC66">
      <w:numFmt w:val="decimal"/>
      <w:lvlText w:val=""/>
      <w:lvlJc w:val="left"/>
    </w:lvl>
    <w:lvl w:ilvl="7" w:tplc="7396D602">
      <w:numFmt w:val="decimal"/>
      <w:lvlText w:val=""/>
      <w:lvlJc w:val="left"/>
    </w:lvl>
    <w:lvl w:ilvl="8" w:tplc="C5E228DE">
      <w:numFmt w:val="decimal"/>
      <w:lvlText w:val=""/>
      <w:lvlJc w:val="left"/>
    </w:lvl>
  </w:abstractNum>
  <w:num w:numId="1" w16cid:durableId="835732110">
    <w:abstractNumId w:val="0"/>
    <w:lvlOverride w:ilvl="0">
      <w:startOverride w:val="1"/>
    </w:lvlOverride>
  </w:num>
  <w:num w:numId="2" w16cid:durableId="1623875661">
    <w:abstractNumId w:val="2"/>
    <w:lvlOverride w:ilvl="0">
      <w:startOverride w:val="1"/>
    </w:lvlOverride>
  </w:num>
  <w:num w:numId="3" w16cid:durableId="9914486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D37"/>
    <w:rsid w:val="00032C4D"/>
    <w:rsid w:val="00557D37"/>
    <w:rsid w:val="005768F8"/>
    <w:rsid w:val="007D4F68"/>
    <w:rsid w:val="00945197"/>
    <w:rsid w:val="00B54EE6"/>
    <w:rsid w:val="00BC7FE8"/>
    <w:rsid w:val="00CA19A5"/>
    <w:rsid w:val="00E37CD3"/>
    <w:rsid w:val="00FE1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BFA26"/>
  <w15:docId w15:val="{A98020E0-7238-8A48-B9BB-800FE822E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before="0"/>
      <w:jc w:val="left"/>
    </w:pPr>
    <w:rPr>
      <w:rFonts w:ascii="Georgia" w:hAnsi="Georgia"/>
      <w:sz w:val="22"/>
    </w:rPr>
  </w:style>
  <w:style w:type="paragraph" w:styleId="Heading1">
    <w:name w:val="heading 1"/>
    <w:uiPriority w:val="9"/>
    <w:qFormat/>
    <w:pPr>
      <w:keepNext/>
      <w:pageBreakBefore/>
      <w:spacing w:before="0" w:after="200"/>
      <w:jc w:val="center"/>
      <w:outlineLvl w:val="0"/>
    </w:pPr>
    <w:rPr>
      <w:rFonts w:ascii="Georgia" w:hAnsi="Georgia"/>
      <w:b/>
      <w:bCs/>
      <w:color w:val="2A5CAA"/>
      <w:sz w:val="32"/>
      <w:szCs w:val="32"/>
    </w:rPr>
  </w:style>
  <w:style w:type="paragraph" w:styleId="Heading2">
    <w:name w:val="heading 2"/>
    <w:uiPriority w:val="9"/>
    <w:unhideWhenUsed/>
    <w:qFormat/>
    <w:pPr>
      <w:keepNext/>
      <w:pageBreakBefore w:val="0"/>
      <w:spacing w:before="240" w:after="120"/>
      <w:jc w:val="center"/>
      <w:outlineLvl w:val="1"/>
    </w:pPr>
    <w:rPr>
      <w:rFonts w:ascii="Georgia" w:hAnsi="Georgia"/>
      <w:b/>
      <w:bCs/>
      <w:color w:val="2A5CAA"/>
      <w:sz w:val="25"/>
      <w:szCs w:val="28"/>
    </w:rPr>
  </w:style>
  <w:style w:type="paragraph" w:styleId="Heading3">
    <w:name w:val="heading 3"/>
    <w:uiPriority w:val="9"/>
    <w:semiHidden/>
    <w:unhideWhenUsed/>
    <w:qFormat/>
    <w:pPr>
      <w:keepNext/>
      <w:pageBreakBefore w:val="0"/>
      <w:spacing w:before="180" w:after="100"/>
      <w:jc w:val="center"/>
      <w:outlineLvl w:val="2"/>
    </w:pPr>
    <w:rPr>
      <w:rFonts w:ascii="Georgia" w:hAnsi="Georgia"/>
      <w:b/>
      <w:bCs/>
      <w:color w:val="2A5CAA"/>
      <w:sz w:val="24"/>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after="80"/>
      <w:jc w:val="left"/>
    </w:pPr>
    <w:rPr>
      <w:rFonts w:ascii="Georgia" w:hAnsi="Georgia"/>
      <w:sz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D4F68"/>
    <w:pPr>
      <w:tabs>
        <w:tab w:val="center" w:pos="4703"/>
        <w:tab w:val="right" w:pos="9406"/>
      </w:tabs>
      <w:spacing w:after="0" w:line="240" w:lineRule="auto"/>
    </w:pPr>
  </w:style>
  <w:style w:type="character" w:customStyle="1" w:styleId="HeaderChar">
    <w:name w:val="Header Char"/>
    <w:basedOn w:val="DefaultParagraphFont"/>
    <w:link w:val="Header"/>
    <w:uiPriority w:val="99"/>
    <w:rsid w:val="007D4F68"/>
    <w:rPr>
      <w:rFonts w:ascii="Georgia" w:hAnsi="Georgia"/>
    </w:rPr>
  </w:style>
  <w:style w:type="paragraph" w:styleId="Footer">
    <w:name w:val="footer"/>
    <w:basedOn w:val="Normal"/>
    <w:link w:val="FooterChar"/>
    <w:uiPriority w:val="99"/>
    <w:unhideWhenUsed/>
    <w:rsid w:val="007D4F68"/>
    <w:pPr>
      <w:tabs>
        <w:tab w:val="center" w:pos="4703"/>
        <w:tab w:val="right" w:pos="9406"/>
      </w:tabs>
      <w:spacing w:after="0" w:line="240" w:lineRule="auto"/>
    </w:pPr>
  </w:style>
  <w:style w:type="character" w:customStyle="1" w:styleId="FooterChar">
    <w:name w:val="Footer Char"/>
    <w:basedOn w:val="DefaultParagraphFont"/>
    <w:link w:val="Footer"/>
    <w:uiPriority w:val="99"/>
    <w:rsid w:val="007D4F68"/>
    <w:rPr>
      <w:rFonts w:ascii="Georgia" w:hAnsi="Georgia"/>
    </w:rPr>
  </w:style>
  <w:style w:type="character" w:styleId="PageNumber">
    <w:name w:val="page number"/>
    <w:basedOn w:val="DefaultParagraphFont"/>
    <w:uiPriority w:val="99"/>
    <w:semiHidden/>
    <w:unhideWhenUsed/>
    <w:rsid w:val="007D4F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tudentaid.gov/h/apply-for-aid/fafsa" TargetMode="External"/><Relationship Id="rId13" Type="http://schemas.openxmlformats.org/officeDocument/2006/relationships/hyperlink" Target="https://studentaid.gov/h/apply-for-aid/fafsa"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ingchild.harvard.edu/science/key-concepts/serve-and-return/" TargetMode="External"/><Relationship Id="rId12" Type="http://schemas.openxmlformats.org/officeDocument/2006/relationships/hyperlink" Target="https://www.act.org" TargetMode="Externa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llegeboard.org"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aap.org/en/patient-care/media-and-childre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evelopingchild.harvard.edu/science/key-concepts/serve-and-return/" TargetMode="External"/><Relationship Id="rId14" Type="http://schemas.openxmlformats.org/officeDocument/2006/relationships/hyperlink" Target="https://collegecost.ed.gov/net-pr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27010</Words>
  <Characters>153961</Characters>
  <Application>Microsoft Office Word</Application>
  <DocSecurity>0</DocSecurity>
  <Lines>1283</Lines>
  <Paragraphs>361</Paragraphs>
  <ScaleCrop>false</ScaleCrop>
  <Company/>
  <LinksUpToDate>false</LinksUpToDate>
  <CharactersWithSpaces>180610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Giving Birth to an Ivy League Student</dc:title>
  <dc:creator>Sophia Shepherd</dc:creator>
  <cp:lastModifiedBy>Lothar Musiol</cp:lastModifiedBy>
  <cp:revision>2</cp:revision>
  <dcterms:created xsi:type="dcterms:W3CDTF">2026-10-16T14:24:00Z</dcterms:created>
  <dcterms:modified xsi:type="dcterms:W3CDTF">2026-10-16T15:48:00Z</dcterms:modified>
</cp:coreProperties>
</file>