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1450 to the Late 1800s: Machines and Manifestos — Renaissance, Enlightenment, and Industry</w:t>
      </w:r>
    </w:p>
    <w:p>
      <w:pPr>
        <w:spacing w:after="200"/>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spacing w:after="200"/>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spacing w:after="200"/>
      </w:pPr>
      <w:r>
        <w:t xml:space="preserve">In the century and a half after Copernicus proposed, in 1543, that the Earth orbited the sun, not the other way around, a working method had crystallized out of arguments like his: test a claim against observation and evidence, not against who holds the authority to state it. Galileo, Kepler, and finally Isaac Newton, whose 1687 laws of motion and gravitation unified the falling apple and the orbiting moon under one set of equations, gave the method its proof of concept.</w:t>
      </w:r>
    </w:p>
    <w:p>
      <w:pPr>
        <w:spacing w:after="200"/>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spacing w:after="200"/>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spacing w:after="200"/>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and unleashing a period of revolutionary terror before settling, after considerable further upheaval, into a very different Europe than the one that started the century.</w:t>
      </w:r>
    </w:p>
    <w:p>
      <w:pPr>
        <w:spacing w:after="200"/>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spacing w:after="200"/>
      </w:pPr>
      <w:r>
        <w:t xml:space="preserve">Industry arrived on a separate but overlapping timeline. Steam power, made practical by Thomas Newcomen's pumping engine of 1712 and efficient by James Watt's improved engine, patented in 1769, uncoupled work from muscle, wind, and water for the first time in human history, and by the early 1800s it was running textile mills, and by mid-century, railroads. Output per worker rose by multiples that no previous technology, including the plow and the domesticated ox, had ever delivered.</w:t>
      </w:r>
    </w:p>
    <w:p>
      <w:pPr>
        <w:spacing w:after="200"/>
      </w:pPr>
      <w:r>
        <w:t xml:space="preserve">This is where the ratchet from the first chapter acquires an engine. For a million years the stored know-how of the species had been multiplied by muscle, its own or an animal's. Coal multiplied it by sunlight buried three hundred million years earlier. Wisdom had no equivalent fuel. Factory laws, public sanitation, and limits on child labor all came eventually, but each had to be argued for, one parliament and one generation at a time, after the damage was done.</w:t>
      </w:r>
    </w:p>
    <w:p>
      <w:pPr>
        <w:spacing w:after="200"/>
      </w:pPr>
      <w:r>
        <w:t xml:space="preserve">The other side of the ledger was immediate, and dolphin historians insist on stating it beside the productivity gains, not tucked in afterward: children as young as five or six worked textile mill floors on twelve-hour shifts; new industrial cities like Manchester grew so fast that sanitation and housing never caught up, and cholera outbreaks followed accordingly.</w:t>
      </w:r>
    </w:p>
    <w:p>
      <w:pPr>
        <w:spacing w:after="200"/>
      </w:pPr>
      <w:r>
        <w:rPr>
          <w:i/>
          <w:iCs/>
        </w:rPr>
        <w:t xml:space="preserve">Professor Click-Click-Whoosh, in the margin beside Manchester: “Also raining.”</w:t>
      </w:r>
    </w:p>
    <w:p>
      <w:pPr>
        <w:spacing w:after="200"/>
      </w:pPr>
      <w:r>
        <w:t xml:space="preserve">Forests vanished into furnaces, coal smoke turned industrial skies the color of old newspaper, and factory waste began its long journey to the sea. As late as December 1952, London suffered five days of coal smoke so thick that about four thousand people died within days, and by later estimates as many as twelve thousand over the following months, a rare occasion on which British weather was not entirely the weather's fault.</w:t>
      </w:r>
    </w:p>
    <w:p>
      <w:pPr>
        <w:spacing w:after="200"/>
      </w:pPr>
      <w:r>
        <w:t xml:space="preserve">Nationalism, an idea barely a century old in its modern form, hardened through the late 1800s into competitive alliances between the newly industrial and imperial powers of Europe — Germany (whose own rapid unification in 1871 is a later chapter's starting point), France, Britain, Austria-Hungary, and Russia, each arming and allying against the others in a system explicitly built, on paper, to prevent exactly the war it produced.</w:t>
      </w:r>
    </w:p>
    <w:p>
      <w:pPr>
        <w:spacing w:after="100"/>
      </w:pPr>
      <w:r>
        <w:rPr>
          <w:b/>
          <w:bCs/>
        </w:rPr>
        <w:t xml:space="preserve">Dolphin verdict:</w:t>
      </w:r>
    </w:p>
    <w:p>
      <w:pPr>
        <w:spacing w:after="200"/>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2026-10-04T10:39:25.917Z</dcterms:created>
  <dcterms:modified xsi:type="dcterms:W3CDTF">2026-10-04T10:39:25.917Z</dcterms:modified>
</cp:coreProperties>
</file>

<file path=docProps/custom.xml><?xml version="1.0" encoding="utf-8"?>
<Properties xmlns="http://schemas.openxmlformats.org/officeDocument/2006/custom-properties" xmlns:vt="http://schemas.openxmlformats.org/officeDocument/2006/docPropsVTypes"/>
</file>