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Some questions are better left beyond the blanket. The Bureau filed that under Pending Geometry and went to lunch. The canteen was serving meat with mint sauce and, unprompted and inexplicably, chocolate sauce as well - a combination several members of staff quietly agreed was a more serious violation of natural law than anything in Case 1047. Mrs Marsh ate hers without comment, which everyone found more alarming than the sauce.</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p>
    <w:p>
      <w:r>
        <w:rPr/>
        <w:t xml:space="preserve">"Milk?"</w:t>
      </w:r>
    </w:p>
    <w:p>
      <w:r>
        <w:rPr/>
        <w:t xml:space="preserve">"No."</w:t>
      </w:r>
    </w:p>
    <w:p>
      <w:r>
        <w:rPr/>
        <w:t xml:space="preserve">"Sugar?"</w:t>
      </w:r>
    </w:p>
    <w:p>
      <w:r>
        <w:rPr/>
        <w:t xml:space="preserve">"One."</w:t>
      </w:r>
    </w:p>
    <w:p>
      <w:r>
        <w:rPr/>
        <w:t xml:space="preserve">Trevor walked toward the kitchen. Derek did not call after him. One sugar remained one sugar. Nobody's death was scheduled for tomorrow. It was, Derek reflected, the most ordinary exchange the Bureau had produced in a fortnight, and he intended to enjoy every unremarkable second of it.</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