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 The First Fires — Early Humans and the Spark of Culture</w:t>
      </w:r>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and dolphin scholarship finds it entirely plausible.</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almost certainly came later and slower than either fire or stone, and dolphins are candid that nobody, human or dolphin, knows exactly when. What is certain is that a species sitting in circles, handling shared tools, teaching a hand axe's proportions to the next generation without a single word written down, already needed something well beyond grunts.</w:t>
      </w:r>
    </w:p>
    <w:p>
      <w:pPr>
        <w:spacing w:after="200"/>
      </w:pPr>
      <w:r>
        <w:t xml:space="preserve">Dolphins, watching all this from offshore for once quite literally, since early hominin sites cluster near African lakes and rivers, noted the smoke first.</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2026-09-27T16:48:18.840Z</dcterms:created>
  <dcterms:modified xsi:type="dcterms:W3CDTF">2026-09-27T16:48:18.840Z</dcterms:modified>
</cp:coreProperties>
</file>

<file path=docProps/custom.xml><?xml version="1.0" encoding="utf-8"?>
<Properties xmlns="http://schemas.openxmlformats.org/officeDocument/2006/custom-properties" xmlns:vt="http://schemas.openxmlformats.org/officeDocument/2006/docPropsVTypes"/>
</file>