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27: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now counted among the deadliest in recorded history, its death toll caused overwhelmingly by policy rather than by drought or natural failure of the harvest.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1989 crackdown on protesters in and around Tiananmen Square made unmistakable to the rest of the world.</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overtook Tesla in global electric vehicle sales, on most measures, by 2024,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widely cited studies of mismanaged plastic waste entering the ocean have repeatedly identified China among the largest national contributors, ahead of the United States by a considerable distance on that specific measure.</w:t>
      </w:r>
    </w:p>
    <w:p>
      <w:pPr>
        <w:spacing w:after="200"/>
      </w:pPr>
      <w:r>
        <w:rPr>
          <w:i/>
          <w:iCs/>
        </w:rPr>
        <w:t xml:space="preserve">“Dolphin scholarship would like the distinction noted,” dolphin historians added. “Criticizing a country's five-year plans is analysis. Criticizing what turns up in our water is personal.”</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2026-09-27T16:48:19.133Z</dcterms:created>
  <dcterms:modified xsi:type="dcterms:W3CDTF">2026-09-27T16:48:19.133Z</dcterms:modified>
</cp:coreProperties>
</file>

<file path=docProps/custom.xml><?xml version="1.0" encoding="utf-8"?>
<Properties xmlns="http://schemas.openxmlformats.org/officeDocument/2006/custom-properties" xmlns:vt="http://schemas.openxmlformats.org/officeDocument/2006/docPropsVTypes"/>
</file>