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on its own: a pack-opening video that reached roughly 28 million views and briefly ranked third on YouTube’s trending page brought in more than $100,000 in ad revenue by itself,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 the same pair as chapter 8's case study, cited again here because they are one of the few creators who have put a full income breakdown on record, not because their numbers repeat by accident —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the same figure chapter 8 uses to show how long the gate's arithmetic took to turn into real money; for years before that it was a minor, inconsistent add-on to income built mostly from elsewhere. Spreading the income is not a hedge against a bad month. For a channel like theirs, it is most of the income.</w:t>
            </w:r>
          </w:p>
        </w:tc>
      </w:tr>
    </w:tbl>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