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Acknowledgement</w:t>
        </w:r>
      </w:hyperlink>
    </w:p>
    <w:p>
      <w:pPr>
        <w:pStyle w:val="TOC1"/>
      </w:pPr>
      <w:hyperlink w:anchor="_Toc139" w:history="1">
        <w:r>
          <w:rPr>
            <w:color w:val="1F4E79"/>
            <w:u w:val="single"/>
          </w:rPr>
          <w:t xml:space="preserve">A Note to Readers</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seventeen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It was not forgiveness, either given or received. It was something smaller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w:t>
      </w:r>
    </w:p>
    <w:p>
      <w:r>
        <w:rPr/>
        <w:t>Arthur sat opposite him.</w:t>
      </w:r>
    </w:p>
    <w:p>
      <w:r>
        <w:rPr/>
        <w:t>“Your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Beatrice took the protected case to Records to compare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looked at her.</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w:t>
      </w:r>
    </w:p>
    <w:p>
      <w:r>
        <w:rPr/>
        <w:t>“We restore the original terms at the duplicate dispatch,” she said, “but only if nobody has copied it outside Glock’s control first. A proof documents what was proposed. It doesn’t certify what was adopted. That’s why the countersignature matters.”</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w:t>
      </w:r>
    </w:p>
    <w:p>
      <w:r>
        <w:rPr/>
        <w:t>“Then what do you want from me?”</w:t>
      </w:r>
    </w:p>
    <w:p>
      <w:r>
        <w:rPr/>
        <w:t>“An inquiry with independent custody of the evidence. Not a departmental review. More than one office must keep it, and he must not choose every witness.”</w:t>
      </w:r>
    </w:p>
    <w:p>
      <w:r>
        <w:rPr/>
        <w:t>Beatrice put a copy of the access receipt before him, with her signed admission.</w:t>
      </w:r>
    </w:p>
    <w:p>
      <w:r>
        <w:rPr/>
        <w:t>“Including this.”</w:t>
      </w:r>
    </w:p>
    <w:p>
      <w:r>
        <w:rPr/>
        <w:t>Pelling read it. His face changed. He did not offer her comfort, which Arthur appreciated on her behalf.</w:t>
      </w:r>
    </w:p>
    <w:p>
      <w:r>
        <w:rPr/>
        <w:t>“Tomorrow morning at nine,” he said. “An emergency evidential hearing. I cannot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for a moment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And I’d have thought that was a good outcome.”</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Neither of them said anything that could not have been said in front of the register.</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remained very still.</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not a promise. It was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It was not heroism. It was the clause, and it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as though he had been given exactly what he asked for, and found it was not what he wanted.</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monitor on battery power.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required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not purchasing absolution. She was paying for a broken press.</w:t>
      </w:r>
    </w:p>
    <w:p>
      <w:r>
        <w:rPr/>
        <w:t>At eight that evening Miriam went down to Records and found Beatrice at the long table with the 2008 register open in front of her. It was open at the same page it had been open at since six.</w:t>
      </w:r>
    </w:p>
    <w:p>
      <w:r>
        <w:rPr/>
        <w:t>“You should be eating.”</w:t>
      </w:r>
    </w:p>
    <w:p>
      <w:r>
        <w:rPr/>
        <w:t xml:space="preserve">“So should you.” Beatrice closed the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“What was it like?” she said.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tomorrow.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under </w:t>
      </w:r>
      <w:r>
        <w:rPr>
          <w:i/>
        </w:rPr>
        <w:t>reason for return</w:t>
      </w:r>
      <w:r>
        <w:rPr/>
        <w:t xml:space="preserve">, a line in the margin in her own hand: </w:t>
      </w:r>
      <w:r>
        <w:rPr>
          <w:i/>
        </w:rPr>
        <w:t>Corrected, 15 Oct. Not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a man who had been late once in 1802 and never forgotten it, and carrying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It was not a victory. It was three men who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as though reading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The secretary appeared at the door. It was a minute to four.</w:t>
      </w:r>
    </w:p>
    <w:p>
      <w:r>
        <w:rPr/>
        <w:t>“Shall we?” said Glock, and went ahead of him, and held the door.</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No previous signature of mine should be read as consent to powers concealed from me.”</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not surrender. It was hesitation.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One worried that an unchecked receiver might seize assets in which he had an interest. Another disliked Glock. A third had signed the preliminary recommendation and feared being held responsible for the annex.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The three committee members signed. Perrott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Some things could not be made as though they had never happened.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remembered the porridge of paper and the queue outside, and the people asked to produce what the office had drowned.</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a privilege.</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fourteen signatures, three of which were genuinely useful and several of which the new system would eventually learn to combine. He filed suggestions after the message had gone.</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t>In the corridor outside Records the duty board said MONDAY, and Monday it was. The analyst who had once changed it to Tuesday now held a post in which she kept her own chalk. In the bottom corner, small, she had added WE CHECKED.</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was not dread. It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t>He called Beatrice, who was due in that afternoon, and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Acknowledgement</w:t>
      </w:r>
      <w:bookmarkEnd w:id="138"/>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appendix, where it can be consulted by anyone with a reason.</w:t>
      </w:r>
    </w:p>
    <w:p>
      <w:pPr>
        <w:pStyle w:val="Heading1"/>
      </w:pPr>
      <w:bookmarkStart w:id="139" w:name="_Toc139"/>
      <w:r>
        <w:rPr/>
        <w:t>A Note to Readers</w:t>
      </w:r>
      <w:bookmarkEnd w:id="139"/>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0" w:name="_Toc140"/>
      <w:r>
        <w:rPr/>
        <w:t>About the Author</w:t>
      </w:r>
      <w:bookmarkEnd w:id="140"/>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