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56.xml" ContentType="application/vnd.openxmlformats-officedocument.wordprocessingml.footer+xml"/>
  <Override PartName="/word/footer55.xml" ContentType="application/vnd.openxmlformats-officedocument.wordprocessingml.footer+xml"/>
  <Override PartName="/word/footer5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6.xml" ContentType="application/vnd.openxmlformats-officedocument.wordprocessingml.footer+xml"/>
  <Override PartName="/word/footer7.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7.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48.xml" ContentType="application/vnd.openxmlformats-officedocument.wordprocessingml.footer+xml"/>
  <Override PartName="/word/footer9.xml" ContentType="application/vnd.openxmlformats-officedocument.wordprocessingml.footer+xml"/>
  <Override PartName="/word/footer11.xml" ContentType="application/vnd.openxmlformats-officedocument.wordprocessingml.footer+xml"/>
  <Override PartName="/word/footer33.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58.xml" ContentType="application/vnd.openxmlformats-officedocument.wordprocessingml.footer+xml"/>
  <Override PartName="/word/footer21.xml" ContentType="application/vnd.openxmlformats-officedocument.wordprocessingml.footer+xml"/>
  <Override PartName="/word/footer60.xml" ContentType="application/vnd.openxmlformats-officedocument.wordprocessingml.footer+xml"/>
  <Override PartName="/word/footer59.xml" ContentType="application/vnd.openxmlformats-officedocument.wordprocessingml.footer+xml"/>
  <Override PartName="/word/footer22.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2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30.xml" ContentType="application/vnd.openxmlformats-officedocument.wordprocessingml.footer+xml"/>
  <Override PartName="/word/footer68.xml" ContentType="application/vnd.openxmlformats-officedocument.wordprocessingml.footer+xml"/>
  <Override PartName="/word/footer31.xml" ContentType="application/vnd.openxmlformats-officedocument.wordprocessingml.footer+xml"/>
  <Override PartName="/word/footer70.xml" ContentType="application/vnd.openxmlformats-officedocument.wordprocessingml.footer+xml"/>
  <Override PartName="/word/footer69.xml" ContentType="application/vnd.openxmlformats-officedocument.wordprocessingml.footer+xml"/>
  <Override PartName="/word/footer32.xml" ContentType="application/vnd.openxmlformats-officedocument.wordprocessingml.footer+xml"/>
  <Override PartName="/word/footer71.xml" ContentType="application/vnd.openxmlformats-officedocument.wordprocessingml.footer+xml"/>
  <Override PartName="/word/footer89.xml" ContentType="application/vnd.openxmlformats-officedocument.wordprocessingml.footer+xml"/>
  <Override PartName="/word/footer77.xml" ContentType="application/vnd.openxmlformats-officedocument.wordprocessingml.footer+xml"/>
  <Override PartName="/word/footer87.xml" ContentType="application/vnd.openxmlformats-officedocument.wordprocessingml.footer+xml"/>
  <Override PartName="/word/footer75.xml" ContentType="application/vnd.openxmlformats-officedocument.wordprocessingml.footer+xml"/>
  <Override PartName="/word/footer86.xml" ContentType="application/vnd.openxmlformats-officedocument.wordprocessingml.footer+xml"/>
  <Override PartName="/word/footer74.xml" ContentType="application/vnd.openxmlformats-officedocument.wordprocessingml.footer+xml"/>
  <Override PartName="/word/styles.xml" ContentType="application/vnd.openxmlformats-officedocument.wordprocessingml.styles+xml"/>
  <Override PartName="/word/footer85.xml" ContentType="application/vnd.openxmlformats-officedocument.wordprocessingml.footer+xml"/>
  <Override PartName="/word/footer73.xml" ContentType="application/vnd.openxmlformats-officedocument.wordprocessingml.footer+xml"/>
  <Override PartName="/word/footer79.xml" ContentType="application/vnd.openxmlformats-officedocument.wordprocessingml.footer+xml"/>
  <Override PartName="/word/footer78.xml" ContentType="application/vnd.openxmlformats-officedocument.wordprocessingml.footer+xml"/>
  <Override PartName="/word/footer76.xml" ContentType="application/vnd.openxmlformats-officedocument.wordprocessingml.footer+xml"/>
  <Override PartName="/word/footer72.xml" ContentType="application/vnd.openxmlformats-officedocument.wordprocessingml.footer+xml"/>
  <Override PartName="/word/footer90.xml" ContentType="application/vnd.openxmlformats-officedocument.wordprocessingml.footer+xml"/>
  <Override PartName="/word/footer25.xml" ContentType="application/vnd.openxmlformats-officedocument.wordprocessingml.footer+xml"/>
  <Override PartName="/word/footer24.xml" ContentType="application/vnd.openxmlformats-officedocument.wordprocessingml.footer+xml"/>
  <Override PartName="/word/footer23.xml" ContentType="application/vnd.openxmlformats-officedocument.wordprocessingml.footer+xml"/>
  <Override PartName="/word/footer19.xml" ContentType="application/vnd.openxmlformats-officedocument.wordprocessingml.footer+xml"/>
  <Override PartName="/word/footer84.xml" ContentType="application/vnd.openxmlformats-officedocument.wordprocessingml.footer+xml"/>
  <Override PartName="/word/footer20.xml" ContentType="application/vnd.openxmlformats-officedocument.wordprocessingml.footer+xml"/>
  <Override PartName="/word/footer57.xml" ContentType="application/vnd.openxmlformats-officedocument.wordprocessingml.footer+xml"/>
  <Override PartName="/word/footer18.xml" ContentType="application/vnd.openxmlformats-officedocument.wordprocessingml.footer+xml"/>
  <Override PartName="/word/footer83.xml" ContentType="application/vnd.openxmlformats-officedocument.wordprocessingml.footer+xml"/>
  <Override PartName="/word/footer82.xml" ContentType="application/vnd.openxmlformats-officedocument.wordprocessingml.footer+xml"/>
  <Override PartName="/word/footer17.xml" ContentType="application/vnd.openxmlformats-officedocument.wordprocessingml.footer+xml"/>
  <Override PartName="/word/footer81.xml" ContentType="application/vnd.openxmlformats-officedocument.wordprocessingml.footer+xml"/>
  <Override PartName="/word/footer16.xml" ContentType="application/vnd.openxmlformats-officedocument.wordprocessingml.footer+xml"/>
  <Override PartName="/word/footer80.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document.xml" ContentType="application/vnd.openxmlformats-officedocument.wordprocessingml.document.main+xml"/>
  <Override PartName="/word/footer88.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oter4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Amazon Ember" w:cs="Amazon Ember" w:ascii="Amazon Ember" w:hAnsi="Amazon Ember"/>
          <w:b/>
          <w:bCs/>
          <w:color w:val="0000FF"/>
          <w:sz w:val="52"/>
          <w:szCs w:val="52"/>
        </w:rPr>
        <w:t>Auswandern</w:t>
      </w:r>
    </w:p>
    <w:p>
      <w:pPr>
        <w:pStyle w:val="Normal"/>
        <w:spacing w:before="0" w:after="360"/>
        <w:jc w:val="center"/>
        <w:rPr/>
      </w:pPr>
      <w:r>
        <w:rPr>
          <w:rFonts w:eastAsia="Amazon Ember" w:cs="Amazon Ember" w:ascii="Amazon Ember" w:hAnsi="Amazon Ember"/>
          <w:b/>
          <w:bCs/>
          <w:color w:val="0000FF"/>
          <w:sz w:val="32"/>
          <w:szCs w:val="32"/>
        </w:rPr>
        <w:t>Ab in die USA, Kanada, Australien oder Neuseeland?</w:t>
      </w:r>
    </w:p>
    <w:p>
      <w:pPr>
        <w:pStyle w:val="Normal"/>
        <w:spacing w:lineRule="exact" w:line="300" w:before="0" w:after="720"/>
        <w:jc w:val="center"/>
        <w:rPr/>
      </w:pPr>
      <w:r>
        <w:rPr>
          <w:rFonts w:eastAsia="Cambria" w:cs="Cambria"/>
          <w:sz w:val="22"/>
          <w:szCs w:val="22"/>
        </w:rPr>
        <w:t>Visa und Aufenthaltstitel, Umzug und Kosten, Wohnen und Steuern, Schule, Freunde und Kultur: Alles, was du vor, während und nach dem Umzug von Deutschland in die USA, nach Kanada, Australien oder Neuseeland wissen musst.</w:t>
      </w:r>
    </w:p>
    <w:p>
      <w:pPr>
        <w:pStyle w:val="Normal"/>
        <w:spacing w:before="0" w:after="120"/>
        <w:jc w:val="center"/>
        <w:rPr/>
      </w:pPr>
      <w:r>
        <w:rPr>
          <w:rFonts w:eastAsia="Cambria" w:cs="Cambria"/>
          <w:b/>
          <w:bCs/>
          <w:sz w:val="30"/>
          <w:szCs w:val="30"/>
        </w:rPr>
        <w:t>Lothar J. Musiol</w:t>
      </w:r>
    </w:p>
    <w:p>
      <w:pPr>
        <w:pStyle w:val="Normal"/>
        <w:jc w:val="center"/>
        <w:rPr/>
      </w:pPr>
      <w:r>
        <w:rPr>
          <w:rFonts w:eastAsia="Cambria" w:cs="Cambria"/>
          <w:color w:val="666666"/>
          <w:sz w:val="20"/>
          <w:szCs w:val="20"/>
        </w:rPr>
        <w:t>Stand: September 2026</w:t>
      </w:r>
    </w:p>
    <w:p>
      <w:pPr>
        <w:pStyle w:val="Normal"/>
        <w:spacing w:lineRule="exact" w:line="360" w:before="0" w:after="0"/>
        <w:rPr/>
      </w:pPr>
      <w:r>
        <w:rPr/>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Copyright © 2026 Lothar J. Musiol. Alle Rechte vorbehalten. Kein Teil dieses Buches darf ohne schriftliche Genehmigung des Autors vervielfältigt, gespeichert oder übertragen werden, auch nicht auszugsweise.</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Stand der Angaben: September 2026.</w:t>
      </w:r>
      <w:r>
        <w:rPr>
          <w:rFonts w:eastAsia="Cambria" w:cs="Cambria"/>
          <w:b w:val="false"/>
          <w:bCs w:val="false"/>
          <w:i w:val="false"/>
          <w:iCs w:val="false"/>
          <w:color w:val="444444"/>
          <w:sz w:val="17"/>
          <w:szCs w:val="17"/>
        </w:rPr>
        <w:t xml:space="preserve"> Einwanderungs-, Steuer-, Sozialversicherungs- und Gesundheitsrecht der USA, Kanadas, Australiens, Neuseelands und Deutschlands sowie Gebühren und Fristen ändern sich häufig. Prüfe vor jeder Entscheidung die in den Kapiteln genannten offiziellen Quellen.</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Haftungsausschluss.</w:t>
      </w:r>
      <w:r>
        <w:rPr>
          <w:rFonts w:eastAsia="Cambria" w:cs="Cambria"/>
          <w:b w:val="false"/>
          <w:bCs w:val="false"/>
          <w:i w:val="false"/>
          <w:iCs w:val="false"/>
          <w:color w:val="444444"/>
          <w:sz w:val="17"/>
          <w:szCs w:val="17"/>
        </w:rPr>
        <w:t xml:space="preserve"> Dieses Buch ist ein Ratgeber und ersetzt keine individuelle Rechts-, Steuer-, Finanz- oder Einwanderungsberatung. Der Autor hat mit großer Sorgfalt recherchiert, übernimmt aber keine Gewähr für Richtigkeit, Vollständigkeit und Aktualität und keine Haftung für Entscheidungen auf Grundlage dieses Buches. Bei Visum, Steuern, Immobilien und Vorsorge solltest du zugelassene Fachleute hinzuziehen.</w:t>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Familien und Personen in den Praxisbeispielen sind frei erfunden; Ähnlichkeiten mit Lebenden wären zufällig. Marken- und Produktnamen gehören ihren jeweiligen Inhabern.</w:t>
      </w:r>
    </w:p>
    <w:p>
      <w:pPr>
        <w:sectPr>
          <w:footerReference w:type="even" r:id="rId2"/>
          <w:footerReference w:type="default" r:id="rId3"/>
          <w:footerReference w:type="first" r:id="rId4"/>
          <w:type w:val="nextPage"/>
          <w:pgSz w:w="8640" w:h="12983"/>
          <w:pgMar w:left="1080" w:right="1080" w:gutter="0" w:header="0" w:top="1080" w:footer="708" w:bottom="1100"/>
          <w:pgNumType w:fmt="decimal"/>
          <w:formProt w:val="false"/>
          <w:textDirection w:val="lrTb"/>
          <w:docGrid w:type="default" w:linePitch="360" w:charSpace="4096"/>
        </w:sect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Erstausgabe 2026.</w:t>
      </w:r>
      <w:r>
        <w:br w:type="page"/>
      </w:r>
    </w:p>
    <w:p>
      <w:pPr>
        <w:pStyle w:val="Normal"/>
        <w:spacing w:before="0" w:after="360"/>
        <w:jc w:val="center"/>
        <w:rPr/>
      </w:pPr>
      <w:r>
        <w:rPr>
          <w:rFonts w:eastAsia="Amazon Ember" w:cs="Amazon Ember" w:ascii="Amazon Ember" w:hAnsi="Amazon Ember"/>
          <w:b/>
          <w:bCs/>
          <w:color w:val="0000FF"/>
          <w:sz w:val="34"/>
          <w:szCs w:val="34"/>
        </w:rPr>
        <w:t>Inhaltsverzeichnis</w:t>
      </w:r>
    </w:p>
    <w:sdt>
      <w:sdtPr>
        <w:docPartObj>
          <w:docPartGallery w:val="Table of Contents"/>
          <w:docPartUnique w:val="true"/>
        </w:docPartObj>
      </w:sdtPr>
      <w:sdtContent>
        <w:p>
          <w:pPr>
            <w:pStyle w:val="TOC2"/>
            <w:tabs>
              <w:tab w:val="clear" w:pos="720"/>
              <w:tab w:val="right" w:pos="6479" w:leader="dot"/>
            </w:tabs>
            <w:rPr/>
          </w:pPr>
          <w:r>
            <w:fldChar w:fldCharType="begin"/>
          </w:r>
          <w:r>
            <w:rPr>
              <w:rStyle w:val="IndexLink"/>
            </w:rPr>
            <w:instrText xml:space="preserve"> TOC \o "1-2" \h</w:instrText>
          </w:r>
          <w:r>
            <w:rPr>
              <w:rStyle w:val="IndexLink"/>
            </w:rPr>
            <w:fldChar w:fldCharType="separate"/>
          </w:r>
          <w:hyperlink w:anchor="__RefHeading___Toc56416_3457424410">
            <w:r>
              <w:rPr>
                <w:rStyle w:val="IndexLink"/>
              </w:rPr>
              <w:t>Vorwort</w:t>
              <w:tab/>
              <w:t>7</w:t>
            </w:r>
          </w:hyperlink>
        </w:p>
        <w:p>
          <w:pPr>
            <w:pStyle w:val="TOC2"/>
            <w:tabs>
              <w:tab w:val="clear" w:pos="720"/>
              <w:tab w:val="right" w:pos="6479" w:leader="dot"/>
            </w:tabs>
            <w:rPr/>
          </w:pPr>
          <w:hyperlink w:anchor="__RefHeading___Toc56418_3457424410">
            <w:r>
              <w:rPr>
                <w:rStyle w:val="IndexLink"/>
              </w:rPr>
              <w:t>So nutzt du dieses Buch</w:t>
              <w:tab/>
              <w:t>10</w:t>
            </w:r>
          </w:hyperlink>
        </w:p>
        <w:p>
          <w:pPr>
            <w:pStyle w:val="TOC1"/>
            <w:tabs>
              <w:tab w:val="clear" w:pos="720"/>
              <w:tab w:val="right" w:pos="6479" w:leader="dot"/>
            </w:tabs>
            <w:rPr/>
          </w:pPr>
          <w:hyperlink w:anchor="__RefHeading___Toc56420_3457424410">
            <w:r>
              <w:rPr>
                <w:rStyle w:val="IndexLink"/>
              </w:rPr>
              <w:t>TEIL UNIVERSAL — Bevor du dich entscheidest</w:t>
              <w:tab/>
              <w:t>13</w:t>
            </w:r>
          </w:hyperlink>
        </w:p>
        <w:p>
          <w:pPr>
            <w:pStyle w:val="TOC2"/>
            <w:tabs>
              <w:tab w:val="clear" w:pos="720"/>
              <w:tab w:val="right" w:pos="6479" w:leader="dot"/>
            </w:tabs>
            <w:rPr/>
          </w:pPr>
          <w:hyperlink w:anchor="__RefHeading___Toc56422_3457424410">
            <w:r>
              <w:rPr>
                <w:rStyle w:val="IndexLink"/>
              </w:rPr>
              <w:t>Kapitel 1: Bist du überhaupt bereit dafür?</w:t>
              <w:tab/>
              <w:t>14</w:t>
            </w:r>
          </w:hyperlink>
        </w:p>
        <w:p>
          <w:pPr>
            <w:pStyle w:val="TOC2"/>
            <w:tabs>
              <w:tab w:val="clear" w:pos="720"/>
              <w:tab w:val="right" w:pos="6479" w:leader="dot"/>
            </w:tabs>
            <w:rPr/>
          </w:pPr>
          <w:hyperlink w:anchor="__RefHeading___Toc56424_3457424410">
            <w:r>
              <w:rPr>
                <w:rStyle w:val="IndexLink"/>
              </w:rPr>
              <w:t>Kapitel 2: Welches Land passt zu dir?</w:t>
              <w:tab/>
              <w:t>30</w:t>
            </w:r>
          </w:hyperlink>
        </w:p>
        <w:p>
          <w:pPr>
            <w:pStyle w:val="TOC1"/>
            <w:tabs>
              <w:tab w:val="clear" w:pos="720"/>
              <w:tab w:val="right" w:pos="6479" w:leader="dot"/>
            </w:tabs>
            <w:rPr/>
          </w:pPr>
          <w:hyperlink w:anchor="__RefHeading___Toc56426_3457424410">
            <w:r>
              <w:rPr>
                <w:rStyle w:val="IndexLink"/>
              </w:rPr>
              <w:t>TEIL I — Die Entscheidung</w:t>
              <w:tab/>
              <w:t>47</w:t>
            </w:r>
          </w:hyperlink>
        </w:p>
        <w:p>
          <w:pPr>
            <w:pStyle w:val="TOC2"/>
            <w:tabs>
              <w:tab w:val="clear" w:pos="720"/>
              <w:tab w:val="right" w:pos="6479" w:leader="dot"/>
            </w:tabs>
            <w:rPr/>
          </w:pPr>
          <w:hyperlink w:anchor="__RefHeading___Toc56428_3457424410">
            <w:r>
              <w:rPr>
                <w:rStyle w:val="IndexLink"/>
              </w:rPr>
              <w:t>Kapitel 1: Die ehrliche Bilanz: Was für die USA spricht und was dagegen</w:t>
              <w:tab/>
              <w:t>48</w:t>
            </w:r>
          </w:hyperlink>
        </w:p>
        <w:p>
          <w:pPr>
            <w:pStyle w:val="TOC2"/>
            <w:tabs>
              <w:tab w:val="clear" w:pos="720"/>
              <w:tab w:val="right" w:pos="6479" w:leader="dot"/>
            </w:tabs>
            <w:rPr/>
          </w:pPr>
          <w:hyperlink w:anchor="__RefHeading___Toc56430_3457424410">
            <w:r>
              <w:rPr>
                <w:rStyle w:val="IndexLink"/>
              </w:rPr>
              <w:t>Kapitel 2: Die 25 größten Fallen</w:t>
              <w:tab/>
              <w:t>66</w:t>
            </w:r>
          </w:hyperlink>
        </w:p>
        <w:p>
          <w:pPr>
            <w:pStyle w:val="TOC2"/>
            <w:tabs>
              <w:tab w:val="clear" w:pos="720"/>
              <w:tab w:val="right" w:pos="6479" w:leader="dot"/>
            </w:tabs>
            <w:rPr/>
          </w:pPr>
          <w:hyperlink w:anchor="__RefHeading___Toc56432_3457424410">
            <w:r>
              <w:rPr>
                <w:rStyle w:val="IndexLink"/>
              </w:rPr>
              <w:t>Kapitel 3: Lohnt es sich für mich? Rechnen, prüfen, entscheiden</w:t>
              <w:tab/>
              <w:t>81</w:t>
            </w:r>
          </w:hyperlink>
        </w:p>
        <w:p>
          <w:pPr>
            <w:pStyle w:val="TOC1"/>
            <w:tabs>
              <w:tab w:val="clear" w:pos="720"/>
              <w:tab w:val="right" w:pos="6479" w:leader="dot"/>
            </w:tabs>
            <w:rPr/>
          </w:pPr>
          <w:hyperlink w:anchor="__RefHeading___Toc56434_3457424410">
            <w:r>
              <w:rPr>
                <w:rStyle w:val="IndexLink"/>
              </w:rPr>
              <w:t>TEIL II — Visum und Green Card</w:t>
              <w:tab/>
              <w:t>98</w:t>
            </w:r>
          </w:hyperlink>
        </w:p>
        <w:p>
          <w:pPr>
            <w:pStyle w:val="TOC2"/>
            <w:tabs>
              <w:tab w:val="clear" w:pos="720"/>
              <w:tab w:val="right" w:pos="6479" w:leader="dot"/>
            </w:tabs>
            <w:rPr/>
          </w:pPr>
          <w:hyperlink w:anchor="__RefHeading___Toc56436_3457424410">
            <w:r>
              <w:rPr>
                <w:rStyle w:val="IndexLink"/>
              </w:rPr>
              <w:t>Kapitel 4: Die Wege in die USA im Überblick</w:t>
              <w:tab/>
              <w:t>99</w:t>
            </w:r>
          </w:hyperlink>
        </w:p>
        <w:p>
          <w:pPr>
            <w:pStyle w:val="TOC2"/>
            <w:tabs>
              <w:tab w:val="clear" w:pos="720"/>
              <w:tab w:val="right" w:pos="6479" w:leader="dot"/>
            </w:tabs>
            <w:rPr/>
          </w:pPr>
          <w:hyperlink w:anchor="__RefHeading___Toc56438_3457424410">
            <w:r>
              <w:rPr>
                <w:rStyle w:val="IndexLink"/>
              </w:rPr>
              <w:t>Kapitel 5: Das H-1B-Visum</w:t>
              <w:tab/>
              <w:t>112</w:t>
            </w:r>
          </w:hyperlink>
        </w:p>
        <w:p>
          <w:pPr>
            <w:pStyle w:val="TOC2"/>
            <w:tabs>
              <w:tab w:val="clear" w:pos="720"/>
              <w:tab w:val="right" w:pos="6479" w:leader="dot"/>
            </w:tabs>
            <w:rPr/>
          </w:pPr>
          <w:hyperlink w:anchor="__RefHeading___Toc56440_3457424410">
            <w:r>
              <w:rPr>
                <w:rStyle w:val="IndexLink"/>
              </w:rPr>
              <w:t>Kapitel 6: Die Green Card</w:t>
              <w:tab/>
              <w:t>136</w:t>
            </w:r>
          </w:hyperlink>
        </w:p>
        <w:p>
          <w:pPr>
            <w:pStyle w:val="TOC2"/>
            <w:tabs>
              <w:tab w:val="clear" w:pos="720"/>
              <w:tab w:val="right" w:pos="6479" w:leader="dot"/>
            </w:tabs>
            <w:rPr/>
          </w:pPr>
          <w:hyperlink w:anchor="__RefHeading___Toc56442_3457424410">
            <w:r>
              <w:rPr>
                <w:rStyle w:val="IndexLink"/>
              </w:rPr>
              <w:t>Kapitel 7: H-1B oder Green Card? Der direkte Vergleich</w:t>
              <w:tab/>
              <w:t>158</w:t>
            </w:r>
          </w:hyperlink>
        </w:p>
        <w:p>
          <w:pPr>
            <w:pStyle w:val="TOC2"/>
            <w:tabs>
              <w:tab w:val="clear" w:pos="720"/>
              <w:tab w:val="right" w:pos="6479" w:leader="dot"/>
            </w:tabs>
            <w:rPr/>
          </w:pPr>
          <w:hyperlink w:anchor="__RefHeading___Toc56444_3457424410">
            <w:r>
              <w:rPr>
                <w:rStyle w:val="IndexLink"/>
              </w:rPr>
              <w:t>Kapitel 8: Der Studienweg: F-1, OPT und der spätere Statuswechsel</w:t>
              <w:tab/>
              <w:t>176</w:t>
            </w:r>
          </w:hyperlink>
        </w:p>
        <w:p>
          <w:pPr>
            <w:pStyle w:val="TOC2"/>
            <w:tabs>
              <w:tab w:val="clear" w:pos="720"/>
              <w:tab w:val="right" w:pos="6479" w:leader="dot"/>
            </w:tabs>
            <w:rPr/>
          </w:pPr>
          <w:hyperlink w:anchor="__RefHeading___Toc56446_3457424410">
            <w:r>
              <w:rPr>
                <w:rStyle w:val="IndexLink"/>
              </w:rPr>
              <w:t>Kapitel 9: Weitere Wege: L-1, O-1, E-2, J-1, Lotterie, Heirat, Selbständigkeit</w:t>
              <w:tab/>
              <w:t>196</w:t>
            </w:r>
          </w:hyperlink>
        </w:p>
        <w:p>
          <w:pPr>
            <w:pStyle w:val="TOC2"/>
            <w:tabs>
              <w:tab w:val="clear" w:pos="720"/>
              <w:tab w:val="right" w:pos="6479" w:leader="dot"/>
            </w:tabs>
            <w:rPr/>
          </w:pPr>
          <w:hyperlink w:anchor="__RefHeading___Toc56448_3457424410">
            <w:r>
              <w:rPr>
                <w:rStyle w:val="IndexLink"/>
              </w:rPr>
              <w:t>Kapitel 10: Ehepartner und Kinder im Visumssystem</w:t>
              <w:tab/>
              <w:t>217</w:t>
            </w:r>
          </w:hyperlink>
        </w:p>
        <w:p>
          <w:pPr>
            <w:pStyle w:val="TOC2"/>
            <w:tabs>
              <w:tab w:val="clear" w:pos="720"/>
              <w:tab w:val="right" w:pos="6479" w:leader="dot"/>
            </w:tabs>
            <w:rPr/>
          </w:pPr>
          <w:hyperlink w:anchor="__RefHeading___Toc56450_3457424410">
            <w:r>
              <w:rPr>
                <w:rStyle w:val="IndexLink"/>
              </w:rPr>
              <w:t>Kapitel 11: Antrag, Konsulat, Anwalt, Kosten</w:t>
              <w:tab/>
              <w:t>235</w:t>
            </w:r>
          </w:hyperlink>
        </w:p>
        <w:p>
          <w:pPr>
            <w:pStyle w:val="TOC1"/>
            <w:tabs>
              <w:tab w:val="clear" w:pos="720"/>
              <w:tab w:val="right" w:pos="6479" w:leader="dot"/>
            </w:tabs>
            <w:rPr/>
          </w:pPr>
          <w:hyperlink w:anchor="__RefHeading___Toc56452_3457424410">
            <w:r>
              <w:rPr>
                <w:rStyle w:val="IndexLink"/>
              </w:rPr>
              <w:t>TEIL III — Wohnort und Wohnen</w:t>
              <w:tab/>
              <w:t>254</w:t>
            </w:r>
          </w:hyperlink>
        </w:p>
        <w:p>
          <w:pPr>
            <w:pStyle w:val="TOC2"/>
            <w:tabs>
              <w:tab w:val="clear" w:pos="720"/>
              <w:tab w:val="right" w:pos="6479" w:leader="dot"/>
            </w:tabs>
            <w:rPr/>
          </w:pPr>
          <w:hyperlink w:anchor="__RefHeading___Toc56454_3457424410">
            <w:r>
              <w:rPr>
                <w:rStyle w:val="IndexLink"/>
              </w:rPr>
              <w:t>Kapitel 12: Wo leben? Die besten Orte nach Berufsfeld</w:t>
              <w:tab/>
              <w:t>255</w:t>
            </w:r>
          </w:hyperlink>
        </w:p>
        <w:p>
          <w:pPr>
            <w:pStyle w:val="TOC2"/>
            <w:tabs>
              <w:tab w:val="clear" w:pos="720"/>
              <w:tab w:val="right" w:pos="6479" w:leader="dot"/>
            </w:tabs>
            <w:rPr/>
          </w:pPr>
          <w:hyperlink w:anchor="__RefHeading___Toc56456_3457424410">
            <w:r>
              <w:rPr>
                <w:rStyle w:val="IndexLink"/>
              </w:rPr>
              <w:t>Kapitel 13: Mieten in den USA</w:t>
              <w:tab/>
              <w:t>278</w:t>
            </w:r>
          </w:hyperlink>
        </w:p>
        <w:p>
          <w:pPr>
            <w:pStyle w:val="TOC2"/>
            <w:tabs>
              <w:tab w:val="clear" w:pos="720"/>
              <w:tab w:val="right" w:pos="6479" w:leader="dot"/>
            </w:tabs>
            <w:rPr/>
          </w:pPr>
          <w:hyperlink w:anchor="__RefHeading___Toc56458_3457424410">
            <w:r>
              <w:rPr>
                <w:rStyle w:val="IndexLink"/>
              </w:rPr>
              <w:t>Kapitel 14: Kaufen in den USA und Hypotheken-Know-how</w:t>
              <w:tab/>
              <w:t>297</w:t>
            </w:r>
          </w:hyperlink>
        </w:p>
        <w:p>
          <w:pPr>
            <w:pStyle w:val="TOC1"/>
            <w:tabs>
              <w:tab w:val="clear" w:pos="720"/>
              <w:tab w:val="right" w:pos="6479" w:leader="dot"/>
            </w:tabs>
            <w:rPr/>
          </w:pPr>
          <w:hyperlink w:anchor="__RefHeading___Toc56460_3457424410">
            <w:r>
              <w:rPr>
                <w:rStyle w:val="IndexLink"/>
              </w:rPr>
              <w:t>TEIL IV — Vorbereitung in Deutschland</w:t>
              <w:tab/>
              <w:t>322</w:t>
            </w:r>
          </w:hyperlink>
        </w:p>
        <w:p>
          <w:pPr>
            <w:pStyle w:val="TOC2"/>
            <w:tabs>
              <w:tab w:val="clear" w:pos="720"/>
              <w:tab w:val="right" w:pos="6479" w:leader="dot"/>
            </w:tabs>
            <w:rPr/>
          </w:pPr>
          <w:hyperlink w:anchor="__RefHeading___Toc56462_3457424410">
            <w:r>
              <w:rPr>
                <w:rStyle w:val="IndexLink"/>
              </w:rPr>
              <w:t>Kapitel 15: Der Masterplan: Zeitleiste vom Entschluss bis zum Abflug</w:t>
              <w:tab/>
              <w:t>323</w:t>
            </w:r>
          </w:hyperlink>
        </w:p>
        <w:p>
          <w:pPr>
            <w:pStyle w:val="TOC2"/>
            <w:tabs>
              <w:tab w:val="clear" w:pos="720"/>
              <w:tab w:val="right" w:pos="6479" w:leader="dot"/>
            </w:tabs>
            <w:rPr/>
          </w:pPr>
          <w:hyperlink w:anchor="__RefHeading___Toc56464_3457424410">
            <w:r>
              <w:rPr>
                <w:rStyle w:val="IndexLink"/>
              </w:rPr>
              <w:t>Kapitel 16: Behörden, Verträge, Versicherungen abwickeln</w:t>
              <w:tab/>
              <w:t>335</w:t>
            </w:r>
          </w:hyperlink>
        </w:p>
        <w:p>
          <w:pPr>
            <w:pStyle w:val="TOC2"/>
            <w:tabs>
              <w:tab w:val="clear" w:pos="720"/>
              <w:tab w:val="right" w:pos="6479" w:leader="dot"/>
            </w:tabs>
            <w:rPr/>
          </w:pPr>
          <w:hyperlink w:anchor="__RefHeading___Toc56466_3457424410">
            <w:r>
              <w:rPr>
                <w:rStyle w:val="IndexLink"/>
              </w:rPr>
              <w:t>Kapitel 17: Steuern, Rente und Geld: die deutsche Seite</w:t>
              <w:tab/>
              <w:t>353</w:t>
            </w:r>
          </w:hyperlink>
        </w:p>
        <w:p>
          <w:pPr>
            <w:pStyle w:val="TOC2"/>
            <w:tabs>
              <w:tab w:val="clear" w:pos="720"/>
              <w:tab w:val="right" w:pos="6479" w:leader="dot"/>
            </w:tabs>
            <w:rPr/>
          </w:pPr>
          <w:hyperlink w:anchor="__RefHeading___Toc56468_3457424410">
            <w:r>
              <w:rPr>
                <w:rStyle w:val="IndexLink"/>
              </w:rPr>
              <w:t>Kapitel 18: Krankenversicherung und Gesundheit vor dem Abflug</w:t>
              <w:tab/>
              <w:t>369</w:t>
            </w:r>
          </w:hyperlink>
        </w:p>
        <w:p>
          <w:pPr>
            <w:pStyle w:val="TOC2"/>
            <w:tabs>
              <w:tab w:val="clear" w:pos="720"/>
              <w:tab w:val="right" w:pos="6479" w:leader="dot"/>
            </w:tabs>
            <w:rPr/>
          </w:pPr>
          <w:hyperlink w:anchor="__RefHeading___Toc56470_3457424410">
            <w:r>
              <w:rPr>
                <w:rStyle w:val="IndexLink"/>
              </w:rPr>
              <w:t>Kapitel 19: Dokumente, Übersetzungen, Apostillen</w:t>
              <w:tab/>
              <w:t>382</w:t>
            </w:r>
          </w:hyperlink>
        </w:p>
        <w:p>
          <w:pPr>
            <w:pStyle w:val="TOC1"/>
            <w:tabs>
              <w:tab w:val="clear" w:pos="720"/>
              <w:tab w:val="right" w:pos="6479" w:leader="dot"/>
            </w:tabs>
            <w:rPr/>
          </w:pPr>
          <w:hyperlink w:anchor="__RefHeading___Toc56472_3457424410">
            <w:r>
              <w:rPr>
                <w:rStyle w:val="IndexLink"/>
              </w:rPr>
              <w:t>TEIL V — Der Umzug</w:t>
              <w:tab/>
              <w:t>399</w:t>
            </w:r>
          </w:hyperlink>
        </w:p>
        <w:p>
          <w:pPr>
            <w:pStyle w:val="TOC2"/>
            <w:tabs>
              <w:tab w:val="clear" w:pos="720"/>
              <w:tab w:val="right" w:pos="6479" w:leader="dot"/>
            </w:tabs>
            <w:rPr/>
          </w:pPr>
          <w:hyperlink w:anchor="__RefHeading___Toc56474_3457424410">
            <w:r>
              <w:rPr>
                <w:rStyle w:val="IndexLink"/>
              </w:rPr>
              <w:t>Kapitel 20: Container, Luftfracht oder Koffer: Umzug planen und Kosten sparen</w:t>
              <w:tab/>
              <w:t>400</w:t>
            </w:r>
          </w:hyperlink>
        </w:p>
        <w:p>
          <w:pPr>
            <w:pStyle w:val="TOC2"/>
            <w:tabs>
              <w:tab w:val="clear" w:pos="720"/>
              <w:tab w:val="right" w:pos="6479" w:leader="dot"/>
            </w:tabs>
            <w:rPr/>
          </w:pPr>
          <w:hyperlink w:anchor="__RefHeading___Toc56476_3457424410">
            <w:r>
              <w:rPr>
                <w:rStyle w:val="IndexLink"/>
              </w:rPr>
              <w:t>Kapitel 21: Mitnehmen oder neu kaufen? Die Raum-für-Raum-Liste</w:t>
              <w:tab/>
              <w:t>418</w:t>
            </w:r>
          </w:hyperlink>
        </w:p>
        <w:p>
          <w:pPr>
            <w:pStyle w:val="TOC2"/>
            <w:tabs>
              <w:tab w:val="clear" w:pos="720"/>
              <w:tab w:val="right" w:pos="6479" w:leader="dot"/>
            </w:tabs>
            <w:rPr/>
          </w:pPr>
          <w:hyperlink w:anchor="__RefHeading___Toc56478_3457424410">
            <w:r>
              <w:rPr>
                <w:rStyle w:val="IndexLink"/>
              </w:rPr>
              <w:t>Kapitel 22: Haustiere: Einreise, Kosten, Alltag</w:t>
              <w:tab/>
              <w:t>437</w:t>
            </w:r>
          </w:hyperlink>
        </w:p>
        <w:p>
          <w:pPr>
            <w:pStyle w:val="TOC1"/>
            <w:tabs>
              <w:tab w:val="clear" w:pos="720"/>
              <w:tab w:val="right" w:pos="6479" w:leader="dot"/>
            </w:tabs>
            <w:rPr/>
          </w:pPr>
          <w:hyperlink w:anchor="__RefHeading___Toc56480_3457424410">
            <w:r>
              <w:rPr>
                <w:rStyle w:val="IndexLink"/>
              </w:rPr>
              <w:t>TEIL VI — Ankommen</w:t>
              <w:tab/>
              <w:t>449</w:t>
            </w:r>
          </w:hyperlink>
        </w:p>
        <w:p>
          <w:pPr>
            <w:pStyle w:val="TOC2"/>
            <w:tabs>
              <w:tab w:val="clear" w:pos="720"/>
              <w:tab w:val="right" w:pos="6479" w:leader="dot"/>
            </w:tabs>
            <w:rPr/>
          </w:pPr>
          <w:hyperlink w:anchor="__RefHeading___Toc56482_3457424410">
            <w:r>
              <w:rPr>
                <w:rStyle w:val="IndexLink"/>
              </w:rPr>
              <w:t>Kapitel 23: Landung, Einreise und die ersten 72 Stunden</w:t>
              <w:tab/>
              <w:t>450</w:t>
            </w:r>
          </w:hyperlink>
        </w:p>
        <w:p>
          <w:pPr>
            <w:pStyle w:val="TOC2"/>
            <w:tabs>
              <w:tab w:val="clear" w:pos="720"/>
              <w:tab w:val="right" w:pos="6479" w:leader="dot"/>
            </w:tabs>
            <w:rPr/>
          </w:pPr>
          <w:hyperlink w:anchor="__RefHeading___Toc56484_3457424410">
            <w:r>
              <w:rPr>
                <w:rStyle w:val="IndexLink"/>
              </w:rPr>
              <w:t>Kapitel 24: Die Social Security Number (SSN) und die ITIN</w:t>
              <w:tab/>
              <w:t>465</w:t>
            </w:r>
          </w:hyperlink>
        </w:p>
        <w:p>
          <w:pPr>
            <w:pStyle w:val="TOC2"/>
            <w:tabs>
              <w:tab w:val="clear" w:pos="720"/>
              <w:tab w:val="right" w:pos="6479" w:leader="dot"/>
            </w:tabs>
            <w:rPr/>
          </w:pPr>
          <w:hyperlink w:anchor="__RefHeading___Toc56486_3457424410">
            <w:r>
              <w:rPr>
                <w:rStyle w:val="IndexLink"/>
              </w:rPr>
              <w:t>Kapitel 25: Bank, Kredit, Versicherungen: Geld im Alltag</w:t>
              <w:tab/>
              <w:t>479</w:t>
            </w:r>
          </w:hyperlink>
        </w:p>
        <w:p>
          <w:pPr>
            <w:pStyle w:val="TOC2"/>
            <w:tabs>
              <w:tab w:val="clear" w:pos="720"/>
              <w:tab w:val="right" w:pos="6479" w:leader="dot"/>
            </w:tabs>
            <w:rPr/>
          </w:pPr>
          <w:hyperlink w:anchor="__RefHeading___Toc56488_3457424410">
            <w:r>
              <w:rPr>
                <w:rStyle w:val="IndexLink"/>
              </w:rPr>
              <w:t>Kapitel 26: Das US-Gesundheitssystem für Neuankömmlinge</w:t>
              <w:tab/>
              <w:t>494</w:t>
            </w:r>
          </w:hyperlink>
        </w:p>
        <w:p>
          <w:pPr>
            <w:pStyle w:val="TOC2"/>
            <w:tabs>
              <w:tab w:val="clear" w:pos="720"/>
              <w:tab w:val="right" w:pos="6479" w:leader="dot"/>
            </w:tabs>
            <w:rPr/>
          </w:pPr>
          <w:hyperlink w:anchor="__RefHeading___Toc56490_3457424410">
            <w:r>
              <w:rPr>
                <w:rStyle w:val="IndexLink"/>
              </w:rPr>
              <w:t>Kapitel 27: Führerschein, Auto und Mobilität</w:t>
              <w:tab/>
              <w:t>517</w:t>
            </w:r>
          </w:hyperlink>
        </w:p>
        <w:p>
          <w:pPr>
            <w:pStyle w:val="TOC2"/>
            <w:tabs>
              <w:tab w:val="clear" w:pos="720"/>
              <w:tab w:val="right" w:pos="6479" w:leader="dot"/>
            </w:tabs>
            <w:rPr/>
          </w:pPr>
          <w:hyperlink w:anchor="__RefHeading___Toc56492_3457424410">
            <w:r>
              <w:rPr>
                <w:rStyle w:val="IndexLink"/>
              </w:rPr>
              <w:t>Kapitel 28: Steuern in den USA verständlich erklärt</w:t>
              <w:tab/>
              <w:t>535</w:t>
            </w:r>
          </w:hyperlink>
        </w:p>
        <w:p>
          <w:pPr>
            <w:pStyle w:val="TOC1"/>
            <w:tabs>
              <w:tab w:val="clear" w:pos="720"/>
              <w:tab w:val="right" w:pos="6479" w:leader="dot"/>
            </w:tabs>
            <w:rPr/>
          </w:pPr>
          <w:hyperlink w:anchor="__RefHeading___Toc56494_3457424410">
            <w:r>
              <w:rPr>
                <w:rStyle w:val="IndexLink"/>
              </w:rPr>
              <w:t>TEIL VII — Arbeiten in den USA</w:t>
              <w:tab/>
              <w:t>557</w:t>
            </w:r>
          </w:hyperlink>
        </w:p>
        <w:p>
          <w:pPr>
            <w:pStyle w:val="TOC2"/>
            <w:tabs>
              <w:tab w:val="clear" w:pos="720"/>
              <w:tab w:val="right" w:pos="6479" w:leader="dot"/>
            </w:tabs>
            <w:rPr/>
          </w:pPr>
          <w:hyperlink w:anchor="__RefHeading___Toc56496_3457424410">
            <w:r>
              <w:rPr>
                <w:rStyle w:val="IndexLink"/>
              </w:rPr>
              <w:t>Kapitel 29: Die Arbeitswelt in den USA: Recht, Kultur, Gehalt</w:t>
              <w:tab/>
              <w:t>558</w:t>
            </w:r>
          </w:hyperlink>
        </w:p>
        <w:p>
          <w:pPr>
            <w:pStyle w:val="TOC2"/>
            <w:tabs>
              <w:tab w:val="clear" w:pos="720"/>
              <w:tab w:val="right" w:pos="6479" w:leader="dot"/>
            </w:tabs>
            <w:rPr/>
          </w:pPr>
          <w:hyperlink w:anchor="__RefHeading___Toc56498_3457424410">
            <w:r>
              <w:rPr>
                <w:rStyle w:val="IndexLink"/>
              </w:rPr>
              <w:t>Kapitel 30: Jobwechsel, Kündigung und Umzug im Land: Was dein Status erlaubt</w:t>
              <w:tab/>
              <w:t>578</w:t>
            </w:r>
          </w:hyperlink>
        </w:p>
        <w:p>
          <w:pPr>
            <w:pStyle w:val="TOC1"/>
            <w:tabs>
              <w:tab w:val="clear" w:pos="720"/>
              <w:tab w:val="right" w:pos="6479" w:leader="dot"/>
            </w:tabs>
            <w:rPr/>
          </w:pPr>
          <w:hyperlink w:anchor="__RefHeading___Toc56500_3457424410">
            <w:r>
              <w:rPr>
                <w:rStyle w:val="IndexLink"/>
              </w:rPr>
              <w:t>TEIL VIII — Leben und Menschen</w:t>
              <w:tab/>
              <w:t>596</w:t>
            </w:r>
          </w:hyperlink>
        </w:p>
        <w:p>
          <w:pPr>
            <w:pStyle w:val="TOC2"/>
            <w:tabs>
              <w:tab w:val="clear" w:pos="720"/>
              <w:tab w:val="right" w:pos="6479" w:leader="dot"/>
            </w:tabs>
            <w:rPr/>
          </w:pPr>
          <w:hyperlink w:anchor="__RefHeading___Toc56502_3457424410">
            <w:r>
              <w:rPr>
                <w:rStyle w:val="IndexLink"/>
              </w:rPr>
              <w:t>Kapitel 31: Kulturunterschiede: Der große Deutsch-Amerikanisch-Vergleich</w:t>
              <w:tab/>
              <w:t>597</w:t>
            </w:r>
          </w:hyperlink>
        </w:p>
        <w:p>
          <w:pPr>
            <w:pStyle w:val="TOC2"/>
            <w:tabs>
              <w:tab w:val="clear" w:pos="720"/>
              <w:tab w:val="right" w:pos="6479" w:leader="dot"/>
            </w:tabs>
            <w:rPr/>
          </w:pPr>
          <w:hyperlink w:anchor="__RefHeading___Toc56504_3457424410">
            <w:r>
              <w:rPr>
                <w:rStyle w:val="IndexLink"/>
              </w:rPr>
              <w:t>Kapitel 32: Freunde finden in einem neuen Land</w:t>
              <w:tab/>
              <w:t>621</w:t>
            </w:r>
          </w:hyperlink>
        </w:p>
        <w:p>
          <w:pPr>
            <w:pStyle w:val="TOC2"/>
            <w:tabs>
              <w:tab w:val="clear" w:pos="720"/>
              <w:tab w:val="right" w:pos="6479" w:leader="dot"/>
            </w:tabs>
            <w:rPr/>
          </w:pPr>
          <w:hyperlink w:anchor="__RefHeading___Toc56506_3457424410">
            <w:r>
              <w:rPr>
                <w:rStyle w:val="IndexLink"/>
              </w:rPr>
              <w:t>Kapitel 33: Heimweh, Kulturschock und mentale Gesundheit</w:t>
              <w:tab/>
              <w:t>641</w:t>
            </w:r>
          </w:hyperlink>
        </w:p>
        <w:p>
          <w:pPr>
            <w:pStyle w:val="TOC2"/>
            <w:tabs>
              <w:tab w:val="clear" w:pos="720"/>
              <w:tab w:val="right" w:pos="6479" w:leader="dot"/>
            </w:tabs>
            <w:rPr/>
          </w:pPr>
          <w:hyperlink w:anchor="__RefHeading___Toc56508_3457424410">
            <w:r>
              <w:rPr>
                <w:rStyle w:val="IndexLink"/>
              </w:rPr>
              <w:t>Kapitel 34: Kleidung: Was man trägt, was man kauft, was man mitnimmt</w:t>
              <w:tab/>
              <w:t>655</w:t>
            </w:r>
          </w:hyperlink>
        </w:p>
        <w:p>
          <w:pPr>
            <w:pStyle w:val="TOC2"/>
            <w:tabs>
              <w:tab w:val="clear" w:pos="720"/>
              <w:tab w:val="right" w:pos="6479" w:leader="dot"/>
            </w:tabs>
            <w:rPr/>
          </w:pPr>
          <w:hyperlink w:anchor="__RefHeading___Toc56510_3457424410">
            <w:r>
              <w:rPr>
                <w:rStyle w:val="IndexLink"/>
              </w:rPr>
              <w:t>Kapitel 35: Essen, Trinken, Einkaufen</w:t>
              <w:tab/>
              <w:t>671</w:t>
            </w:r>
          </w:hyperlink>
        </w:p>
        <w:p>
          <w:pPr>
            <w:pStyle w:val="TOC1"/>
            <w:tabs>
              <w:tab w:val="clear" w:pos="720"/>
              <w:tab w:val="right" w:pos="6479" w:leader="dot"/>
            </w:tabs>
            <w:rPr/>
          </w:pPr>
          <w:hyperlink w:anchor="__RefHeading___Toc56512_3457424410">
            <w:r>
              <w:rPr>
                <w:rStyle w:val="IndexLink"/>
              </w:rPr>
              <w:t>TEIL IX — Kinder und Schule</w:t>
              <w:tab/>
              <w:t>687</w:t>
            </w:r>
          </w:hyperlink>
        </w:p>
        <w:p>
          <w:pPr>
            <w:pStyle w:val="TOC2"/>
            <w:tabs>
              <w:tab w:val="clear" w:pos="720"/>
              <w:tab w:val="right" w:pos="6479" w:leader="dot"/>
            </w:tabs>
            <w:rPr/>
          </w:pPr>
          <w:hyperlink w:anchor="__RefHeading___Toc56514_3457424410">
            <w:r>
              <w:rPr>
                <w:rStyle w:val="IndexLink"/>
              </w:rPr>
              <w:t>Kapitel 36: Das amerikanische Schulsystem verstehen</w:t>
              <w:tab/>
              <w:t>688</w:t>
            </w:r>
          </w:hyperlink>
        </w:p>
        <w:p>
          <w:pPr>
            <w:pStyle w:val="TOC2"/>
            <w:tabs>
              <w:tab w:val="clear" w:pos="720"/>
              <w:tab w:val="right" w:pos="6479" w:leader="dot"/>
            </w:tabs>
            <w:rPr/>
          </w:pPr>
          <w:hyperlink w:anchor="__RefHeading___Toc56516_3457424410">
            <w:r>
              <w:rPr>
                <w:rStyle w:val="IndexLink"/>
              </w:rPr>
              <w:t>Kapitel 37: ESL und Sprache: Englisch lernen und Deutsch bewahren</w:t>
              <w:tab/>
              <w:t>708</w:t>
            </w:r>
          </w:hyperlink>
        </w:p>
        <w:p>
          <w:pPr>
            <w:pStyle w:val="TOC2"/>
            <w:tabs>
              <w:tab w:val="clear" w:pos="720"/>
              <w:tab w:val="right" w:pos="6479" w:leader="dot"/>
            </w:tabs>
            <w:rPr/>
          </w:pPr>
          <w:hyperlink w:anchor="__RefHeading___Toc56518_3457424410">
            <w:r>
              <w:rPr>
                <w:rStyle w:val="IndexLink"/>
              </w:rPr>
              <w:t>Kapitel 38: Babys, Kleinkinder und Teenager</w:t>
              <w:tab/>
              <w:t>728</w:t>
            </w:r>
          </w:hyperlink>
        </w:p>
        <w:p>
          <w:pPr>
            <w:pStyle w:val="TOC1"/>
            <w:tabs>
              <w:tab w:val="clear" w:pos="720"/>
              <w:tab w:val="right" w:pos="6479" w:leader="dot"/>
            </w:tabs>
            <w:rPr/>
          </w:pPr>
          <w:hyperlink w:anchor="__RefHeading___Toc56520_3457424410">
            <w:r>
              <w:rPr>
                <w:rStyle w:val="IndexLink"/>
              </w:rPr>
              <w:t>TEIL X — Langfristig</w:t>
              <w:tab/>
              <w:t>747</w:t>
            </w:r>
          </w:hyperlink>
        </w:p>
        <w:p>
          <w:pPr>
            <w:pStyle w:val="TOC2"/>
            <w:tabs>
              <w:tab w:val="clear" w:pos="720"/>
              <w:tab w:val="right" w:pos="6479" w:leader="dot"/>
            </w:tabs>
            <w:rPr/>
          </w:pPr>
          <w:hyperlink w:anchor="__RefHeading___Toc56522_3457424410">
            <w:r>
              <w:rPr>
                <w:rStyle w:val="IndexLink"/>
              </w:rPr>
              <w:t>Kapitel 39: Vorsorge, Erbe und Vermögen</w:t>
              <w:tab/>
              <w:t>748</w:t>
            </w:r>
          </w:hyperlink>
        </w:p>
        <w:p>
          <w:pPr>
            <w:pStyle w:val="TOC2"/>
            <w:tabs>
              <w:tab w:val="clear" w:pos="720"/>
              <w:tab w:val="right" w:pos="6479" w:leader="dot"/>
            </w:tabs>
            <w:rPr/>
          </w:pPr>
          <w:hyperlink w:anchor="__RefHeading___Toc56524_3457424410">
            <w:r>
              <w:rPr>
                <w:rStyle w:val="IndexLink"/>
              </w:rPr>
              <w:t>Kapitel 40: Recht und Sicherheit im Alltag</w:t>
              <w:tab/>
              <w:t>766</w:t>
            </w:r>
          </w:hyperlink>
        </w:p>
        <w:p>
          <w:pPr>
            <w:pStyle w:val="TOC2"/>
            <w:tabs>
              <w:tab w:val="clear" w:pos="720"/>
              <w:tab w:val="right" w:pos="6479" w:leader="dot"/>
            </w:tabs>
            <w:rPr/>
          </w:pPr>
          <w:hyperlink w:anchor="__RefHeading___Toc56526_3457424410">
            <w:r>
              <w:rPr>
                <w:rStyle w:val="IndexLink"/>
              </w:rPr>
              <w:t>Kapitel 41: Von der Green Card zur Staatsbürgerschaft: Der Doppelpass</w:t>
              <w:tab/>
              <w:t>788</w:t>
            </w:r>
          </w:hyperlink>
        </w:p>
        <w:p>
          <w:pPr>
            <w:pStyle w:val="TOC2"/>
            <w:tabs>
              <w:tab w:val="clear" w:pos="720"/>
              <w:tab w:val="right" w:pos="6479" w:leader="dot"/>
            </w:tabs>
            <w:rPr/>
          </w:pPr>
          <w:hyperlink w:anchor="__RefHeading___Toc56528_3457424410">
            <w:r>
              <w:rPr>
                <w:rStyle w:val="IndexLink"/>
              </w:rPr>
              <w:t>Kapitel 42: Plan B: Die Rückkehr nach Deutschland</w:t>
              <w:tab/>
              <w:t>805</w:t>
            </w:r>
          </w:hyperlink>
        </w:p>
        <w:p>
          <w:pPr>
            <w:pStyle w:val="TOC1"/>
            <w:tabs>
              <w:tab w:val="clear" w:pos="720"/>
              <w:tab w:val="right" w:pos="6479" w:leader="dot"/>
            </w:tabs>
            <w:rPr/>
          </w:pPr>
          <w:hyperlink w:anchor="__RefHeading___Toc56530_3457424410">
            <w:r>
              <w:rPr>
                <w:rStyle w:val="IndexLink"/>
              </w:rPr>
              <w:t>TEIL AUSTRALIEN — Fern, aber gut geregelt</w:t>
              <w:tab/>
              <w:t>821</w:t>
            </w:r>
          </w:hyperlink>
        </w:p>
        <w:p>
          <w:pPr>
            <w:pStyle w:val="TOC2"/>
            <w:tabs>
              <w:tab w:val="clear" w:pos="720"/>
              <w:tab w:val="right" w:pos="6479" w:leader="dot"/>
            </w:tabs>
            <w:rPr/>
          </w:pPr>
          <w:hyperlink w:anchor="__RefHeading___Toc56532_3457424410">
            <w:r>
              <w:rPr>
                <w:rStyle w:val="IndexLink"/>
              </w:rPr>
              <w:t>Australien: Die ehrliche Bilanz</w:t>
              <w:tab/>
              <w:t>822</w:t>
            </w:r>
          </w:hyperlink>
        </w:p>
        <w:p>
          <w:pPr>
            <w:pStyle w:val="TOC2"/>
            <w:tabs>
              <w:tab w:val="clear" w:pos="720"/>
              <w:tab w:val="right" w:pos="6479" w:leader="dot"/>
            </w:tabs>
            <w:rPr/>
          </w:pPr>
          <w:hyperlink w:anchor="__RefHeading___Toc56534_3457424410">
            <w:r>
              <w:rPr>
                <w:rStyle w:val="IndexLink"/>
              </w:rPr>
              <w:t>Australien: Wege der Einwanderung</w:t>
              <w:tab/>
              <w:t>834</w:t>
            </w:r>
          </w:hyperlink>
        </w:p>
        <w:p>
          <w:pPr>
            <w:pStyle w:val="TOC2"/>
            <w:tabs>
              <w:tab w:val="clear" w:pos="720"/>
              <w:tab w:val="right" w:pos="6479" w:leader="dot"/>
            </w:tabs>
            <w:rPr/>
          </w:pPr>
          <w:hyperlink w:anchor="__RefHeading___Toc56536_3457424410">
            <w:r>
              <w:rPr>
                <w:rStyle w:val="IndexLink"/>
              </w:rPr>
              <w:t>Australien: Der Arbeitsweg im Detail</w:t>
              <w:tab/>
              <w:t>849</w:t>
            </w:r>
          </w:hyperlink>
        </w:p>
        <w:p>
          <w:pPr>
            <w:pStyle w:val="TOC2"/>
            <w:tabs>
              <w:tab w:val="clear" w:pos="720"/>
              <w:tab w:val="right" w:pos="6479" w:leader="dot"/>
            </w:tabs>
            <w:rPr/>
          </w:pPr>
          <w:hyperlink w:anchor="__RefHeading___Toc56538_3457424410">
            <w:r>
              <w:rPr>
                <w:rStyle w:val="IndexLink"/>
              </w:rPr>
              <w:t>Australien: Familie, Investor, Ruhestand</w:t>
              <w:tab/>
              <w:t>864</w:t>
            </w:r>
          </w:hyperlink>
        </w:p>
        <w:p>
          <w:pPr>
            <w:pStyle w:val="TOC2"/>
            <w:tabs>
              <w:tab w:val="clear" w:pos="720"/>
              <w:tab w:val="right" w:pos="6479" w:leader="dot"/>
            </w:tabs>
            <w:rPr/>
          </w:pPr>
          <w:hyperlink w:anchor="__RefHeading___Toc56540_3457424410">
            <w:r>
              <w:rPr>
                <w:rStyle w:val="IndexLink"/>
              </w:rPr>
              <w:t>Australien: Antrag, Konsulat und Kosten</w:t>
              <w:tab/>
              <w:t>881</w:t>
            </w:r>
          </w:hyperlink>
        </w:p>
        <w:p>
          <w:pPr>
            <w:pStyle w:val="TOC2"/>
            <w:tabs>
              <w:tab w:val="clear" w:pos="720"/>
              <w:tab w:val="right" w:pos="6479" w:leader="dot"/>
            </w:tabs>
            <w:rPr/>
          </w:pPr>
          <w:hyperlink w:anchor="__RefHeading___Toc56542_3457424410">
            <w:r>
              <w:rPr>
                <w:rStyle w:val="IndexLink"/>
              </w:rPr>
              <w:t>Australien: Ankunft, erste Tage und Wochen</w:t>
              <w:tab/>
              <w:t>894</w:t>
            </w:r>
          </w:hyperlink>
        </w:p>
        <w:p>
          <w:pPr>
            <w:pStyle w:val="TOC2"/>
            <w:tabs>
              <w:tab w:val="clear" w:pos="720"/>
              <w:tab w:val="right" w:pos="6479" w:leader="dot"/>
            </w:tabs>
            <w:rPr/>
          </w:pPr>
          <w:hyperlink w:anchor="__RefHeading___Toc56544_3457424410">
            <w:r>
              <w:rPr>
                <w:rStyle w:val="IndexLink"/>
              </w:rPr>
              <w:t>Australien: Steuer-ID, Bank, Kredit aufbauen</w:t>
              <w:tab/>
              <w:t>907</w:t>
            </w:r>
          </w:hyperlink>
        </w:p>
        <w:p>
          <w:pPr>
            <w:pStyle w:val="TOC2"/>
            <w:tabs>
              <w:tab w:val="clear" w:pos="720"/>
              <w:tab w:val="right" w:pos="6479" w:leader="dot"/>
            </w:tabs>
            <w:rPr/>
          </w:pPr>
          <w:hyperlink w:anchor="__RefHeading___Toc56546_3457424410">
            <w:r>
              <w:rPr>
                <w:rStyle w:val="IndexLink"/>
              </w:rPr>
              <w:t>Australien: Das Gesundheitssystem</w:t>
              <w:tab/>
              <w:t>921</w:t>
            </w:r>
          </w:hyperlink>
        </w:p>
        <w:p>
          <w:pPr>
            <w:pStyle w:val="TOC2"/>
            <w:tabs>
              <w:tab w:val="clear" w:pos="720"/>
              <w:tab w:val="right" w:pos="6479" w:leader="dot"/>
            </w:tabs>
            <w:rPr/>
          </w:pPr>
          <w:hyperlink w:anchor="__RefHeading___Toc56548_3457424410">
            <w:r>
              <w:rPr>
                <w:rStyle w:val="IndexLink"/>
              </w:rPr>
              <w:t>Australien: Wohnen und die besten Orte zum Leben</w:t>
              <w:tab/>
              <w:t>935</w:t>
            </w:r>
          </w:hyperlink>
        </w:p>
        <w:p>
          <w:pPr>
            <w:pStyle w:val="TOC2"/>
            <w:tabs>
              <w:tab w:val="clear" w:pos="720"/>
              <w:tab w:val="right" w:pos="6479" w:leader="dot"/>
            </w:tabs>
            <w:rPr/>
          </w:pPr>
          <w:hyperlink w:anchor="__RefHeading___Toc56550_3457424410">
            <w:r>
              <w:rPr>
                <w:rStyle w:val="IndexLink"/>
              </w:rPr>
              <w:t>Australien: Führerschein, Auto und Verkehrsregeln</w:t>
              <w:tab/>
              <w:t>950</w:t>
            </w:r>
          </w:hyperlink>
        </w:p>
        <w:p>
          <w:pPr>
            <w:pStyle w:val="TOC2"/>
            <w:tabs>
              <w:tab w:val="clear" w:pos="720"/>
              <w:tab w:val="right" w:pos="6479" w:leader="dot"/>
            </w:tabs>
            <w:rPr/>
          </w:pPr>
          <w:hyperlink w:anchor="__RefHeading___Toc56552_3457424410">
            <w:r>
              <w:rPr>
                <w:rStyle w:val="IndexLink"/>
              </w:rPr>
              <w:t>Australien: Alltagskultur und Umgangsformen</w:t>
              <w:tab/>
              <w:t>966</w:t>
            </w:r>
          </w:hyperlink>
        </w:p>
        <w:p>
          <w:pPr>
            <w:pStyle w:val="TOC2"/>
            <w:tabs>
              <w:tab w:val="clear" w:pos="720"/>
              <w:tab w:val="right" w:pos="6479" w:leader="dot"/>
            </w:tabs>
            <w:rPr/>
          </w:pPr>
          <w:hyperlink w:anchor="__RefHeading___Toc56554_3457424410">
            <w:r>
              <w:rPr>
                <w:rStyle w:val="IndexLink"/>
              </w:rPr>
              <w:t>Australien: Freunde finden und der Kulturschock der großen Distanz</w:t>
              <w:tab/>
              <w:t>981</w:t>
            </w:r>
          </w:hyperlink>
        </w:p>
        <w:p>
          <w:pPr>
            <w:pStyle w:val="TOC2"/>
            <w:tabs>
              <w:tab w:val="clear" w:pos="720"/>
              <w:tab w:val="right" w:pos="6479" w:leader="dot"/>
            </w:tabs>
            <w:rPr/>
          </w:pPr>
          <w:hyperlink w:anchor="__RefHeading___Toc56556_3457424410">
            <w:r>
              <w:rPr>
                <w:rStyle w:val="IndexLink"/>
              </w:rPr>
              <w:t>Australien: Kinder, Schule und Spracheingewöhnung</w:t>
              <w:tab/>
              <w:t>996</w:t>
            </w:r>
          </w:hyperlink>
        </w:p>
        <w:p>
          <w:pPr>
            <w:pStyle w:val="TOC2"/>
            <w:tabs>
              <w:tab w:val="clear" w:pos="720"/>
              <w:tab w:val="right" w:pos="6479" w:leader="dot"/>
            </w:tabs>
            <w:rPr/>
          </w:pPr>
          <w:hyperlink w:anchor="__RefHeading___Toc56558_3457424410">
            <w:r>
              <w:rPr>
                <w:rStyle w:val="IndexLink"/>
              </w:rPr>
              <w:t>Australien: Arbeitswelt und Jobwechsel</w:t>
              <w:tab/>
              <w:t>1011</w:t>
            </w:r>
          </w:hyperlink>
        </w:p>
        <w:p>
          <w:pPr>
            <w:pStyle w:val="TOC2"/>
            <w:tabs>
              <w:tab w:val="clear" w:pos="720"/>
              <w:tab w:val="right" w:pos="6479" w:leader="dot"/>
            </w:tabs>
            <w:rPr/>
          </w:pPr>
          <w:hyperlink w:anchor="__RefHeading___Toc56560_3457424410">
            <w:r>
              <w:rPr>
                <w:rStyle w:val="IndexLink"/>
              </w:rPr>
              <w:t>Australien: Recht, Sicherheit und Polizeikontakt</w:t>
              <w:tab/>
              <w:t>1024</w:t>
            </w:r>
          </w:hyperlink>
        </w:p>
        <w:p>
          <w:pPr>
            <w:pStyle w:val="TOC2"/>
            <w:tabs>
              <w:tab w:val="clear" w:pos="720"/>
              <w:tab w:val="right" w:pos="6479" w:leader="dot"/>
            </w:tabs>
            <w:rPr/>
          </w:pPr>
          <w:hyperlink w:anchor="__RefHeading___Toc56562_3457424410">
            <w:r>
              <w:rPr>
                <w:rStyle w:val="IndexLink"/>
              </w:rPr>
              <w:t>Australien: Staatsbürgerschaft und Steuerresidenz</w:t>
              <w:tab/>
              <w:t>1039</w:t>
            </w:r>
          </w:hyperlink>
        </w:p>
        <w:p>
          <w:pPr>
            <w:pStyle w:val="TOC1"/>
            <w:tabs>
              <w:tab w:val="clear" w:pos="720"/>
              <w:tab w:val="right" w:pos="6479" w:leader="dot"/>
            </w:tabs>
            <w:rPr/>
          </w:pPr>
          <w:hyperlink w:anchor="__RefHeading___Toc56564_3457424410">
            <w:r>
              <w:rPr>
                <w:rStyle w:val="IndexLink"/>
              </w:rPr>
              <w:t>TEIL KANADA — Nahe dran, trotzdem anders</w:t>
              <w:tab/>
              <w:t>1053</w:t>
            </w:r>
          </w:hyperlink>
        </w:p>
        <w:p>
          <w:pPr>
            <w:pStyle w:val="TOC2"/>
            <w:tabs>
              <w:tab w:val="clear" w:pos="720"/>
              <w:tab w:val="right" w:pos="6479" w:leader="dot"/>
            </w:tabs>
            <w:rPr/>
          </w:pPr>
          <w:hyperlink w:anchor="__RefHeading___Toc56566_3457424410">
            <w:r>
              <w:rPr>
                <w:rStyle w:val="IndexLink"/>
              </w:rPr>
              <w:t>Kanada: Die ehrliche Bilanz</w:t>
              <w:tab/>
              <w:t>1054</w:t>
            </w:r>
          </w:hyperlink>
        </w:p>
        <w:p>
          <w:pPr>
            <w:pStyle w:val="TOC2"/>
            <w:tabs>
              <w:tab w:val="clear" w:pos="720"/>
              <w:tab w:val="right" w:pos="6479" w:leader="dot"/>
            </w:tabs>
            <w:rPr/>
          </w:pPr>
          <w:hyperlink w:anchor="__RefHeading___Toc56568_3457424410">
            <w:r>
              <w:rPr>
                <w:rStyle w:val="IndexLink"/>
              </w:rPr>
              <w:t>Kanada: Wege der Einwanderung</w:t>
              <w:tab/>
              <w:t>1069</w:t>
            </w:r>
          </w:hyperlink>
        </w:p>
        <w:p>
          <w:pPr>
            <w:pStyle w:val="TOC2"/>
            <w:tabs>
              <w:tab w:val="clear" w:pos="720"/>
              <w:tab w:val="right" w:pos="6479" w:leader="dot"/>
            </w:tabs>
            <w:rPr/>
          </w:pPr>
          <w:hyperlink w:anchor="__RefHeading___Toc56570_3457424410">
            <w:r>
              <w:rPr>
                <w:rStyle w:val="IndexLink"/>
              </w:rPr>
              <w:t>Kanada: Der Arbeitsweg im Detail</w:t>
              <w:tab/>
              <w:t>1084</w:t>
            </w:r>
          </w:hyperlink>
        </w:p>
        <w:p>
          <w:pPr>
            <w:pStyle w:val="TOC2"/>
            <w:tabs>
              <w:tab w:val="clear" w:pos="720"/>
              <w:tab w:val="right" w:pos="6479" w:leader="dot"/>
            </w:tabs>
            <w:rPr/>
          </w:pPr>
          <w:hyperlink w:anchor="__RefHeading___Toc56572_3457424410">
            <w:r>
              <w:rPr>
                <w:rStyle w:val="IndexLink"/>
              </w:rPr>
              <w:t>Kanada: Familie, Investoren und der Ruhestand</w:t>
              <w:tab/>
              <w:t>1100</w:t>
            </w:r>
          </w:hyperlink>
        </w:p>
        <w:p>
          <w:pPr>
            <w:pStyle w:val="TOC2"/>
            <w:tabs>
              <w:tab w:val="clear" w:pos="720"/>
              <w:tab w:val="right" w:pos="6479" w:leader="dot"/>
            </w:tabs>
            <w:rPr/>
          </w:pPr>
          <w:hyperlink w:anchor="__RefHeading___Toc56574_3457424410">
            <w:r>
              <w:rPr>
                <w:rStyle w:val="IndexLink"/>
              </w:rPr>
              <w:t>Kanada: Antrag, Konsulat und Kosten</w:t>
              <w:tab/>
              <w:t>1115</w:t>
            </w:r>
          </w:hyperlink>
        </w:p>
        <w:p>
          <w:pPr>
            <w:pStyle w:val="TOC2"/>
            <w:tabs>
              <w:tab w:val="clear" w:pos="720"/>
              <w:tab w:val="right" w:pos="6479" w:leader="dot"/>
            </w:tabs>
            <w:rPr/>
          </w:pPr>
          <w:hyperlink w:anchor="__RefHeading___Toc56576_3457424410">
            <w:r>
              <w:rPr>
                <w:rStyle w:val="IndexLink"/>
              </w:rPr>
              <w:t>Kanada: Ankunft, erste Tage und Wochen</w:t>
              <w:tab/>
              <w:t>1129</w:t>
            </w:r>
          </w:hyperlink>
        </w:p>
        <w:p>
          <w:pPr>
            <w:pStyle w:val="TOC2"/>
            <w:tabs>
              <w:tab w:val="clear" w:pos="720"/>
              <w:tab w:val="right" w:pos="6479" w:leader="dot"/>
            </w:tabs>
            <w:rPr/>
          </w:pPr>
          <w:hyperlink w:anchor="__RefHeading___Toc56578_3457424410">
            <w:r>
              <w:rPr>
                <w:rStyle w:val="IndexLink"/>
              </w:rPr>
              <w:t>Kanada: SIN, Steuern, Bank und Kredit aufbauen</w:t>
              <w:tab/>
              <w:t>1142</w:t>
            </w:r>
          </w:hyperlink>
        </w:p>
        <w:p>
          <w:pPr>
            <w:pStyle w:val="TOC2"/>
            <w:tabs>
              <w:tab w:val="clear" w:pos="720"/>
              <w:tab w:val="right" w:pos="6479" w:leader="dot"/>
            </w:tabs>
            <w:rPr/>
          </w:pPr>
          <w:hyperlink w:anchor="__RefHeading___Toc56580_3457424410">
            <w:r>
              <w:rPr>
                <w:rStyle w:val="IndexLink"/>
              </w:rPr>
              <w:t>Kanada: Das Gesundheitssystem</w:t>
              <w:tab/>
              <w:t>1156</w:t>
            </w:r>
          </w:hyperlink>
        </w:p>
        <w:p>
          <w:pPr>
            <w:pStyle w:val="TOC2"/>
            <w:tabs>
              <w:tab w:val="clear" w:pos="720"/>
              <w:tab w:val="right" w:pos="6479" w:leader="dot"/>
            </w:tabs>
            <w:rPr/>
          </w:pPr>
          <w:hyperlink w:anchor="__RefHeading___Toc56582_3457424410">
            <w:r>
              <w:rPr>
                <w:rStyle w:val="IndexLink"/>
              </w:rPr>
              <w:t>Kanada: Wohnen und die besten Orte zum Leben</w:t>
              <w:tab/>
              <w:t>1170</w:t>
            </w:r>
          </w:hyperlink>
        </w:p>
        <w:p>
          <w:pPr>
            <w:pStyle w:val="TOC2"/>
            <w:tabs>
              <w:tab w:val="clear" w:pos="720"/>
              <w:tab w:val="right" w:pos="6479" w:leader="dot"/>
            </w:tabs>
            <w:rPr/>
          </w:pPr>
          <w:hyperlink w:anchor="__RefHeading___Toc56584_3457424410">
            <w:r>
              <w:rPr>
                <w:rStyle w:val="IndexLink"/>
              </w:rPr>
              <w:t>Kanada: Führerschein, Auto und Verkehrsregeln</w:t>
              <w:tab/>
              <w:t>1186</w:t>
            </w:r>
          </w:hyperlink>
        </w:p>
        <w:p>
          <w:pPr>
            <w:pStyle w:val="TOC2"/>
            <w:tabs>
              <w:tab w:val="clear" w:pos="720"/>
              <w:tab w:val="right" w:pos="6479" w:leader="dot"/>
            </w:tabs>
            <w:rPr/>
          </w:pPr>
          <w:hyperlink w:anchor="__RefHeading___Toc56586_3457424410">
            <w:r>
              <w:rPr>
                <w:rStyle w:val="IndexLink"/>
              </w:rPr>
              <w:t>Kanada: Alltagskultur und Umgangsformen</w:t>
              <w:tab/>
              <w:t>1201</w:t>
            </w:r>
          </w:hyperlink>
        </w:p>
        <w:p>
          <w:pPr>
            <w:pStyle w:val="TOC2"/>
            <w:tabs>
              <w:tab w:val="clear" w:pos="720"/>
              <w:tab w:val="right" w:pos="6479" w:leader="dot"/>
            </w:tabs>
            <w:rPr/>
          </w:pPr>
          <w:hyperlink w:anchor="__RefHeading___Toc56588_3457424410">
            <w:r>
              <w:rPr>
                <w:rStyle w:val="IndexLink"/>
              </w:rPr>
              <w:t>Kanada: Freunde finden und der Kulturschock des ersten Winters</w:t>
              <w:tab/>
              <w:t>1217</w:t>
            </w:r>
          </w:hyperlink>
        </w:p>
        <w:p>
          <w:pPr>
            <w:pStyle w:val="TOC2"/>
            <w:tabs>
              <w:tab w:val="clear" w:pos="720"/>
              <w:tab w:val="right" w:pos="6479" w:leader="dot"/>
            </w:tabs>
            <w:rPr/>
          </w:pPr>
          <w:hyperlink w:anchor="__RefHeading___Toc56590_3457424410">
            <w:r>
              <w:rPr>
                <w:rStyle w:val="IndexLink"/>
              </w:rPr>
              <w:t>Kanada: Kinder, Schule und Spracheingewöhnung</w:t>
              <w:tab/>
              <w:t>1231</w:t>
            </w:r>
          </w:hyperlink>
        </w:p>
        <w:p>
          <w:pPr>
            <w:pStyle w:val="TOC2"/>
            <w:tabs>
              <w:tab w:val="clear" w:pos="720"/>
              <w:tab w:val="right" w:pos="6479" w:leader="dot"/>
            </w:tabs>
            <w:rPr/>
          </w:pPr>
          <w:hyperlink w:anchor="__RefHeading___Toc56592_3457424410">
            <w:r>
              <w:rPr>
                <w:rStyle w:val="IndexLink"/>
              </w:rPr>
              <w:t>Kanada: Arbeitswelt und Jobwechsel</w:t>
              <w:tab/>
              <w:t>1246</w:t>
            </w:r>
          </w:hyperlink>
        </w:p>
        <w:p>
          <w:pPr>
            <w:pStyle w:val="TOC2"/>
            <w:tabs>
              <w:tab w:val="clear" w:pos="720"/>
              <w:tab w:val="right" w:pos="6479" w:leader="dot"/>
            </w:tabs>
            <w:rPr/>
          </w:pPr>
          <w:hyperlink w:anchor="__RefHeading___Toc56594_3457424410">
            <w:r>
              <w:rPr>
                <w:rStyle w:val="IndexLink"/>
              </w:rPr>
              <w:t>Kanada: Recht, Sicherheit und Polizeikontakt</w:t>
              <w:tab/>
              <w:t>1260</w:t>
            </w:r>
          </w:hyperlink>
        </w:p>
        <w:p>
          <w:pPr>
            <w:pStyle w:val="TOC2"/>
            <w:tabs>
              <w:tab w:val="clear" w:pos="720"/>
              <w:tab w:val="right" w:pos="6479" w:leader="dot"/>
            </w:tabs>
            <w:rPr/>
          </w:pPr>
          <w:hyperlink w:anchor="__RefHeading___Toc56596_3457424410">
            <w:r>
              <w:rPr>
                <w:rStyle w:val="IndexLink"/>
              </w:rPr>
              <w:t>Kanada: Staatsbürgerschaft und Steuerresidenz</w:t>
              <w:tab/>
              <w:t>1275</w:t>
            </w:r>
          </w:hyperlink>
        </w:p>
        <w:p>
          <w:pPr>
            <w:pStyle w:val="TOC1"/>
            <w:tabs>
              <w:tab w:val="clear" w:pos="720"/>
              <w:tab w:val="right" w:pos="6479" w:leader="dot"/>
            </w:tabs>
            <w:rPr/>
          </w:pPr>
          <w:hyperlink w:anchor="__RefHeading___Toc56598_3457424410">
            <w:r>
              <w:rPr>
                <w:rStyle w:val="IndexLink"/>
              </w:rPr>
              <w:t>TEIL NEUSEELAND — Am Ende der Welt neu anfangen</w:t>
              <w:tab/>
              <w:t>1289</w:t>
            </w:r>
          </w:hyperlink>
        </w:p>
        <w:p>
          <w:pPr>
            <w:pStyle w:val="TOC2"/>
            <w:tabs>
              <w:tab w:val="clear" w:pos="720"/>
              <w:tab w:val="right" w:pos="6479" w:leader="dot"/>
            </w:tabs>
            <w:rPr/>
          </w:pPr>
          <w:hyperlink w:anchor="__RefHeading___Toc56600_3457424410">
            <w:r>
              <w:rPr>
                <w:rStyle w:val="IndexLink"/>
              </w:rPr>
              <w:t>Neuseeland: Die ehrliche Bilanz</w:t>
              <w:tab/>
              <w:t>1290</w:t>
            </w:r>
          </w:hyperlink>
        </w:p>
        <w:p>
          <w:pPr>
            <w:pStyle w:val="TOC2"/>
            <w:tabs>
              <w:tab w:val="clear" w:pos="720"/>
              <w:tab w:val="right" w:pos="6479" w:leader="dot"/>
            </w:tabs>
            <w:rPr/>
          </w:pPr>
          <w:hyperlink w:anchor="__RefHeading___Toc56602_3457424410">
            <w:r>
              <w:rPr>
                <w:rStyle w:val="IndexLink"/>
              </w:rPr>
              <w:t>Neuseeland: Wege der Einwanderung</w:t>
              <w:tab/>
              <w:t>1305</w:t>
            </w:r>
          </w:hyperlink>
        </w:p>
        <w:p>
          <w:pPr>
            <w:pStyle w:val="TOC2"/>
            <w:tabs>
              <w:tab w:val="clear" w:pos="720"/>
              <w:tab w:val="right" w:pos="6479" w:leader="dot"/>
            </w:tabs>
            <w:rPr/>
          </w:pPr>
          <w:hyperlink w:anchor="__RefHeading___Toc56604_3457424410">
            <w:r>
              <w:rPr>
                <w:rStyle w:val="IndexLink"/>
              </w:rPr>
              <w:t>Neuseeland: Der Arbeitsweg im Detail</w:t>
              <w:tab/>
              <w:t>1320</w:t>
            </w:r>
          </w:hyperlink>
        </w:p>
        <w:p>
          <w:pPr>
            <w:pStyle w:val="TOC2"/>
            <w:tabs>
              <w:tab w:val="clear" w:pos="720"/>
              <w:tab w:val="right" w:pos="6479" w:leader="dot"/>
            </w:tabs>
            <w:rPr/>
          </w:pPr>
          <w:hyperlink w:anchor="__RefHeading___Toc56606_3457424410">
            <w:r>
              <w:rPr>
                <w:rStyle w:val="IndexLink"/>
              </w:rPr>
              <w:t>Neuseeland: Familie, Investoren und der Ruhestand</w:t>
              <w:tab/>
              <w:t>1336</w:t>
            </w:r>
          </w:hyperlink>
        </w:p>
        <w:p>
          <w:pPr>
            <w:pStyle w:val="TOC2"/>
            <w:tabs>
              <w:tab w:val="clear" w:pos="720"/>
              <w:tab w:val="right" w:pos="6479" w:leader="dot"/>
            </w:tabs>
            <w:rPr/>
          </w:pPr>
          <w:hyperlink w:anchor="__RefHeading___Toc56608_3457424410">
            <w:r>
              <w:rPr>
                <w:rStyle w:val="IndexLink"/>
              </w:rPr>
              <w:t>Neuseeland: Antrag, Konsulat und Kosten</w:t>
              <w:tab/>
              <w:t>1351</w:t>
            </w:r>
          </w:hyperlink>
        </w:p>
        <w:p>
          <w:pPr>
            <w:pStyle w:val="TOC2"/>
            <w:tabs>
              <w:tab w:val="clear" w:pos="720"/>
              <w:tab w:val="right" w:pos="6479" w:leader="dot"/>
            </w:tabs>
            <w:rPr/>
          </w:pPr>
          <w:hyperlink w:anchor="__RefHeading___Toc56610_3457424410">
            <w:r>
              <w:rPr>
                <w:rStyle w:val="IndexLink"/>
              </w:rPr>
              <w:t>Neuseeland: Ankunft, erste Tage und Wochen</w:t>
              <w:tab/>
              <w:t>1366</w:t>
            </w:r>
          </w:hyperlink>
        </w:p>
        <w:p>
          <w:pPr>
            <w:pStyle w:val="TOC2"/>
            <w:tabs>
              <w:tab w:val="clear" w:pos="720"/>
              <w:tab w:val="right" w:pos="6479" w:leader="dot"/>
            </w:tabs>
            <w:rPr/>
          </w:pPr>
          <w:hyperlink w:anchor="__RefHeading___Toc56612_3457424410">
            <w:r>
              <w:rPr>
                <w:rStyle w:val="IndexLink"/>
              </w:rPr>
              <w:t>Neuseeland: IRD-Nummer, Steuern, Bank und Kredit aufbauen</w:t>
              <w:tab/>
              <w:t>1379</w:t>
            </w:r>
          </w:hyperlink>
        </w:p>
        <w:p>
          <w:pPr>
            <w:pStyle w:val="TOC2"/>
            <w:tabs>
              <w:tab w:val="clear" w:pos="720"/>
              <w:tab w:val="right" w:pos="6479" w:leader="dot"/>
            </w:tabs>
            <w:rPr/>
          </w:pPr>
          <w:hyperlink w:anchor="__RefHeading___Toc56614_3457424410">
            <w:r>
              <w:rPr>
                <w:rStyle w:val="IndexLink"/>
              </w:rPr>
              <w:t>Neuseeland: Das Gesundheitssystem</w:t>
              <w:tab/>
              <w:t>1395</w:t>
            </w:r>
          </w:hyperlink>
        </w:p>
        <w:p>
          <w:pPr>
            <w:pStyle w:val="TOC2"/>
            <w:tabs>
              <w:tab w:val="clear" w:pos="720"/>
              <w:tab w:val="right" w:pos="6479" w:leader="dot"/>
            </w:tabs>
            <w:rPr/>
          </w:pPr>
          <w:hyperlink w:anchor="__RefHeading___Toc56616_3457424410">
            <w:r>
              <w:rPr>
                <w:rStyle w:val="IndexLink"/>
              </w:rPr>
              <w:t>Neuseeland: Wohnen und die besten Orte zum Leben</w:t>
              <w:tab/>
              <w:t>1409</w:t>
            </w:r>
          </w:hyperlink>
        </w:p>
        <w:p>
          <w:pPr>
            <w:pStyle w:val="TOC2"/>
            <w:tabs>
              <w:tab w:val="clear" w:pos="720"/>
              <w:tab w:val="right" w:pos="6479" w:leader="dot"/>
            </w:tabs>
            <w:rPr/>
          </w:pPr>
          <w:hyperlink w:anchor="__RefHeading___Toc56618_3457424410">
            <w:r>
              <w:rPr>
                <w:rStyle w:val="IndexLink"/>
              </w:rPr>
              <w:t>Neuseeland: Führerschein, Auto und Verkehrsregeln</w:t>
              <w:tab/>
              <w:t>1425</w:t>
            </w:r>
          </w:hyperlink>
        </w:p>
        <w:p>
          <w:pPr>
            <w:pStyle w:val="TOC2"/>
            <w:tabs>
              <w:tab w:val="clear" w:pos="720"/>
              <w:tab w:val="right" w:pos="6479" w:leader="dot"/>
            </w:tabs>
            <w:rPr/>
          </w:pPr>
          <w:hyperlink w:anchor="__RefHeading___Toc56620_3457424410">
            <w:r>
              <w:rPr>
                <w:rStyle w:val="IndexLink"/>
              </w:rPr>
              <w:t>Neuseeland: Alltagskultur und Umgangsformen</w:t>
              <w:tab/>
              <w:t>1440</w:t>
            </w:r>
          </w:hyperlink>
        </w:p>
        <w:p>
          <w:pPr>
            <w:pStyle w:val="TOC2"/>
            <w:tabs>
              <w:tab w:val="clear" w:pos="720"/>
              <w:tab w:val="right" w:pos="6479" w:leader="dot"/>
            </w:tabs>
            <w:rPr/>
          </w:pPr>
          <w:hyperlink w:anchor="__RefHeading___Toc56622_3457424410">
            <w:r>
              <w:rPr>
                <w:rStyle w:val="IndexLink"/>
              </w:rPr>
              <w:t>Neuseeland: Freunde finden und der Kulturschock der Distanz</w:t>
              <w:tab/>
              <w:t>1454</w:t>
            </w:r>
          </w:hyperlink>
        </w:p>
        <w:p>
          <w:pPr>
            <w:pStyle w:val="TOC2"/>
            <w:tabs>
              <w:tab w:val="clear" w:pos="720"/>
              <w:tab w:val="right" w:pos="6479" w:leader="dot"/>
            </w:tabs>
            <w:rPr/>
          </w:pPr>
          <w:hyperlink w:anchor="__RefHeading___Toc56624_3457424410">
            <w:r>
              <w:rPr>
                <w:rStyle w:val="IndexLink"/>
              </w:rPr>
              <w:t>Neuseeland: Kinder, Schule und Spracheingewöhnung</w:t>
              <w:tab/>
              <w:t>1469</w:t>
            </w:r>
          </w:hyperlink>
        </w:p>
        <w:p>
          <w:pPr>
            <w:pStyle w:val="TOC2"/>
            <w:tabs>
              <w:tab w:val="clear" w:pos="720"/>
              <w:tab w:val="right" w:pos="6479" w:leader="dot"/>
            </w:tabs>
            <w:rPr/>
          </w:pPr>
          <w:hyperlink w:anchor="__RefHeading___Toc56626_3457424410">
            <w:r>
              <w:rPr>
                <w:rStyle w:val="IndexLink"/>
              </w:rPr>
              <w:t>Neuseeland: Arbeitswelt und Jobwechsel</w:t>
              <w:tab/>
              <w:t>1485</w:t>
            </w:r>
          </w:hyperlink>
        </w:p>
        <w:p>
          <w:pPr>
            <w:pStyle w:val="TOC2"/>
            <w:tabs>
              <w:tab w:val="clear" w:pos="720"/>
              <w:tab w:val="right" w:pos="6479" w:leader="dot"/>
            </w:tabs>
            <w:rPr/>
          </w:pPr>
          <w:hyperlink w:anchor="__RefHeading___Toc56628_3457424410">
            <w:r>
              <w:rPr>
                <w:rStyle w:val="IndexLink"/>
              </w:rPr>
              <w:t>Neuseeland: Recht, Sicherheit und Polizeikontakt</w:t>
              <w:tab/>
              <w:t>1500</w:t>
            </w:r>
          </w:hyperlink>
        </w:p>
        <w:p>
          <w:pPr>
            <w:pStyle w:val="TOC2"/>
            <w:tabs>
              <w:tab w:val="clear" w:pos="720"/>
              <w:tab w:val="right" w:pos="6479" w:leader="dot"/>
            </w:tabs>
            <w:rPr/>
          </w:pPr>
          <w:hyperlink w:anchor="__RefHeading___Toc56630_3457424410">
            <w:r>
              <w:rPr>
                <w:rStyle w:val="IndexLink"/>
              </w:rPr>
              <w:t>Neuseeland: Staatsbürgerschaft und Steuerresidenz</w:t>
              <w:tab/>
              <w:t>1515</w:t>
            </w:r>
          </w:hyperlink>
        </w:p>
        <w:p>
          <w:pPr>
            <w:pStyle w:val="TOC2"/>
            <w:tabs>
              <w:tab w:val="clear" w:pos="720"/>
              <w:tab w:val="right" w:pos="6479" w:leader="dot"/>
            </w:tabs>
            <w:rPr/>
          </w:pPr>
          <w:hyperlink w:anchor="__RefHeading___Toc56632_3457424410">
            <w:r>
              <w:rPr>
                <w:rStyle w:val="IndexLink"/>
              </w:rPr>
              <w:t>Anhang A: Die Master-Checkliste</w:t>
              <w:tab/>
              <w:t>1529</w:t>
            </w:r>
          </w:hyperlink>
        </w:p>
        <w:p>
          <w:pPr>
            <w:pStyle w:val="TOC2"/>
            <w:tabs>
              <w:tab w:val="clear" w:pos="720"/>
              <w:tab w:val="right" w:pos="6479" w:leader="dot"/>
            </w:tabs>
            <w:rPr/>
          </w:pPr>
          <w:hyperlink w:anchor="__RefHeading___Toc56634_3457424410">
            <w:r>
              <w:rPr>
                <w:rStyle w:val="IndexLink"/>
              </w:rPr>
              <w:t>Anhang B: Glossar Deutsch–Englisch</w:t>
              <w:tab/>
              <w:t>1556</w:t>
            </w:r>
          </w:hyperlink>
        </w:p>
        <w:p>
          <w:pPr>
            <w:pStyle w:val="TOC2"/>
            <w:tabs>
              <w:tab w:val="clear" w:pos="720"/>
              <w:tab w:val="right" w:pos="6479" w:leader="dot"/>
            </w:tabs>
            <w:rPr/>
          </w:pPr>
          <w:hyperlink w:anchor="__RefHeading___Toc56636_3457424410">
            <w:r>
              <w:rPr>
                <w:rStyle w:val="IndexLink"/>
              </w:rPr>
              <w:t>Anhang C: Umrechnungstabellen</w:t>
              <w:tab/>
              <w:t>1593</w:t>
            </w:r>
          </w:hyperlink>
        </w:p>
        <w:p>
          <w:pPr>
            <w:pStyle w:val="TOC2"/>
            <w:tabs>
              <w:tab w:val="clear" w:pos="720"/>
              <w:tab w:val="right" w:pos="6479" w:leader="dot"/>
            </w:tabs>
            <w:rPr/>
          </w:pPr>
          <w:hyperlink w:anchor="__RefHeading___Toc56638_3457424410">
            <w:r>
              <w:rPr>
                <w:rStyle w:val="IndexLink"/>
              </w:rPr>
              <w:t>Anhang D: Formulare und Abkürzungen</w:t>
              <w:tab/>
              <w:t>1605</w:t>
            </w:r>
          </w:hyperlink>
        </w:p>
        <w:p>
          <w:pPr>
            <w:pStyle w:val="TOC2"/>
            <w:tabs>
              <w:tab w:val="clear" w:pos="720"/>
              <w:tab w:val="right" w:pos="6479" w:leader="dot"/>
            </w:tabs>
            <w:rPr/>
          </w:pPr>
          <w:hyperlink w:anchor="__RefHeading___Toc56640_3457424410">
            <w:r>
              <w:rPr>
                <w:rStyle w:val="IndexLink"/>
              </w:rPr>
              <w:t>Anhang E: Budgetbeispiele</w:t>
              <w:tab/>
              <w:t>1620</w:t>
            </w:r>
          </w:hyperlink>
        </w:p>
        <w:p>
          <w:pPr>
            <w:pStyle w:val="TOC2"/>
            <w:tabs>
              <w:tab w:val="clear" w:pos="720"/>
              <w:tab w:val="right" w:pos="6479" w:leader="dot"/>
            </w:tabs>
            <w:rPr/>
          </w:pPr>
          <w:hyperlink w:anchor="__RefHeading___Toc56642_3457424410">
            <w:r>
              <w:rPr>
                <w:rStyle w:val="IndexLink"/>
              </w:rPr>
              <w:t>Anhang F: Offizielle Quellen und Adressen</w:t>
              <w:tab/>
              <w:t>1631</w:t>
            </w:r>
          </w:hyperlink>
        </w:p>
        <w:p>
          <w:pPr>
            <w:pStyle w:val="TOC2"/>
            <w:tabs>
              <w:tab w:val="clear" w:pos="720"/>
              <w:tab w:val="right" w:pos="6479" w:leader="dot"/>
            </w:tabs>
            <w:rPr/>
          </w:pPr>
          <w:hyperlink w:anchor="__RefHeading___Toc56644_3457424410">
            <w:r>
              <w:rPr>
                <w:rStyle w:val="IndexLink"/>
              </w:rPr>
              <w:t>USA</w:t>
              <w:tab/>
              <w:t>1632</w:t>
            </w:r>
          </w:hyperlink>
        </w:p>
        <w:p>
          <w:pPr>
            <w:pStyle w:val="TOC2"/>
            <w:tabs>
              <w:tab w:val="clear" w:pos="720"/>
              <w:tab w:val="right" w:pos="6479" w:leader="dot"/>
            </w:tabs>
            <w:rPr/>
          </w:pPr>
          <w:hyperlink w:anchor="__RefHeading___Toc56646_3457424410">
            <w:r>
              <w:rPr>
                <w:rStyle w:val="IndexLink"/>
              </w:rPr>
              <w:t>Kanada</w:t>
              <w:tab/>
              <w:t>1651</w:t>
            </w:r>
          </w:hyperlink>
        </w:p>
        <w:p>
          <w:pPr>
            <w:pStyle w:val="TOC2"/>
            <w:tabs>
              <w:tab w:val="clear" w:pos="720"/>
              <w:tab w:val="right" w:pos="6479" w:leader="dot"/>
            </w:tabs>
            <w:rPr/>
          </w:pPr>
          <w:hyperlink w:anchor="__RefHeading___Toc56648_3457424410">
            <w:r>
              <w:rPr>
                <w:rStyle w:val="IndexLink"/>
              </w:rPr>
              <w:t>Australien</w:t>
              <w:tab/>
              <w:t>1660</w:t>
            </w:r>
          </w:hyperlink>
        </w:p>
        <w:p>
          <w:pPr>
            <w:pStyle w:val="TOC2"/>
            <w:tabs>
              <w:tab w:val="clear" w:pos="720"/>
              <w:tab w:val="right" w:pos="6479" w:leader="dot"/>
            </w:tabs>
            <w:rPr/>
          </w:pPr>
          <w:hyperlink w:anchor="__RefHeading___Toc56650_3457424410">
            <w:r>
              <w:rPr>
                <w:rStyle w:val="IndexLink"/>
              </w:rPr>
              <w:t>Neuseeland</w:t>
              <w:tab/>
              <w:t>1667</w:t>
            </w:r>
          </w:hyperlink>
        </w:p>
        <w:p>
          <w:pPr>
            <w:pStyle w:val="TOC2"/>
            <w:tabs>
              <w:tab w:val="clear" w:pos="720"/>
              <w:tab w:val="right" w:pos="6479" w:leader="dot"/>
            </w:tabs>
            <w:rPr/>
          </w:pPr>
          <w:hyperlink w:anchor="__RefHeading___Toc56652_3457424410">
            <w:r>
              <w:rPr>
                <w:rStyle w:val="IndexLink"/>
              </w:rPr>
              <w:t>Anhang G: Schnellfinder — Problem → Kapitel</w:t>
              <w:tab/>
              <w:t>1675</w:t>
            </w:r>
          </w:hyperlink>
        </w:p>
        <w:p>
          <w:pPr>
            <w:pStyle w:val="TOC2"/>
            <w:tabs>
              <w:tab w:val="clear" w:pos="720"/>
              <w:tab w:val="right" w:pos="6479" w:leader="dot"/>
            </w:tabs>
            <w:rPr/>
          </w:pPr>
          <w:hyperlink w:anchor="__RefHeading___Toc56654_3457424410">
            <w:r>
              <w:rPr>
                <w:rStyle w:val="IndexLink"/>
              </w:rPr>
              <w:t>USA</w:t>
              <w:tab/>
              <w:t>1676</w:t>
            </w:r>
          </w:hyperlink>
        </w:p>
        <w:p>
          <w:pPr>
            <w:pStyle w:val="TOC2"/>
            <w:tabs>
              <w:tab w:val="clear" w:pos="720"/>
              <w:tab w:val="right" w:pos="6479" w:leader="dot"/>
            </w:tabs>
            <w:rPr/>
          </w:pPr>
          <w:hyperlink w:anchor="__RefHeading___Toc56656_3457424410">
            <w:r>
              <w:rPr>
                <w:rStyle w:val="IndexLink"/>
              </w:rPr>
              <w:t>Kanada</w:t>
              <w:tab/>
              <w:t>1682</w:t>
            </w:r>
          </w:hyperlink>
        </w:p>
        <w:p>
          <w:pPr>
            <w:pStyle w:val="TOC2"/>
            <w:tabs>
              <w:tab w:val="clear" w:pos="720"/>
              <w:tab w:val="right" w:pos="6479" w:leader="dot"/>
            </w:tabs>
            <w:rPr/>
          </w:pPr>
          <w:hyperlink w:anchor="__RefHeading___Toc56658_3457424410">
            <w:r>
              <w:rPr>
                <w:rStyle w:val="IndexLink"/>
              </w:rPr>
              <w:t>Australien</w:t>
              <w:tab/>
              <w:t>1686</w:t>
            </w:r>
          </w:hyperlink>
        </w:p>
        <w:p>
          <w:pPr>
            <w:pStyle w:val="TOC2"/>
            <w:tabs>
              <w:tab w:val="clear" w:pos="720"/>
              <w:tab w:val="right" w:pos="6479" w:leader="dot"/>
            </w:tabs>
            <w:rPr/>
          </w:pPr>
          <w:hyperlink w:anchor="__RefHeading___Toc56660_3457424410">
            <w:r>
              <w:rPr>
                <w:rStyle w:val="IndexLink"/>
              </w:rPr>
              <w:t>Neuseeland</w:t>
              <w:tab/>
              <w:t>1690</w:t>
            </w:r>
          </w:hyperlink>
        </w:p>
        <w:p>
          <w:pPr>
            <w:pStyle w:val="TOC2"/>
            <w:tabs>
              <w:tab w:val="clear" w:pos="720"/>
              <w:tab w:val="right" w:pos="6479" w:leader="dot"/>
            </w:tabs>
            <w:rPr/>
          </w:pPr>
          <w:hyperlink w:anchor="__RefHeading___Toc56662_3457424410">
            <w:r>
              <w:rPr>
                <w:rStyle w:val="IndexLink"/>
              </w:rPr>
              <w:t>Über den Autor</w:t>
              <w:tab/>
              <w:t>1694</w:t>
            </w:r>
          </w:hyperlink>
        </w:p>
        <w:p>
          <w:pPr>
            <w:pStyle w:val="TOC2"/>
            <w:tabs>
              <w:tab w:val="clear" w:pos="720"/>
              <w:tab w:val="right" w:pos="6479" w:leader="dot"/>
            </w:tabs>
            <w:rPr/>
          </w:pPr>
          <w:hyperlink w:anchor="__RefHeading___Toc56664_3457424410">
            <w:r>
              <w:rPr>
                <w:rStyle w:val="IndexLink"/>
              </w:rPr>
              <w:t>Eine kleine Bitte</w:t>
              <w:tab/>
              <w:t>1695</w:t>
            </w:r>
          </w:hyperlink>
        </w:p>
        <w:p>
          <w:pPr>
            <w:pStyle w:val="TOC2"/>
            <w:tabs>
              <w:tab w:val="clear" w:pos="720"/>
              <w:tab w:val="right" w:pos="6479" w:leader="dot"/>
            </w:tabs>
            <w:rPr/>
          </w:pPr>
          <w:hyperlink w:anchor="__RefHeading___Toc56666_3457424410">
            <w:r>
              <w:rPr>
                <w:rStyle w:val="IndexLink"/>
              </w:rPr>
              <w:t>Weitere Bücher des Autors</w:t>
              <w:tab/>
              <w:t>1696</w:t>
            </w:r>
          </w:hyperlink>
          <w:r>
            <w:rPr>
              <w:rStyle w:val="IndexLink"/>
            </w:rPr>
            <w:fldChar w:fldCharType="end"/>
          </w:r>
        </w:p>
      </w:sdtContent>
    </w:sdt>
    <w:p>
      <w:pPr>
        <w:pStyle w:val="Normal"/>
        <w:rPr/>
      </w:pPr>
      <w:r>
        <w:rPr/>
      </w:r>
      <w:r>
        <w:br w:type="page"/>
      </w:r>
    </w:p>
    <w:p>
      <w:pPr>
        <w:pStyle w:val="Heading2"/>
        <w:keepNext w:val="true"/>
        <w:spacing w:lineRule="exact" w:line="340" w:before="0" w:after="300"/>
        <w:jc w:val="center"/>
        <w:rPr/>
      </w:pPr>
      <w:bookmarkStart w:id="0" w:name="__RefHeading___Toc56416_3457424410"/>
      <w:bookmarkStart w:id="1" w:name="s1"/>
      <w:bookmarkEnd w:id="0"/>
      <w:r>
        <w:rPr>
          <w:rFonts w:eastAsia="Amazon Ember" w:cs="Amazon Ember" w:ascii="Amazon Ember" w:hAnsi="Amazon Ember"/>
          <w:b/>
          <w:bCs/>
          <w:color w:val="0000FF"/>
          <w:sz w:val="36"/>
          <w:szCs w:val="36"/>
        </w:rPr>
        <w:t>Vorwort</w:t>
      </w:r>
      <w:bookmarkEnd w:id="1"/>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Entscheidungen, die man mit einer Tabelle treffen kann, und Entscheidungen, bei denen die Tabelle nur ein Anfang ist. Der Umzug von Deutschland in die USA, nach Kanada, Australien oder Neuseeland gehört zur zweiten Sorte. Er betrifft Beruf, Geld, Gesundheit, Kinder, Freundschaften und die Frage, wo man sich zu Hause fühlt. Und er besteht aus Hunderten kleiner Aufgaben, von denen jede, wenn man sie übersieht, etwas kostet: Zeit, Geld oder Nerven.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Ich habe über vierzig Jahre in der Halbleiterindustrie gearbeitet, zuerst in Deutschland, dann bei amerikanischen Start-ups. Heute lebe ich zwischen Kalifornien und Bayern. Ich kenne die USA und Deutschland aus dem Alltag, mit ihren Stärken und ihren Zumutungen, und ich habe über die Jahre viele Kolleginnen und Kollegen begleitet, die vor derselben Entscheidung standen wie du – manche zog es in die USA, andere nach Kanada, Australien oder Neuseeland. Die Fragen, die sich dabei stellen, ähneln sich mehr, als man denkt: Was kostet mich das wirklich? Wie schnell komme ich zu einem sicheren Aufenthaltstitel? Was passiert mit meiner Rente, meiner Krankenversicherung, meinen Kindern? Deshalb ist aus dem ursprünglichen USA-Ratgeber diese vierteilige Auswanderer-Bibel geworden, mit derselben Sorgfalt recherchiert wie zuvor der USA-Teil. Die einen kommen mit rosaroten Erwartungen und werden von der Krankenversicherung, dem Visum oder der Einsamkeit im ersten Winter überrollt. Die anderen lassen sich von Horrorgeschichten abschrecken und verpassen eine Chance, die für sie genau richtig gewesen wäre.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Dieses Buch will beides vermeiden. Es ist als </w:t>
      </w:r>
      <w:r>
        <w:rPr>
          <w:rFonts w:eastAsia="Cambria" w:cs="Cambria"/>
          <w:b/>
          <w:bCs/>
          <w:i w:val="false"/>
          <w:iCs w:val="false"/>
          <w:sz w:val="22"/>
          <w:szCs w:val="22"/>
        </w:rPr>
        <w:t>Bibel der Plus- und Minuspunkte</w:t>
      </w:r>
      <w:r>
        <w:rPr>
          <w:rFonts w:eastAsia="Cambria" w:cs="Cambria"/>
          <w:b w:val="false"/>
          <w:bCs w:val="false"/>
          <w:i w:val="false"/>
          <w:iCs w:val="false"/>
          <w:sz w:val="22"/>
          <w:szCs w:val="22"/>
        </w:rPr>
        <w:t xml:space="preserve"> gedacht: Zu jedem Thema findest du die Vorteile und die Nachteile, die Fallen, die Kosten, die Sparmöglichkeiten und die nächsten Schritte. Es beginnt mit der Frage, ob du für einen Auslandsumzug überhaupt bereit bist, und einem Vergleich, welches der vier Länder am besten zu deiner Situation passt. Danach folgt ein gemeinsamer Teil zu allem, was mit dem Verlassen Deutschlands zu tun hat – Behörden, Steuern, Umzug, Dokumente –, unabhängig vom Ziel. Für die USA, Kanada, Australien und Neuseeland gibt es danach je einen eigenen, gleich aufgebauten Teil: Visum und Aufenthaltstitel, Ankunft, Steuern und Gesundheitssystem, Wohnen, Führerschein und Verkehr, Alltagskultur, Freundschaften, Kinder und Schule, Arbeitswelt, Recht und Sicherheit, bis hin zum Weg zur Staatsbürgerschaft. Wer zurückkehrt, findet den Plan B wieder im gemeinsamen Teil, denn die deutsche Seite der Rückkehr ist überall 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solltest du von Anfang an wissen.</w:t>
      </w:r>
    </w:p>
    <w:p>
      <w:pPr>
        <w:pStyle w:val="Normal"/>
        <w:keepNext w:val="false"/>
        <w:keepLines w:val="false"/>
        <w:spacing w:lineRule="exact" w:line="288" w:before="0" w:after="140"/>
        <w:jc w:val="left"/>
        <w:rPr/>
      </w:pPr>
      <w:r>
        <w:rPr>
          <w:rFonts w:eastAsia="Cambria" w:cs="Cambria"/>
          <w:b/>
          <w:bCs/>
          <w:i w:val="false"/>
          <w:iCs w:val="false"/>
          <w:sz w:val="22"/>
          <w:szCs w:val="22"/>
        </w:rPr>
        <w:t>Erstens: Die Regeln ändern sich.</w:t>
      </w:r>
      <w:r>
        <w:rPr>
          <w:rFonts w:eastAsia="Cambria" w:cs="Cambria"/>
          <w:b w:val="false"/>
          <w:bCs w:val="false"/>
          <w:i w:val="false"/>
          <w:iCs w:val="false"/>
          <w:sz w:val="22"/>
          <w:szCs w:val="22"/>
        </w:rPr>
        <w:t xml:space="preserve"> Einwanderungsrecht wird in allen vier Ländern immer wieder umgebaut: bei Gebühren, Auswahlverfahren, Prüfungen und Bearbeitungszeiten. Jedes Kapitel nennt deshalb den Stand, auf dem seine Zahlen beruhen, und die offiziellen Quellen, bei denen du nachprüfen kannst, was inzwischen gilt. Dieses Buch nimmt dir das Prüfen nicht ab, aber es sagt dir, </w:t>
      </w:r>
      <w:r>
        <w:rPr>
          <w:rFonts w:eastAsia="Cambria" w:cs="Cambria"/>
          <w:b w:val="false"/>
          <w:bCs w:val="false"/>
          <w:i/>
          <w:iCs/>
          <w:sz w:val="22"/>
          <w:szCs w:val="22"/>
        </w:rPr>
        <w:t>was</w:t>
      </w:r>
      <w:r>
        <w:rPr>
          <w:rFonts w:eastAsia="Cambria" w:cs="Cambria"/>
          <w:b w:val="false"/>
          <w:bCs w:val="false"/>
          <w:i w:val="false"/>
          <w:iCs w:val="false"/>
          <w:sz w:val="22"/>
          <w:szCs w:val="22"/>
        </w:rPr>
        <w:t xml:space="preserve"> du prüfen musst und </w:t>
      </w:r>
      <w:r>
        <w:rPr>
          <w:rFonts w:eastAsia="Cambria" w:cs="Cambria"/>
          <w:b w:val="false"/>
          <w:bCs w:val="false"/>
          <w:i/>
          <w:iCs/>
          <w:sz w:val="22"/>
          <w:szCs w:val="22"/>
        </w:rPr>
        <w:t>wo</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Zweitens: Jedes dieser Länder ist mehrere Länder in einem.</w:t>
      </w:r>
      <w:r>
        <w:rPr>
          <w:rFonts w:eastAsia="Cambria" w:cs="Cambria"/>
          <w:b w:val="false"/>
          <w:bCs w:val="false"/>
          <w:i w:val="false"/>
          <w:iCs w:val="false"/>
          <w:sz w:val="22"/>
          <w:szCs w:val="22"/>
        </w:rPr>
        <w:t xml:space="preserve"> Die USA bestehen aus fünfzig Bundesstaaten, Kanada aus zehn Provinzen und drei Territorien, Australien aus sechs Bundesstaaten und Territorien; selbst das kleinere, zentraler regierte Neuseeland kennt regionale Unterschiede. Führerschein, Schule, Steuern, Mietrecht und vieles mehr regelt vielerorts die jeweilige Region selbst. Wo das der Fall ist, erkläre ich das Prinzip und zeige es an einigen Beispielen. Für deinen Ort gilt am Ende die Regel deines Bundesstaates, deiner Provinz oder deines Territoriums.</w:t>
      </w:r>
    </w:p>
    <w:p>
      <w:pPr>
        <w:pStyle w:val="Normal"/>
        <w:keepNext w:val="false"/>
        <w:keepLines w:val="false"/>
        <w:spacing w:lineRule="exact" w:line="288" w:before="0" w:after="140"/>
        <w:jc w:val="left"/>
        <w:rPr/>
      </w:pPr>
      <w:r>
        <w:rPr>
          <w:rFonts w:eastAsia="Cambria" w:cs="Cambria"/>
          <w:b/>
          <w:bCs/>
          <w:i w:val="false"/>
          <w:iCs w:val="false"/>
          <w:sz w:val="22"/>
          <w:szCs w:val="22"/>
        </w:rPr>
        <w:t>Drittens: Die vier Länder sind nicht austauschbar.</w:t>
      </w:r>
      <w:r>
        <w:rPr>
          <w:rFonts w:eastAsia="Cambria" w:cs="Cambria"/>
          <w:b w:val="false"/>
          <w:bCs w:val="false"/>
          <w:i w:val="false"/>
          <w:iCs w:val="false"/>
          <w:sz w:val="22"/>
          <w:szCs w:val="22"/>
        </w:rPr>
        <w:t xml:space="preserve"> Ein schneller, planbarer Weg zum unbefristeten Aufenthaltstitel, ein staatliches Gesundheitssystem, die Nähe zu Deutschland oder das höchste Gehaltsniveau – das alles bekommst du nicht in einem Land gleichzeitig. Das Kapitel „Welches Land passt zu dir?“ hilft dir, deine eigenen Prioritäten zu ordnen, bevor du dich in die Tiefe eines einzelnen Länder-Teils stürzt.</w:t>
      </w:r>
    </w:p>
    <w:p>
      <w:pPr>
        <w:pStyle w:val="Normal"/>
        <w:keepNext w:val="false"/>
        <w:keepLines w:val="false"/>
        <w:spacing w:lineRule="exact" w:line="288" w:before="0" w:after="140"/>
        <w:jc w:val="left"/>
        <w:rPr/>
      </w:pPr>
      <w:r>
        <w:rPr>
          <w:rFonts w:eastAsia="Cambria" w:cs="Cambria"/>
          <w:b/>
          <w:bCs/>
          <w:i w:val="false"/>
          <w:iCs w:val="false"/>
          <w:sz w:val="22"/>
          <w:szCs w:val="22"/>
        </w:rPr>
        <w:t>Viertens: Dieses Buch ist keine Beratung.</w:t>
      </w:r>
      <w:r>
        <w:rPr>
          <w:rFonts w:eastAsia="Cambria" w:cs="Cambria"/>
          <w:b w:val="false"/>
          <w:bCs w:val="false"/>
          <w:i w:val="false"/>
          <w:iCs w:val="false"/>
          <w:sz w:val="22"/>
          <w:szCs w:val="22"/>
        </w:rPr>
        <w:t xml:space="preserve"> Bei Visum, Steuern, Immobilien und Vorsorge gilt: Lass dich von Fachleuten beraten, die deine Situation kennen. Was du hier lernst, hilft dir, die richtigen Fragen zu stellen und Angebote einzuordnen. Das spart Geld und schützt vor teuren Fehlern.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dieses Buch dazu beiträgt, dass du eine gute Entscheidung triffst, sei es für den Umzug oder bewusst dagegen, hat es seinen Zweck erfüllt. Ich wünsche dir einen klaren Kopf, gute Nerven und einen guten Start, wo auch immer du ihn machst.</w:t>
      </w:r>
    </w:p>
    <w:p>
      <w:pPr>
        <w:pStyle w:val="Normal"/>
        <w:keepNext w:val="false"/>
        <w:keepLines w:val="false"/>
        <w:spacing w:lineRule="exact" w:line="288" w:before="0" w:after="140"/>
        <w:jc w:val="left"/>
        <w:rPr/>
      </w:pPr>
      <w:r>
        <w:rPr>
          <w:rFonts w:eastAsia="Cambria" w:cs="Cambria"/>
          <w:b w:val="false"/>
          <w:bCs w:val="false"/>
          <w:i/>
          <w:iCs/>
          <w:sz w:val="22"/>
          <w:szCs w:val="22"/>
        </w:rPr>
        <w:t>Lothar J. Musiol</w:t>
      </w:r>
      <w:r>
        <w:br w:type="page"/>
      </w:r>
    </w:p>
    <w:p>
      <w:pPr>
        <w:pStyle w:val="Heading2"/>
        <w:keepNext w:val="true"/>
        <w:spacing w:lineRule="exact" w:line="340" w:before="0" w:after="300"/>
        <w:jc w:val="center"/>
        <w:rPr/>
      </w:pPr>
      <w:bookmarkStart w:id="2" w:name="__RefHeading___Toc56418_3457424410"/>
      <w:bookmarkStart w:id="3" w:name="s2"/>
      <w:bookmarkEnd w:id="2"/>
      <w:r>
        <w:rPr>
          <w:rFonts w:eastAsia="Amazon Ember" w:cs="Amazon Ember" w:ascii="Amazon Ember" w:hAnsi="Amazon Ember"/>
          <w:b/>
          <w:bCs/>
          <w:color w:val="0000FF"/>
          <w:sz w:val="36"/>
          <w:szCs w:val="36"/>
        </w:rPr>
        <w:t>So nutzt du dieses Buch</w:t>
      </w:r>
      <w:bookmarkEnd w:id="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musst dieses Buch nicht von vorn bis hinten lesen. Es ist ein Nachschlagewerk mit rotem Faden: Die zehn Teile folgen dem zeitlichen Ablauf eines Umzugs, jedes Kapitel funktioniert aber auch allein.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w:t>
      </w:r>
    </w:p>
    <w:p>
      <w:pPr>
        <w:pStyle w:val="Normal"/>
        <w:keepNext w:val="false"/>
        <w:keepLines w:val="false"/>
        <w:spacing w:lineRule="exact" w:line="288" w:before="0" w:after="140"/>
        <w:jc w:val="left"/>
        <w:rPr/>
      </w:pPr>
      <w:r>
        <w:rPr>
          <w:rFonts w:eastAsia="Cambria" w:cs="Cambria"/>
          <w:b/>
          <w:bCs/>
          <w:i w:val="false"/>
          <w:iCs w:val="false"/>
          <w:sz w:val="22"/>
          <w:szCs w:val="22"/>
        </w:rPr>
        <w:t>Teil I</w:t>
      </w:r>
      <w:r>
        <w:rPr>
          <w:rFonts w:eastAsia="Cambria" w:cs="Cambria"/>
          <w:b w:val="false"/>
          <w:bCs w:val="false"/>
          <w:i w:val="false"/>
          <w:iCs w:val="false"/>
          <w:sz w:val="22"/>
          <w:szCs w:val="22"/>
        </w:rPr>
        <w:t xml:space="preserve"> hilft dir zu entscheiden, ob und unter welchen Bedingungen der Umzug sinnvoll ist. </w:t>
      </w:r>
      <w:r>
        <w:rPr>
          <w:rFonts w:eastAsia="Cambria" w:cs="Cambria"/>
          <w:b/>
          <w:bCs/>
          <w:i w:val="false"/>
          <w:iCs w:val="false"/>
          <w:sz w:val="22"/>
          <w:szCs w:val="22"/>
        </w:rPr>
        <w:t>Teil II</w:t>
      </w:r>
      <w:r>
        <w:rPr>
          <w:rFonts w:eastAsia="Cambria" w:cs="Cambria"/>
          <w:b w:val="false"/>
          <w:bCs w:val="false"/>
          <w:i w:val="false"/>
          <w:iCs w:val="false"/>
          <w:sz w:val="22"/>
          <w:szCs w:val="22"/>
        </w:rPr>
        <w:t xml:space="preserve"> erklärt die Wege in die USA, vor allem H-1B, Green Card und den Studienweg. </w:t>
      </w:r>
      <w:r>
        <w:rPr>
          <w:rFonts w:eastAsia="Cambria" w:cs="Cambria"/>
          <w:b/>
          <w:bCs/>
          <w:i w:val="false"/>
          <w:iCs w:val="false"/>
          <w:sz w:val="22"/>
          <w:szCs w:val="22"/>
        </w:rPr>
        <w:t>Teil III</w:t>
      </w:r>
      <w:r>
        <w:rPr>
          <w:rFonts w:eastAsia="Cambria" w:cs="Cambria"/>
          <w:b w:val="false"/>
          <w:bCs w:val="false"/>
          <w:i w:val="false"/>
          <w:iCs w:val="false"/>
          <w:sz w:val="22"/>
          <w:szCs w:val="22"/>
        </w:rPr>
        <w:t xml:space="preserve"> behandelt Wohnort, Miete und Kauf. </w:t>
      </w:r>
      <w:r>
        <w:rPr>
          <w:rFonts w:eastAsia="Cambria" w:cs="Cambria"/>
          <w:b/>
          <w:bCs/>
          <w:i w:val="false"/>
          <w:iCs w:val="false"/>
          <w:sz w:val="22"/>
          <w:szCs w:val="22"/>
        </w:rPr>
        <w:t>Teil IV</w:t>
      </w:r>
      <w:r>
        <w:rPr>
          <w:rFonts w:eastAsia="Cambria" w:cs="Cambria"/>
          <w:b w:val="false"/>
          <w:bCs w:val="false"/>
          <w:i w:val="false"/>
          <w:iCs w:val="false"/>
          <w:sz w:val="22"/>
          <w:szCs w:val="22"/>
        </w:rPr>
        <w:t xml:space="preserve"> ist deine Aufgabenliste für Deutschland. </w:t>
      </w:r>
      <w:r>
        <w:rPr>
          <w:rFonts w:eastAsia="Cambria" w:cs="Cambria"/>
          <w:b/>
          <w:bCs/>
          <w:i w:val="false"/>
          <w:iCs w:val="false"/>
          <w:sz w:val="22"/>
          <w:szCs w:val="22"/>
        </w:rPr>
        <w:t>Teil V</w:t>
      </w:r>
      <w:r>
        <w:rPr>
          <w:rFonts w:eastAsia="Cambria" w:cs="Cambria"/>
          <w:b w:val="false"/>
          <w:bCs w:val="false"/>
          <w:i w:val="false"/>
          <w:iCs w:val="false"/>
          <w:sz w:val="22"/>
          <w:szCs w:val="22"/>
        </w:rPr>
        <w:t xml:space="preserve"> klärt, was in den Container gehört und was du drüben günstiger kaufst. </w:t>
      </w:r>
      <w:r>
        <w:rPr>
          <w:rFonts w:eastAsia="Cambria" w:cs="Cambria"/>
          <w:b/>
          <w:bCs/>
          <w:i w:val="false"/>
          <w:iCs w:val="false"/>
          <w:sz w:val="22"/>
          <w:szCs w:val="22"/>
        </w:rPr>
        <w:t>Teil VI</w:t>
      </w:r>
      <w:r>
        <w:rPr>
          <w:rFonts w:eastAsia="Cambria" w:cs="Cambria"/>
          <w:b w:val="false"/>
          <w:bCs w:val="false"/>
          <w:i w:val="false"/>
          <w:iCs w:val="false"/>
          <w:sz w:val="22"/>
          <w:szCs w:val="22"/>
        </w:rPr>
        <w:t xml:space="preserve"> begleitet dich durch die ersten Wochen. </w:t>
      </w:r>
      <w:r>
        <w:rPr>
          <w:rFonts w:eastAsia="Cambria" w:cs="Cambria"/>
          <w:b/>
          <w:bCs/>
          <w:i w:val="false"/>
          <w:iCs w:val="false"/>
          <w:sz w:val="22"/>
          <w:szCs w:val="22"/>
        </w:rPr>
        <w:t>Teil VII</w:t>
      </w:r>
      <w:r>
        <w:rPr>
          <w:rFonts w:eastAsia="Cambria" w:cs="Cambria"/>
          <w:b w:val="false"/>
          <w:bCs w:val="false"/>
          <w:i w:val="false"/>
          <w:iCs w:val="false"/>
          <w:sz w:val="22"/>
          <w:szCs w:val="22"/>
        </w:rPr>
        <w:t xml:space="preserve"> erklärt die Arbeitswelt und den Jobwechsel. </w:t>
      </w:r>
      <w:r>
        <w:rPr>
          <w:rFonts w:eastAsia="Cambria" w:cs="Cambria"/>
          <w:b/>
          <w:bCs/>
          <w:i w:val="false"/>
          <w:iCs w:val="false"/>
          <w:sz w:val="22"/>
          <w:szCs w:val="22"/>
        </w:rPr>
        <w:t>Teil VIII</w:t>
      </w:r>
      <w:r>
        <w:rPr>
          <w:rFonts w:eastAsia="Cambria" w:cs="Cambria"/>
          <w:b w:val="false"/>
          <w:bCs w:val="false"/>
          <w:i w:val="false"/>
          <w:iCs w:val="false"/>
          <w:sz w:val="22"/>
          <w:szCs w:val="22"/>
        </w:rPr>
        <w:t xml:space="preserve"> widmet sich Kultur, Freunden, Heimweh, Kleidung und Essen. </w:t>
      </w:r>
      <w:r>
        <w:rPr>
          <w:rFonts w:eastAsia="Cambria" w:cs="Cambria"/>
          <w:b/>
          <w:bCs/>
          <w:i w:val="false"/>
          <w:iCs w:val="false"/>
          <w:sz w:val="22"/>
          <w:szCs w:val="22"/>
        </w:rPr>
        <w:t>Teil IX</w:t>
      </w:r>
      <w:r>
        <w:rPr>
          <w:rFonts w:eastAsia="Cambria" w:cs="Cambria"/>
          <w:b w:val="false"/>
          <w:bCs w:val="false"/>
          <w:i w:val="false"/>
          <w:iCs w:val="false"/>
          <w:sz w:val="22"/>
          <w:szCs w:val="22"/>
        </w:rPr>
        <w:t xml:space="preserve"> gehört den Kindern und der Schule. </w:t>
      </w:r>
      <w:r>
        <w:rPr>
          <w:rFonts w:eastAsia="Cambria" w:cs="Cambria"/>
          <w:b/>
          <w:bCs/>
          <w:i w:val="false"/>
          <w:iCs w:val="false"/>
          <w:sz w:val="22"/>
          <w:szCs w:val="22"/>
        </w:rPr>
        <w:t>Teil X</w:t>
      </w:r>
      <w:r>
        <w:rPr>
          <w:rFonts w:eastAsia="Cambria" w:cs="Cambria"/>
          <w:b w:val="false"/>
          <w:bCs w:val="false"/>
          <w:i w:val="false"/>
          <w:iCs w:val="false"/>
          <w:sz w:val="22"/>
          <w:szCs w:val="22"/>
        </w:rPr>
        <w:t xml:space="preserve"> blickt auf Vorsorge, Recht, Staatsbürgerschaft und den Rückweg. Im Anhang findest du die Master-Checkliste, ein Glossar, Umrechnungstabellen, Formulare, Budgetbeispiele, Adressen und einen Schnellfinder.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wiederkehrenden Elemente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Jedes Kapitel beginnt mit einer Kurzfassung und endet mit einer Checkliste und einem Stand-Hinweis. Dazwischen begegnen dir feste Bausteine:</w:t>
      </w:r>
    </w:p>
    <w:tbl>
      <w:tblPr>
        <w:tblW w:w="6480" w:type="dxa"/>
        <w:jc w:val="left"/>
        <w:tblInd w:w="0" w:type="dxa"/>
        <w:tblLayout w:type="fixed"/>
        <w:tblCellMar>
          <w:top w:w="50" w:type="dxa"/>
          <w:left w:w="80" w:type="dxa"/>
          <w:bottom w:w="50" w:type="dxa"/>
          <w:right w:w="80" w:type="dxa"/>
        </w:tblCellMar>
      </w:tblPr>
      <w:tblGrid>
        <w:gridCol w:w="2569"/>
        <w:gridCol w:w="3910"/>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39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Kurz gesagt</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Wichtigste in 60 Sekunden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Plus und Minus</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Vorteile und Nachteile eines Themas, nebeneinander</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Achtung</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Falle, die Geld oder Nerven kostet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Spartipp</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 sparst du Geld oder Zeit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Merke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der hängen bleiben soll</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Praxisbeispiel</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fiktives, aber typisches Szenario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Checkliste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du jetzt erledigen solltest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Stand</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die Zahlen erhoben wurden und was sich schnell ändert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erfundene Menschen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Damit die Regeln nicht abstrakt bleiben, begleiten dich fünf erfundene Personen durch das Buch. </w:t>
      </w:r>
      <w:r>
        <w:rPr>
          <w:rFonts w:eastAsia="Cambria" w:cs="Cambria"/>
          <w:b/>
          <w:bCs/>
          <w:i w:val="false"/>
          <w:iCs w:val="false"/>
          <w:sz w:val="22"/>
          <w:szCs w:val="22"/>
        </w:rPr>
        <w:t>Familie Brandt</w:t>
      </w:r>
      <w:r>
        <w:rPr>
          <w:rFonts w:eastAsia="Cambria" w:cs="Cambria"/>
          <w:b w:val="false"/>
          <w:bCs w:val="false"/>
          <w:i w:val="false"/>
          <w:iCs w:val="false"/>
          <w:sz w:val="22"/>
          <w:szCs w:val="22"/>
        </w:rPr>
        <w:t xml:space="preserve"> (Markus, Ingenieur bei einem Automobilzulieferer, Anna, Lehrerin, und die Kinder Lena und Jonas) zieht mit einem H-1B nach Michigan. </w:t>
      </w:r>
      <w:r>
        <w:rPr>
          <w:rFonts w:eastAsia="Cambria" w:cs="Cambria"/>
          <w:b/>
          <w:bCs/>
          <w:i w:val="false"/>
          <w:iCs w:val="false"/>
          <w:sz w:val="22"/>
          <w:szCs w:val="22"/>
        </w:rPr>
        <w:t>Sabine Keller</w:t>
      </w:r>
      <w:r>
        <w:rPr>
          <w:rFonts w:eastAsia="Cambria" w:cs="Cambria"/>
          <w:b w:val="false"/>
          <w:bCs w:val="false"/>
          <w:i w:val="false"/>
          <w:iCs w:val="false"/>
          <w:sz w:val="22"/>
          <w:szCs w:val="22"/>
        </w:rPr>
        <w:t xml:space="preserve">, Softwareentwicklerin, geht mit H-1B nach Seattle. </w:t>
      </w:r>
      <w:r>
        <w:rPr>
          <w:rFonts w:eastAsia="Cambria" w:cs="Cambria"/>
          <w:b/>
          <w:bCs/>
          <w:i w:val="false"/>
          <w:iCs w:val="false"/>
          <w:sz w:val="22"/>
          <w:szCs w:val="22"/>
        </w:rPr>
        <w:t>Jan Hoffmann</w:t>
      </w:r>
      <w:r>
        <w:rPr>
          <w:rFonts w:eastAsia="Cambria" w:cs="Cambria"/>
          <w:b w:val="false"/>
          <w:bCs w:val="false"/>
          <w:i w:val="false"/>
          <w:iCs w:val="false"/>
          <w:sz w:val="22"/>
          <w:szCs w:val="22"/>
        </w:rPr>
        <w:t xml:space="preserve">, Prozessingenieur in der Halbleiterfertigung, wird mit Frau und Sohn per L-1 nach Arizona versetzt. </w:t>
      </w:r>
      <w:r>
        <w:rPr>
          <w:rFonts w:eastAsia="Cambria" w:cs="Cambria"/>
          <w:b/>
          <w:bCs/>
          <w:i w:val="false"/>
          <w:iCs w:val="false"/>
          <w:sz w:val="22"/>
          <w:szCs w:val="22"/>
        </w:rPr>
        <w:t>Felix Wagner</w:t>
      </w:r>
      <w:r>
        <w:rPr>
          <w:rFonts w:eastAsia="Cambria" w:cs="Cambria"/>
          <w:b w:val="false"/>
          <w:bCs w:val="false"/>
          <w:i w:val="false"/>
          <w:iCs w:val="false"/>
          <w:sz w:val="22"/>
          <w:szCs w:val="22"/>
        </w:rPr>
        <w:t xml:space="preserve"> studiert mit einem F-1-Visum in Boston und hofft auf den späteren Wechsel. </w:t>
      </w:r>
      <w:r>
        <w:rPr>
          <w:rFonts w:eastAsia="Cambria" w:cs="Cambria"/>
          <w:b/>
          <w:bCs/>
          <w:i w:val="false"/>
          <w:iCs w:val="false"/>
          <w:sz w:val="22"/>
          <w:szCs w:val="22"/>
        </w:rPr>
        <w:t>Miriam und Tobias Scholz</w:t>
      </w:r>
      <w:r>
        <w:rPr>
          <w:rFonts w:eastAsia="Cambria" w:cs="Cambria"/>
          <w:b w:val="false"/>
          <w:bCs w:val="false"/>
          <w:i w:val="false"/>
          <w:iCs w:val="false"/>
          <w:sz w:val="22"/>
          <w:szCs w:val="22"/>
        </w:rPr>
        <w:t xml:space="preserve"> gründen mit einem E-2-Visum in North Carolina. Alle fünf sind frei erfunden. Sie sind so gezeichnet, dass ihre Erfahrungen typisch sind, aber sie sind keine Zeugenaussagen.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du Zahlen und Regeln behandelst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Zahlen tragen ein Datum, meist </w:t>
      </w:r>
      <w:r>
        <w:rPr>
          <w:rFonts w:eastAsia="Cambria" w:cs="Cambria"/>
          <w:b/>
          <w:bCs/>
          <w:i w:val="false"/>
          <w:iCs w:val="false"/>
          <w:sz w:val="22"/>
          <w:szCs w:val="22"/>
        </w:rPr>
        <w:t>September 2026</w:t>
      </w:r>
      <w:r>
        <w:rPr>
          <w:rFonts w:eastAsia="Cambria" w:cs="Cambria"/>
          <w:b w:val="false"/>
          <w:bCs w:val="false"/>
          <w:i w:val="false"/>
          <w:iCs w:val="false"/>
          <w:sz w:val="22"/>
          <w:szCs w:val="22"/>
        </w:rPr>
        <w:t>. Beträge stehen in US-Dollar (</w:t>
      </w:r>
      <w:r>
        <w:rPr>
          <w:rFonts w:eastAsia="Cambria" w:cs="Cambria"/>
          <w:b/>
          <w:bCs/>
          <w:i w:val="false"/>
          <w:iCs w:val="false"/>
          <w:sz w:val="22"/>
          <w:szCs w:val="22"/>
        </w:rPr>
        <w:t>$</w:t>
      </w:r>
      <w:r>
        <w:rPr>
          <w:rFonts w:eastAsia="Cambria" w:cs="Cambria"/>
          <w:b w:val="false"/>
          <w:bCs w:val="false"/>
          <w:i w:val="false"/>
          <w:iCs w:val="false"/>
          <w:sz w:val="22"/>
          <w:szCs w:val="22"/>
        </w:rPr>
        <w:t>), Größen in amerikanischen Einheiten mit metrischer Umrechnung. Einreise-, Steuer- und Gesundheitsregeln ändern sich schneller, als ein Buch gedruckt werden kann. Am Ende jedes Kapitels stehen deshalb die offiziellen Quellen: Rufe sie auf, bevor du handelst.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Wege durch das Buch</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Lage</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Beginne mit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noch unentschieden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 (Kapitel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die Master-Checkliste (Anhang </w:t>
            </w:r>
            <w:hyperlink w:anchor="anhang_a">
              <w:r>
                <w:rPr>
                  <w:rStyle w:val="ListLabel112"/>
                  <w:rFonts w:eastAsia="Cambria" w:cs="Cambria"/>
                  <w:b w:val="false"/>
                  <w:bCs w:val="false"/>
                  <w:i w:val="false"/>
                  <w:iCs w:val="false"/>
                  <w:sz w:val="18"/>
                  <w:szCs w:val="18"/>
                </w:rPr>
                <w:t>A</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über ein Studium gehen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und </w:t>
            </w:r>
            <w:hyperlink w:anchor="k4">
              <w:r>
                <w:rPr>
                  <w:rStyle w:val="ListLabel112"/>
                  <w:rFonts w:eastAsia="Cambria" w:cs="Cambria"/>
                  <w:b w:val="false"/>
                  <w:bCs w:val="false"/>
                  <w:i w:val="false"/>
                  <w:iCs w:val="false"/>
                  <w:sz w:val="18"/>
                  <w:szCs w:val="18"/>
                </w:rPr>
                <w:t>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Kinder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IX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und Kapitel </w:t>
            </w:r>
            <w:hyperlink w:anchor="k12">
              <w:r>
                <w:rPr>
                  <w:rStyle w:val="ListLabel112"/>
                  <w:rFonts w:eastAsia="Cambria" w:cs="Cambria"/>
                  <w:b w:val="false"/>
                  <w:bCs w:val="false"/>
                  <w:i w:val="false"/>
                  <w:iCs w:val="false"/>
                  <w:sz w:val="18"/>
                  <w:szCs w:val="18"/>
                </w:rPr>
                <w:t>12</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muss schnell packen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und </w:t>
            </w:r>
            <w:hyperlink w:anchor="k21">
              <w:r>
                <w:rPr>
                  <w:rStyle w:val="ListLabel112"/>
                  <w:rFonts w:eastAsia="Cambria" w:cs="Cambria"/>
                  <w:b w:val="false"/>
                  <w:bCs w:val="false"/>
                  <w:i w:val="false"/>
                  <w:iCs w:val="false"/>
                  <w:sz w:val="18"/>
                  <w:szCs w:val="18"/>
                </w:rPr>
                <w:t>21</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gerade gelandet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und </w:t>
            </w:r>
            <w:hyperlink w:anchor="k24">
              <w:r>
                <w:rPr>
                  <w:rStyle w:val="ListLabel112"/>
                  <w:rFonts w:eastAsia="Cambria" w:cs="Cambria"/>
                  <w:b w:val="false"/>
                  <w:bCs w:val="false"/>
                  <w:i w:val="false"/>
                  <w:iCs w:val="false"/>
                  <w:sz w:val="18"/>
                  <w:szCs w:val="18"/>
                </w:rPr>
                <w:t>24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meinen Job verloren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(sofort)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denke an die Rückkehr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sectPr>
          <w:footerReference w:type="even" r:id="rId5"/>
          <w:footerReference w:type="default" r:id="rId6"/>
          <w:footerReference w:type="first" r:id="rId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180" w:before="0" w:after="0"/>
        <w:rPr/>
      </w:pPr>
      <w:r>
        <w:rPr/>
      </w:r>
    </w:p>
    <w:p>
      <w:pPr>
        <w:pStyle w:val="Heading1"/>
        <w:spacing w:lineRule="exact" w:line="340" w:before="0" w:after="360"/>
        <w:jc w:val="center"/>
        <w:rPr/>
      </w:pPr>
      <w:bookmarkStart w:id="4" w:name="__RefHeading___Toc56420_3457424410"/>
      <w:bookmarkEnd w:id="4"/>
      <w:r>
        <w:rPr>
          <w:rFonts w:eastAsia="Amazon Ember" w:cs="Amazon Ember" w:ascii="Amazon Ember" w:hAnsi="Amazon Ember"/>
          <w:b/>
          <w:bCs/>
          <w:color w:val="0000FF"/>
        </w:rPr>
        <w:t>TEIL UNIVERSAL — Bevor du dich entscheidest</w:t>
      </w:r>
    </w:p>
    <w:p>
      <w:pPr>
        <w:sectPr>
          <w:footerReference w:type="even" r:id="rId8"/>
          <w:footerReference w:type="default" r:id="rId9"/>
          <w:footerReference w:type="first" r:id="rId1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Bist du überhaupt bereit für einen Umzug ins Ausland, und welches der vier Länder passt zu dir? Dieser Teil klärt beides, bevor du dich in die Tiefe eines einzelnen Länder-Teils stürzt – und alles, was mit dem Verlassen Deutschlands zu tun hat, gehört hierher, unabhängig vom Ziel.</w:t>
      </w:r>
      <w:r>
        <w:br w:type="page"/>
      </w:r>
    </w:p>
    <w:p>
      <w:pPr>
        <w:pStyle w:val="Heading2"/>
        <w:keepNext w:val="true"/>
        <w:spacing w:lineRule="exact" w:line="340" w:before="0" w:after="300"/>
        <w:jc w:val="center"/>
        <w:rPr/>
      </w:pPr>
      <w:bookmarkStart w:id="5" w:name="__RefHeading___Toc56422_3457424410"/>
      <w:bookmarkStart w:id="6" w:name="k1"/>
      <w:bookmarkEnd w:id="5"/>
      <w:r>
        <w:rPr>
          <w:rFonts w:eastAsia="Amazon Ember" w:cs="Amazon Ember" w:ascii="Amazon Ember" w:hAnsi="Amazon Ember"/>
          <w:b/>
          <w:bCs/>
          <w:color w:val="0000FF"/>
          <w:sz w:val="36"/>
          <w:szCs w:val="36"/>
        </w:rPr>
        <w:t>Kapitel 1: Bist du überhaupt bereit dafür?</w:t>
      </w:r>
      <w:bookmarkEnd w:id="6"/>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 23:47 Uhr sitzt du am Küchentisch, der Laptop-Bildschirm ist das einzige Licht im Raum, und der zwölfte geöffnete Tab heißt „Auswandern: USA oder doch lieber Kanada?“. Das Glas Wein daneben ist seit einer Stunde nicht mehr angerührt. Die drängendste Frage in diesem Moment ist aber gar nicht die nach dem Land. Es ist die Frage, ob du – mit deiner finanziellen Lage, deinem Beruf, deiner Familie, deiner Fähigkeit, mit Unsicherheit zu leben – überhaupt bereit für diesen Schritt bist, egal wohin er am Ende führt.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53"/>
              </w:numPr>
              <w:spacing w:lineRule="exact" w:line="264" w:before="0" w:after="50"/>
              <w:rPr/>
            </w:pPr>
            <w:r>
              <w:rPr>
                <w:rFonts w:eastAsia="Cambria" w:cs="Cambria"/>
                <w:b w:val="false"/>
                <w:bCs w:val="false"/>
                <w:i w:val="false"/>
                <w:iCs w:val="false"/>
                <w:sz w:val="20"/>
                <w:szCs w:val="20"/>
              </w:rPr>
              <w:t>Die Frage „Bin ich bereit?“ kommt vor der Frage „Wohin?“ – sie betrifft alle vier Zielländer gleichermaßen.</w:t>
            </w:r>
          </w:p>
          <w:p>
            <w:pPr>
              <w:pStyle w:val="ListParagraph"/>
              <w:numPr>
                <w:ilvl w:val="0"/>
                <w:numId w:val="1"/>
              </w:numPr>
              <w:spacing w:lineRule="exact" w:line="264" w:before="0" w:after="50"/>
              <w:rPr/>
            </w:pPr>
            <w:r>
              <w:rPr>
                <w:rFonts w:eastAsia="Cambria" w:cs="Cambria"/>
                <w:b w:val="false"/>
                <w:bCs w:val="false"/>
                <w:i w:val="false"/>
                <w:iCs w:val="false"/>
                <w:sz w:val="20"/>
                <w:szCs w:val="20"/>
              </w:rPr>
              <w:t>Acht Faktoren hängen nachweislich mit gelungener Anpassung im Ausland zusammen: Finanzen, Risikotoleranz, berufliche Übertragbarkeit, Familie, Sprache, frühere Auslandserfahrung, soziales Netz, Erwartungsmanagement.</w:t>
            </w:r>
          </w:p>
          <w:p>
            <w:pPr>
              <w:pStyle w:val="ListParagraph"/>
              <w:numPr>
                <w:ilvl w:val="0"/>
                <w:numId w:val="1"/>
              </w:numPr>
              <w:spacing w:lineRule="exact" w:line="264" w:before="0" w:after="50"/>
              <w:rPr/>
            </w:pPr>
            <w:r>
              <w:rPr>
                <w:rFonts w:eastAsia="Cambria" w:cs="Cambria"/>
                <w:b w:val="false"/>
                <w:bCs w:val="false"/>
                <w:i w:val="false"/>
                <w:iCs w:val="false"/>
                <w:sz w:val="20"/>
                <w:szCs w:val="20"/>
              </w:rPr>
              <w:t>Die oft zitierte Zahl, wonach 25 bis 40 % aller Auswanderer scheitern, ist ein widerlegter Mythos ohne belastbare Quelle.</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Bewertungs-Raster in diesem Kapitel ist zum Ausfüllen gedacht, nicht zum Bestehen oder Durchfallen: Ein Warnsignal heißt „hier genauer hinschauen“, nicht „lass es bleiben“.</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weißt du, wo du stehst. Die Länderwahl selbst folgt im nächsten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diese Frage vor der Länderwahl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gliedert sich in einen gemeinsamen Teil für alle vier Zielländer und vier eigene Länder-Teile für USA, Kanada, Australien und Neuseeland. Die meisten Auswanderungsratgeber steigen direkt bei der Visumskategorie ein – Formular, Frist, Gebühr. Wichtig, aber das überspringt eine Frage, die dir keine Länderverwaltung stellen kann: Bist du, unabhängig vom Zielland, überhaupt in der Verfassung für diesen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Forschung zu Auslandsentsendungen und Migration – vor allem aus Personalpsychologie und Migrationsökonomie – hat in den vergangenen Jahrzehnten Faktoren identifiziert, die mit gelungener Anpassung im Ausland zusammenhängen. Keiner ist für sich ein Ausschlusskriterium oder eine Garantie, zusammengenommen ergeben sie aber ein brauchbares Bild davon, wo du stehst – bevor du dich mit H-1B-Lotterien, Punktesystemen oder Mangelberufslisten beschäftigst. Dieses Kapitel ordnet die Faktoren in ein Raster zum Ausfüllen und räumt vorher mit der bekanntesten Falle auf: einer Zahl, die es so nie gegeben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Egal ob du allein ziehst, mit Partner oder mit Kindern im Schulalter: Die acht Faktoren gelten unabhängig davon, ob am Ende die USA, Kanada, Australien oder Neuseeland auf deiner Liste stehen. Das nächste Kapitel vergleicht die vier Länder entlang objektiver Kriterien wie Einwanderungssystem, Gesundheitsversorgung und Steuerlast; dieses Kapitel fragt nach etwas, das keine Behörde und keine Scorecard beantworten kann: Passt der Schritt an sich zu deinem Leben, so wie es gerade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einer ehrlichen Bestandsaufnahme</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blinde Flecken auf, bevor sie zu teuren Überraschungen werden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rechtliche, steuerliche oder psychologische Fachberatung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Schafft eine gemeinsame Gesprächsgrundlage für Partner und Familie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niedriger Wert kann kurzfristig verunsichern, wenn man ihn falsch liest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einer vagen Angst die Kontur und macht sie konkret bearbeitbar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validierter psychometrischer Test, sondern eine strukturierte Selbstauskunft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Lässt sich beliebig oft wiederholen, ohne Kosten oder Anmeldung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Antworten setzen voraus, dass du dir selbst nichts vormachst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Verbreiteter Irrtum: die angebliche Scheiterquote von 25 bis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Migrationsforscherin Anne-Wil Harzing ist dieser Zahl in den 1990er-Jahren nachgegangen und wurde in einer 1979 erschienenen, selbst unbelegten Publikation zweier Unternehmensberater fündig – dem einzigen auffindbaren Ursprung. Seither wurde die Zahl in Fachartikeln und Ratgebern immer wieder zitiert, ohne dass jemand sie neu geprüft hätte: ein klassischer Fall von Zitierketten, die sich gegenseitig scheinbar bestätigen, ohne dass am Anfang je eine echte Erhebung 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Belastbarer, aber deutlich enger gefasst, sind Umfragen unter Unternehmen zu ihren entsandten Fach- und Führungskräften: Danach werden familiäre Anpassungsprobleme als Grund für rund ein Drittel der vorzeitig abgebrochenen Auslandsentsendungen genannt – aber das betrifft ausschließlich bezahlte Firmenentsendungen mit Rückkehrgarantie, nicht die freiwillige, private Auswanderung, um die es in diesem Buch geht, und die zugrunde liegenden Erhebungen sind inzwischen ein Jahrzehnt oder älter.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ehrliche Bilanz bedeutet das: Es gibt schlicht keine verlässliche Zahl dafür, wie viele private Auswanderer scheitern oder was „Scheitern“ überhaupt genau bedeutet –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verlässliche Zahl dafür, wie viele Auswanderer scheitern. Was zählt, ist nicht eine zitierte Statistik, sondern deine eigene, ehrliche Einschätzung der acht Faktoren in diesem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Bewertungs-Raster: acht Faktoren, eine ehrliche Bestandsaufnahme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fasst acht Faktoren zusammen, die in der Forschung zu Auslandsaufenthalten wiederholt mit gelungener Anpassung, Zufriedenheit oder – umgekehrt – mit Abbruch und Rückkehr in Verbindung stehen. Fülle sie in Ruhe aus, wenn möglich gemeinsam mit Partner oder Partnerin: Eine ehrliche 2 ist mehr wert als eine geschönte 4. Trage in die letzte Spalte eine Zahl von 1 (trifft kaum zu) bis 5 (trifft voll zu) ein – ein niedriger Wert ist kein Abbruchgrund, sondern eine Arbeitsliste.</w:t>
      </w:r>
    </w:p>
    <w:tbl>
      <w:tblPr>
        <w:tblW w:w="6480" w:type="dxa"/>
        <w:jc w:val="left"/>
        <w:tblInd w:w="0" w:type="dxa"/>
        <w:tblLayout w:type="fixed"/>
        <w:tblCellMar>
          <w:top w:w="50" w:type="dxa"/>
          <w:left w:w="80" w:type="dxa"/>
          <w:bottom w:w="50" w:type="dxa"/>
          <w:right w:w="80" w:type="dxa"/>
        </w:tblCellMar>
      </w:tblPr>
      <w:tblGrid>
        <w:gridCol w:w="1796"/>
        <w:gridCol w:w="1797"/>
        <w:gridCol w:w="1795"/>
        <w:gridCol w:w="1091"/>
      </w:tblGrid>
      <w:tr>
        <w:trPr>
          <w:tblHeader w:val="true"/>
          <w:cantSplit w:val="true"/>
        </w:trPr>
        <w:tc>
          <w:tcPr>
            <w:tcW w:w="17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Faktor</w:t>
            </w:r>
          </w:p>
        </w:tc>
        <w:tc>
          <w:tcPr>
            <w:tcW w:w="17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Leitfrage zum Ausfüllen</w:t>
            </w:r>
          </w:p>
        </w:tc>
        <w:tc>
          <w:tcPr>
            <w:tcW w:w="17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Warnsignal</w:t>
            </w:r>
          </w:p>
        </w:tc>
        <w:tc>
          <w:tcPr>
            <w:tcW w:w="1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Einschätzung (1–5)</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Rücklage</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Hast du mindestens 3–6 Monatsausgaben am Zielort plus Umzugskosten als Puffer, unabhängig vom ersten Gehalt?</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Rücklage hängt vollständig vom pünktlichen ersten Gehaltseingang im Ausland ab</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Risikotoleranz</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gehst du grundsätzlich mit Unsicherheit und Plänen um, die sich kurzfristig ändern?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Schon kleinere Planänderungen im Alltag belasten dich stark</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Berufliche Übertragbarkeit</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dein Abschluss oder deine Berufszulassung im Zielland anerkennungsfähig, und kennst du die Dauer des Verfahrens?</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Anerkennungsverfahren deines Berufs hast du noch nicht geprüft</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Zustimmung von Partner/Kindern</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Steht die ganze Familie hinter dem Plan, nicht nur du allein?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oder ältere Kinder sind unentschlossen oder dagegen</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Sprachniveau</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Reicht dein Englisch für Behördengänge und Fachjargon, nicht nur für Small Talk im Urlaub?</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Schon Behördendeutsch bereitet dir auf Deutsch Mühe</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Frühere Auslands</w:t>
              <w:softHyphen/>
              <w:t>erfahrung</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Hast du schon einmal mehrere Monate am Stück im Ausland gelebt, gearbeitet oder studiert?</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Bezugspunkt dafür, wie sich Monate fern der Heimat anfühlen</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Soziales Unterstützungs</w:t>
              <w:softHyphen/>
              <w:t>netz</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Kennst du bereits jemanden vor Ort oder eine Community, digital oder persönlich?</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einzige Verbindung zum Zielland oder zu bestehenden Communitys</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Erwartungs</w:t>
              <w:softHyphen/>
              <w:t>management</w:t>
            </w:r>
          </w:p>
        </w:tc>
        <w:tc>
          <w:tcPr>
            <w:tcW w:w="1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Stützt sich deine Vorstellung vom Alltag auf Recherche – oder vor allem auf Filme und Urlaubs</w:t>
              <w:softHyphen/>
              <w:t>erinnerungen?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Deine Erwartung speist sich hauptsächlich aus zwei Wochen Ferienreise</w:t>
            </w:r>
          </w:p>
        </w:tc>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Jonas Ritter (fiktives Beispiel, nur in diesem und dem folgenden Kapitel verwendet), 33, Wirtschaftsinformatiker aus Freiburg, füllt das Raster mit seiner Partnerin Sarah, 30, Ergotherapeutin, und Tochter Mila, 4, gemeinsam aus. Bei der finanziellen Rücklage tragen beide eine 4 ein – sie haben bewusst zwölf statt sechs Monatsausgaben zurückgelegt. Unangenehmer wird es bei der beruflichen Übertragbarkeit: Sarah hat noch nicht geprüft, ob ihre Ausbildung im Zielland überhaupt anerkannt wird, und trägt ehrlich eine 2 ein. Das ist für die beiden kein Abbruchgrund, aber eine klare Aufgabe vor jeder weiteren Planung: die zuständige Anerkennungsstelle kontaktieren, bevor sie sich mit Visakategorien beschäftigen.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Finanzielle Rücklage und Risikotoleranz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finanzielle Rücklage gibt es keine amtliche deutsche Empfehlung – weder Auswärtiges Amt noch Bundesverwaltungsamt nennen eine feste Zahl. In der Praxis von Finanz- und Umzugsberatern hat sich eine Faustregel durchgesetzt: 3–6 Monatsausgaben am Zielort als Kernpuffer, dazu die eigentlichen Umzugskosten und ein Aufschlag von 3–5 % für Wechselkursschwankungen. Manche Ratgeber nennen für ein einzelnes Auswanderungsvorhaben Beispielsummen zwischen rund 8.500 $ für günstige und 42.000 $ für teure Ziele – Illustrationsbeispiele einzelner Blogs, keine geprüfte Norm, stark abhängig davon, ob du mit gesichertem Jobangebot ziehst oder ohne.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grobe eigene Rechnung geht so: Nimm die erwartete Monatsmiete am Zielort, addiere die geschätzten monatlichen Lebenshaltungskosten für deine Haushaltsgröße und multipliziere die Summe mit sechs. Addiere die einmaligen Umzugskosten – Flüge, Transport, Kaution, Erstausstattung – sowie einen Puffer von 3–5 % für einen ungünstigen Wechselkurs zwischen Planung und Umzug. Das Ergebnis ist keine amtlich geprüfte Zahl, aber eine ehrlichere Grundlage als jede fremde Beispielsumme, weil sie auf deinen eigenen Zahlen beruht, nicht auf den Lebenshaltungskosten eines unbekannten Blog-Autors in einer anderen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Risikotoleranz lässt sich weder trainieren noch moralisch bewerten – sie gilt in der Migrationsforschung als relativ stabiler Persönlichkeitszug, ähnlich den großen Persönlichkeitsdimensionen der Psychologie. Menschen mit höherer Risikoaversion zeigen über viele untersuchte Länder hinweg im Schnitt eine geringere Umzugsbereitschaft; Offenheit für neue Erfahrungen und Extraversion hängen dagegen positiv damit zusammen. Diese Frage im Raster ist also kein Eignungstest, sondern ein ehrlicher Blick in den Spiegel: Wie reagierst du normalerweise, wenn ein Plan durcheinandergerät? Wer hier eine 2 einträgt, kann trotzdem auswandern – sollte aber bei Zielort und Vorbereitung bewusst mehr Struktur und Vorhersehbarkeit einplanen als jemand mit hoher Risikotoleranz.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Berufliche Übertragbarkeit und Sprachniveau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allen acht Faktoren ist die berufliche Übertragbarkeit am objektivsten prüfbar –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 Zuwanderung nach Deutschland –, zeigt aber, wie stark formale Anerkennung wirkt, in welche Richtung auch immer man wandert. Die konkreten Anerkennungsstellen für USA, Kanada, Australien und Neuseeland findest du im jeweiligen Länder-Teil; hier zählt nur, dir ehrlich einzugestehen, ob du das schon geprüft hast.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 und umgekehrt sagt ein holpriger erster Small Talk nichts über deine berufliche Eignung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berufliche Übertragbarkeit lohnt sich als erster Schritt eine gezielte Suche nach der zuständigen Anerkennungsstelle für deinen Beruf im wahrscheinlichsten Zielland –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dabei nicht nur, ob eine Anerkennung grundsätzlich möglich ist, sondern auch, wie lange sie realistisch dauert – diese Zahl brauchst du später ohnehin für die Zeitplanung im jeweiligen Länder-Teil.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 Kinder und das soziale 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Faktor wird in der Forschung zu Auslandsentsendungen so oft genannt wie die Familie. In Befragungen von Unternehmen ist Widerstand des Partners oder der Partnerin der mit Abstand häufigste Grund, ein Auslandsangebot abzulehnen – noch vor Gehalt oder Karrierebedenken. Das heißt nicht „Familie dagegen gleich Scheitern“: Partner können durch aktiven Aufbau eines eigenen sozialen Netzes am Zielort auch stabilisierend wirken, und die Forschungslage zum tatsächlichen Nettoeffekt gilt selbst unter Fachleuten als uneinheitlich. Wichtig ist, die Zustimmung nicht stillschweigend vorauszusetzen, sondern aktiv einzuholen – von jedem, der mitzieht, einschließlich älterer Kinder.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zitierten Zahlen zu Partnerwiderstand und Abbruchgründen stammen fast ausschließlich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verwandter, aber eigenständiger Faktor ist das soziale Unterstützungsnetz: Emotionale und praktische Unterstützung – durch Familie, Freunde oder eine Community am Zielort – wirkt in mehreren Studien nachweislich schützend gegen Einsamkeit und psychische Belastung im Ausland. Das muss beim Start kein bestehender Freundeskreis vor Ort sein; ein Online-Netzwerk deutscher Auswanderer, ein erster Kontakt über den künftigen Arbeitgeber oder eine Kirchengemeinde zählen bereits. Wer hier eine niedrige Zahl einträgt, sollte diesen Punkt schon vor dem Umzug aktiv angehen,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Gespräch mit Partner oder Familie helfen vier konkrete Fragen mehr als ein allgemeines „Seid ihr dabei?“:</w:t>
      </w:r>
    </w:p>
    <w:p>
      <w:pPr>
        <w:pStyle w:val="ListParagraph"/>
        <w:numPr>
          <w:ilvl w:val="0"/>
          <w:numId w:val="1"/>
        </w:numPr>
        <w:spacing w:lineRule="exact" w:line="288" w:before="0" w:after="60"/>
        <w:rPr/>
      </w:pPr>
      <w:r>
        <w:rPr>
          <w:rFonts w:eastAsia="Cambria" w:cs="Cambria"/>
          <w:b w:val="false"/>
          <w:bCs w:val="false"/>
          <w:i w:val="false"/>
          <w:iCs w:val="false"/>
          <w:sz w:val="22"/>
          <w:szCs w:val="22"/>
        </w:rPr>
        <w:t>Was würde dir am Zielort am meisten fehlen, und wie könnten wir das ausgleichen oder ersetzen?</w:t>
      </w:r>
    </w:p>
    <w:p>
      <w:pPr>
        <w:pStyle w:val="ListParagraph"/>
        <w:numPr>
          <w:ilvl w:val="0"/>
          <w:numId w:val="1"/>
        </w:numPr>
        <w:spacing w:lineRule="exact" w:line="288" w:before="0" w:after="60"/>
        <w:rPr/>
      </w:pPr>
      <w:r>
        <w:rPr>
          <w:rFonts w:eastAsia="Cambria" w:cs="Cambria"/>
          <w:b w:val="false"/>
          <w:bCs w:val="false"/>
          <w:i w:val="false"/>
          <w:iCs w:val="false"/>
          <w:sz w:val="22"/>
          <w:szCs w:val="22"/>
        </w:rPr>
        <w:t>Woran würdest du in einem Jahr erkennen, dass sich der Umzug für dich persönlich gelohnt hat?</w:t>
      </w:r>
    </w:p>
    <w:p>
      <w:pPr>
        <w:pStyle w:val="ListParagraph"/>
        <w:numPr>
          <w:ilvl w:val="0"/>
          <w:numId w:val="1"/>
        </w:numPr>
        <w:spacing w:lineRule="exact" w:line="288" w:before="0" w:after="60"/>
        <w:rPr/>
      </w:pPr>
      <w:r>
        <w:rPr>
          <w:rFonts w:eastAsia="Cambria" w:cs="Cambria"/>
          <w:b w:val="false"/>
          <w:bCs w:val="false"/>
          <w:i w:val="false"/>
          <w:iCs w:val="false"/>
          <w:sz w:val="22"/>
          <w:szCs w:val="22"/>
        </w:rPr>
        <w:t>Welcher Teil dieses Plans macht dir am meisten Sorgen, auch wenn er dir albern vorkommt?</w:t>
      </w:r>
    </w:p>
    <w:p>
      <w:pPr>
        <w:pStyle w:val="ListParagraph"/>
        <w:numPr>
          <w:ilvl w:val="0"/>
          <w:numId w:val="1"/>
        </w:numPr>
        <w:spacing w:lineRule="exact" w:line="288" w:before="0" w:after="60"/>
        <w:rPr/>
      </w:pPr>
      <w:r>
        <w:rPr>
          <w:rFonts w:eastAsia="Cambria" w:cs="Cambria"/>
          <w:b w:val="false"/>
          <w:bCs w:val="false"/>
          <w:i w:val="false"/>
          <w:iCs w:val="false"/>
          <w:sz w:val="22"/>
          <w:szCs w:val="22"/>
        </w:rPr>
        <w:t>Was bräuchtest du, damit deine Antwort von einer 2 zu einer 4 wird?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Fragen ersetzen keine ausführliche Aussprache, holen aber aus einem diffusen Bauchgefühl etwas Konkretes heraus, worüber sich reden lässt – das gilt für den Partner ebenso wie für ein Kind ab etwa zwölf Jahren, das seine Bedenken sonst leicht herunterschluckt, um niemanden zu enttäuschen.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Frühere Erfahrung und Erwartungsmanagement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Ich habe ja schon mal ein Auslandssemester gemacht, das wird schon“ – dieser Gedanke ist verbreitet, aber nur teilweise durch Forschung gedeckt. Eine Meta-Analyse mehrerer Studien fand frühere Auslandserfahrung insgesamt als eher schwachen Prädiktor für die generelle Anpassung im Ausland, allerdings mit klarerem, wenn auch moderatem Effekt auf die Anpassung im Job und im täglichen Umgang mit anderen. Ihr größter nachweisbarer Nutzen liegt woanders: Sie unterstützt vor allem eines, realistische statt idealisierte Erwartungen zu bilden – und das führt zum letzten, vielleicht wichtigsten 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Theorie der erfüllten Erwartungen aus der Organisationspsychologie zeigt, auf Auslandsaufenthalte übertragen, einen klaren Zusammenhang: Je mehr sich die tatsächliche Erfahrung mit der vorherigen Erwartung deckt, desto höher fallen Zufriedenheit und Anpassung aus. Entscheidend ist nicht die Erwartung an sich, sondern die Richtung des Fehlers – unerwartet hohe Schwierigkeiten belasten psychisch deutlich stärker als Schwierigkeiten, mit denen von vornherein gerechnet wurde. Wer sich also vorab bewusst mit den unschönen Seiten des Ziellandes beschäftigt – bürokratischen Hürden, Einsamkeitsphasen, einem holprigen ersten Jahr –, ist am Ende besser dran als jemand, der sich nur Hochglanzbilder ausgemalt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Realistische Erwartungen entstehen nicht durch Wunschdenken, sondern durch konkrete Arbeit: ungeschönte Erfahrungsberichte lesen, in denen auch Rückschläge vorkommen, nicht nur schöne Fotos; mit Menschen sprechen, die schon dort leben, auch über unbequeme Themen wie Einsamkeit oder Behördenfrust; wo machbar, das Zielland vor der endgültigen Entscheidung mit einer längeren Reise abseits des Urlaubsprogramms kennenlernen – ein Wocheneinkauf im Supermarkt und ein Behördengang sagen oft mehr über den künftigen Alltag aus als eine Woche Sightseeing. Wer das bewusst tut, trägt in der letzten Zeile des Rasters keine geschönte 5 ein, sondern eine ehrliche, gut begründete 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dein Ergebnis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Raster ist kein psychometrisch validierter Test – ein wissenschaftlich geprüftes Selbsttest-Verfahren speziell für private Auswanderer aus Deutschland gibt es schlicht nicht; die zugrunde liegende Forschung stammt größtenteils aus der Personalauswahl für Firmenentsendungen. Trotzdem ist es nützlich, weil es acht real belegte Einflussfaktoren an einem Ort versammelt, die sonst leicht übersehen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oder drei niedrige Werte sind kein Grund, den Plan zu begraben – sie sind eine Liste offener Aufgaben. Problematisch wird es erst, wenn sich niedrige Werte über mehrere zentrale Faktoren häufen (etwa Finanzen, Familienzustimmung und Erwartungsmanagement zugleich) und du keinen konkreten Plan hast, sie anzugehen.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Sinnvoll ist es, das Raster an drei Zeitpunkten erneut auszufüllen, nicht nur einmal:</w:t>
      </w:r>
    </w:p>
    <w:p>
      <w:pPr>
        <w:pStyle w:val="ListParagraph"/>
        <w:numPr>
          <w:ilvl w:val="0"/>
          <w:numId w:val="1"/>
        </w:numPr>
        <w:spacing w:lineRule="exact" w:line="288" w:before="0" w:after="60"/>
        <w:rPr/>
      </w:pPr>
      <w:r>
        <w:rPr>
          <w:rFonts w:eastAsia="Cambria" w:cs="Cambria"/>
          <w:b w:val="false"/>
          <w:bCs w:val="false"/>
          <w:i w:val="false"/>
          <w:iCs w:val="false"/>
          <w:sz w:val="22"/>
          <w:szCs w:val="22"/>
        </w:rPr>
        <w:t>Nach der ersten groben Recherche zu Visum, Beruf und Zielort, wenn aus vagen Vermutungen erste belastbare Fakten geworden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Nach einem konkreten Jobangebot oder einer Einladung zur Antragstellung, wenn aus einer Idee ein Termin mit echten Fristen wird.</w:t>
      </w:r>
    </w:p>
    <w:p>
      <w:pPr>
        <w:pStyle w:val="ListParagraph"/>
        <w:numPr>
          <w:ilvl w:val="0"/>
          <w:numId w:val="1"/>
        </w:numPr>
        <w:spacing w:lineRule="exact" w:line="288" w:before="0" w:after="60"/>
        <w:rPr/>
      </w:pPr>
      <w:r>
        <w:rPr>
          <w:rFonts w:eastAsia="Cambria" w:cs="Cambria"/>
          <w:b w:val="false"/>
          <w:bCs w:val="false"/>
          <w:i w:val="false"/>
          <w:iCs w:val="false"/>
          <w:sz w:val="22"/>
          <w:szCs w:val="22"/>
        </w:rPr>
        <w:t>Etwa sechs Monate vor dem geplanten Abflug, wenn Rücklage, Wohnungssuche und Familienlage noch einmal einem Realitätscheck standhalten sollten.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Wert, der sich zwischen zwei Durchgängen deutlich verschlechtert – etwa weil die Rücklage durch unerwartete Kosten geschmolzen ist –, ist ein wichtigeres Signal als ein einzelner niedriger Wert beim ersten Ausfüllen. Das Raster ist ein lebendiges Werkzeug, kein einmaliger 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 er ersetzt keine rechtliche oder steuerliche Beratung, ist aber ein guter, gebührenfreier erster Schritt.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das Raster aus – wenn du nicht allein auswanderst, ausdrücklich gemeinsam mit allen, die mitziehen. Sprich offen über jede Zahl unter 3, statt sie zu übergehen. Am Ende zählt keine Gesamtpunktzahl, die du irgendwie erreichen oder verfehlen müsstest – ein solcher Schwellenwert wäre nur eine neue Version der widerlegten Scheiterquote vom Anfang dieses Kapitels. Was zählt: dass du für jedes Warnsignal einen nächsten Schritt kennst, bevor du dich endgültig festlegst.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diese Bestandsaufnahme ehrlich macht, geht nicht schwächer, sondern besser vorbereitet in die nächste Frage dieses Buches: Welches der vier Länder passt überhaupt zu dir?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Bewertungs-Raster ausgefüllt, wenn möglich gemeinsam mit Partner oder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Finanzielle Rücklage anhand der eigenen Zielort-Kosten kalkuliert, nicht anhand fremder Beispielsummen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Anerkennungsfähigkeit des eigenen Berufsabschlusses grob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Offenes Gespräch mit Partner und älteren Kindern über Zustimmung und Bedenken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Englisch-Niveau für Fachjargon und Behördengänge ehrlich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Ansätze für ein soziales Netz am möglichen Zielort gesucht (Online-Community, Kontakt über Arbeitgeber)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mit den unschönen Seiten des Ziellandes auseinandergesetzt, nicht nur mit Hochglanzbildern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Erstberatung (zum Beispiel Raphaelswerk) in Betracht gezogen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Raster nach einigen Wochen Recherche ein zweites Mal ausgefüllt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Fragenkatalog „Ich möchte aus Deutschland auswandern“ (</w:t>
      </w:r>
      <w:hyperlink r:id="rId11">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Checkliste für die Auswanderung, Basiswissen für den Schritt ins Ausland (</w:t>
      </w:r>
      <w:hyperlink r:id="rId12">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Raphaelswerk e. V. — Beratung Auswanderung, Auswanderungslotse (</w:t>
      </w:r>
      <w:hyperlink r:id="rId13">
        <w:r>
          <w:rPr>
            <w:rStyle w:val="ListLabel113"/>
            <w:rFonts w:eastAsia="Cambria" w:cs="Cambria"/>
            <w:b w:val="false"/>
            <w:bCs w:val="false"/>
            <w:i w:val="false"/>
            <w:iCs w:val="false"/>
            <w:color w:val="0563C1"/>
            <w:sz w:val="22"/>
            <w:szCs w:val="22"/>
            <w:u w:val="single"/>
          </w:rPr>
          <w:t>raphaelswerk.de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Harzing, A.-W. — The Persistent Myth of High Expatriate Failure Rates (</w:t>
      </w:r>
      <w:hyperlink r:id="rId14">
        <w:r>
          <w:rPr>
            <w:rStyle w:val="ListLabel113"/>
            <w:rFonts w:eastAsia="Cambria" w:cs="Cambria"/>
            <w:b w:val="false"/>
            <w:bCs w:val="false"/>
            <w:i w:val="false"/>
            <w:iCs w:val="false"/>
            <w:color w:val="0563C1"/>
            <w:sz w:val="22"/>
            <w:szCs w:val="22"/>
            <w:u w:val="single"/>
          </w:rPr>
          <w:t>harzing.com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IZA Institute of Labor Economics — Discussion Paper 17444 zur beruflichen Anerkennung (</w:t>
      </w:r>
      <w:hyperlink r:id="rId15">
        <w:r>
          <w:rPr>
            <w:rStyle w:val="ListLabel113"/>
            <w:rFonts w:eastAsia="Cambria" w:cs="Cambria"/>
            <w:b w:val="false"/>
            <w:bCs w:val="false"/>
            <w:i w:val="false"/>
            <w:iCs w:val="false"/>
            <w:color w:val="0563C1"/>
            <w:sz w:val="22"/>
            <w:szCs w:val="22"/>
            <w:u w:val="single"/>
          </w:rPr>
          <w:t>iza.org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 w:name="__RefHeading___Toc56424_3457424410"/>
      <w:bookmarkStart w:id="8" w:name="k2"/>
      <w:bookmarkEnd w:id="7"/>
      <w:r>
        <w:rPr>
          <w:rFonts w:eastAsia="Amazon Ember" w:cs="Amazon Ember" w:ascii="Amazon Ember" w:hAnsi="Amazon Ember"/>
          <w:b/>
          <w:bCs/>
          <w:color w:val="0000FF"/>
          <w:sz w:val="36"/>
          <w:szCs w:val="36"/>
        </w:rPr>
        <w:t>Kapitel 2: Welches Land passt zu dir?</w:t>
      </w:r>
      <w:bookmarkEnd w:id="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das Bewertungs-Raster aus dem vorigen Kapitel ausgefüllt, deine Familie steht hinter dem Plan, deine Rücklage ist kalkuliert – und trotzdem weißt du noch nicht, ob es die USA, Kanada, Australien oder Neuseeland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 und gibt dir ein Werkzeug an die Hand, deine eigenen Prioritäten systematisch dagegenzuhalten.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vier Länder unterscheiden sich stärker, als die gemeinsame Sprache Englisch vermuten lässt: Einwanderungssystem, Gesundheitssystem und Besteuerungsprinzip sind grundverschieden.</w:t>
            </w:r>
          </w:p>
          <w:p>
            <w:pPr>
              <w:pStyle w:val="ListParagraph"/>
              <w:numPr>
                <w:ilvl w:val="0"/>
                <w:numId w:val="1"/>
              </w:numPr>
              <w:spacing w:lineRule="exact" w:line="264" w:before="0" w:after="50"/>
              <w:rPr/>
            </w:pPr>
            <w:r>
              <w:rPr>
                <w:rFonts w:eastAsia="Cambria" w:cs="Cambria"/>
                <w:b w:val="false"/>
                <w:bCs w:val="false"/>
                <w:i w:val="false"/>
                <w:iCs w:val="false"/>
                <w:sz w:val="20"/>
                <w:szCs w:val="20"/>
              </w:rPr>
              <w:t>USA: Sponsoring durch den Arbeitgeber oder eine Lotterie, kein Punktesystem. Kanada, Australien und Neuseeland: Punktesysteme mit einer kalkulierbaren Mindestschwelle.</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steuerliche Kontrast: Die USA besteuern nach Staatsbürgerschaft weltweit, die anderen drei Länder nach Wohnsitz.</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gewichtete Scorecard am Ende dieses Kapitels ordnet deine persönlichen Prioritäten den vier Ländern zu.</w:t>
            </w:r>
          </w:p>
          <w:p>
            <w:pPr>
              <w:pStyle w:val="ListParagraph"/>
              <w:numPr>
                <w:ilvl w:val="0"/>
                <w:numId w:val="1"/>
              </w:numPr>
              <w:spacing w:lineRule="exact" w:line="264" w:before="0" w:after="50"/>
              <w:rPr/>
            </w:pPr>
            <w:r>
              <w:rPr>
                <w:rFonts w:eastAsia="Cambria" w:cs="Cambria"/>
                <w:b w:val="false"/>
                <w:bCs w:val="false"/>
                <w:i w:val="false"/>
                <w:iCs w:val="false"/>
                <w:sz w:val="20"/>
                <w:szCs w:val="20"/>
              </w:rPr>
              <w:t>Dieses Kapitel ist ein Startpunkt zur Eingrenzung, keine endgültige Entscheidung – für die Tiefe gehst du danach in den passenden Länder-Teil.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Vier Einwanderungssysteme, ein grundsätzlicher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 bei Kanada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mit seinem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bei Australien über die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xml:space="preserve"> mit ihren nummerierten Subclasses, bei Neuseeland über 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Neuseeland ergänzt das um die </w:t>
      </w:r>
      <w:r>
        <w:rPr>
          <w:rFonts w:eastAsia="Cambria" w:cs="Cambria"/>
          <w:b w:val="false"/>
          <w:bCs w:val="false"/>
          <w:i/>
          <w:iCs/>
          <w:sz w:val="22"/>
          <w:szCs w:val="22"/>
        </w:rPr>
        <w:t>Green List</w:t>
      </w:r>
      <w:r>
        <w:rPr>
          <w:rFonts w:eastAsia="Cambria" w:cs="Cambria"/>
          <w:b w:val="false"/>
          <w:bCs w:val="false"/>
          <w:i w:val="false"/>
          <w:iCs w:val="false"/>
          <w:sz w:val="22"/>
          <w:szCs w:val="22"/>
        </w:rPr>
        <w:t>, eine Mangelberufe-Liste, deren Angehörige unter bestimmten Voraussetzungen ganz ohne Punktesystem direkt einen Antrag auf Daueraufenthalt stellen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folgen einem grundsätzlich anderen Modell: kein allgemeines Scoring, sondern Sponsoring durch einen Arbeitgeber oder Familienangehörige, dazu separat die </w:t>
      </w:r>
      <w:r>
        <w:rPr>
          <w:rFonts w:eastAsia="Cambria" w:cs="Cambria"/>
          <w:b w:val="false"/>
          <w:bCs w:val="false"/>
          <w:i/>
          <w:iCs/>
          <w:sz w:val="22"/>
          <w:szCs w:val="22"/>
        </w:rPr>
        <w:t>Diversity Visa Lottery</w:t>
      </w:r>
      <w:r>
        <w:rPr>
          <w:rFonts w:eastAsia="Cambria" w:cs="Cambria"/>
          <w:b w:val="false"/>
          <w:bCs w:val="false"/>
          <w:i w:val="false"/>
          <w:iCs w:val="false"/>
          <w:sz w:val="22"/>
          <w:szCs w:val="22"/>
        </w:rPr>
        <w:t>, die für Deutschland in der Praxis kaum relevant ist. Die bekannteste Arbeitgeberkategorie, das H-1B-Visum, wird per Losverfahren unter allen Bewerbern vergeben, nicht nach Punkten – wer die formalen Voraussetzungen erfüllt, hat trotzdem keine Garantie auf eine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Leser mit einem klar kalkulierbaren Profil – gutem Sprachtest, anerkanntem Abschluss, relevanter Berufserfahrung – sind Kanada, Australien und Neuseeland tendenziell besser im Voraus einschätzbar als der US-Weg. Wer dagegen bereits ein konkretes Jobangebot eines US-Arbeitgebers hat, sollte sich davon nicht abschrecken lassen: Ein bestehendes Angebot verschiebt die Rechnung erheblich.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Punktesystem gegen Sponsoring</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lassen sich mit offiziellen Rechnern selbst simulieren, lange vor der Antragstellung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Mindestschwellen steigen mit der Nachfrage und sind nicht garantiert stabil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US-Sponsoring braucht keinen Mindest-Score, nur einen Arbeitgeber, der dich will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US-Lotterie bleibt Zufall, selbst bei optimaler Qualifikation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Jobangebot kann den gesamten US-Weg erheblich beschleunigen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belohnen vor allem junge, gut ausgebildete Einzelpersonen stärker als ältere Bewerber oder Familien mit nur einem Hauptverdiener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Familienangehörige haben in den USA einen eigenen, etablierten Weg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fehlender Score-Faktor (etwa das Alter) lässt sich bei Punktesystemen kaum kurzfristig ausgleichen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bis zum unbefristeten Aufenthaltstitel?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der Wartezeiten ist verlockend, aber mit Vorsicht zu genießen: Die vier Länder messen unterschiedliche Startpunkte. Die USA rechnen meist ab Beginn des Arbeitsmarktverfahrens, Kanada und Australien ab dem Zeitpunkt der Einladung zur Antragstellung – nicht ab dem ersten Eintrag in den Bewerber-Pool, der zusätzliche, kaum pauschal bezifferbare Zeit kosten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mit den gängigen beruflichen Kategorien liegen die groben Richtwerte (Stand September 2026) bei: USA über die Kategorien EB-1 oder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rund 1–2,5 Jahre, über EB-2 oder EB-3 mit vorgeschaltetem Arbeitsmarktverfahren eher 2,5–4,5 Jahre. Kanada bearbeitet Anträge nach Einladung in der Regel innerhalb von rund 6 Monaten, wobei die Wartezeit bis zur Einladung selbst vom eigenen Punktescore abhängt. Australien braucht bei der unabhängigen Kategorie in der Hälfte der Fälle rund 6 Monate, in 9 von 10 Fällen bis zu 15 Monate; bei der staatlich nominierten Variante meist etwas weniger, zuzüglich 4–14 Wochen für die Nominierung selbst. Neuseeland ist bei der regulären Kategorie mit rund 2–4 Monaten am schnellsten, bei der Green List rund 6–10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Zeiten ändern sich schnell und hängen stark von deiner konkreten Kategorie ab. Behandle sie als grobe Orientierung, nicht als Zusage – die aktuellen, verlässlichen Werte findest du im jeweiligen Länder-Teil und auf den offiziellen Behördenseiten.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den USA kommt eine zusätzliche Unsicherheit hinzu, die es bei den anderen drei Ländern so nicht gibt: Für einige Kategorien und Herkunftsländer legt der monatlich veröffentlichte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des Außenministeriums fest, ob überhaupt ein Antrag gestellt werden darf, unabhängig davon, wie weit dein eigenes Verfahren sonst fortgeschritten ist. Für Deutschland sind die gängigen Kategorien meist, aber nicht garantiert dauerhaft ohne Wartezeit offen – ein Rückschritt ist möglich und kommt gelegentlich vor. Dieser Punkt gehört, mit dem dann aktuellen Stand, ausführlich in den USA-Teil dieses Buches.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vier verschiedene Modelle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Bereich unterscheidet sich zwischen den vier Ländern so grundlegend wie die Gesundheitsversorgung –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 ein Teil der Bevölkerung bleibt schlicht unversichert. Wer in die USA zieht, muss sich aktiv und meist zügig selbst um Versicherungsschutz kümmern.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und Neuseeland liegen näher am deutschen Gefühl „automatisch abgesichert“: Beide haben ein universelles, steuerfinanziertes System – in Kanada von den Provinzen verwaltet, in Neuseeland zentral über die staatliche Gesundheitsbehörde. Allerdings deckt auch dieses System nicht alles ab: Zahnmedizin, Augenheilkunde und Medikamente sind in Kanada je nach Provinz nur teilweise erstattet. Australien betreibt ein Mischsystem aus dem universellen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für Kernleistungen und einer verbreiteten, aber optionalen privaten Zusatzversicherung – strukturell näher am deutschen Nebeneinander von gesetzlicher und privater Absicherung als die anderen drei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zu Wartezeiten, eventuellen zwischenstaatlichen Abkommen und den konkreten Kosten gehören in das Gesundheitskapitel des jeweiligen Länder-Teils – sie unterscheiden sich zu stark, um sie hier pauschal zusammenzufassen.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das für deine Entscheidung bedeutet, hängt stark davon ab, wie du selbst tickst. Wer Sicherheit durch ein automatisches, staatlich organisiertes System braucht und keine Lust auf eigene Versicherungsentscheidungen hat, fühlt sich in Kanada oder Neuseeland vermutlich schneller zu Hause. Wer ohnehin gewohnt ist, private Zusatzversicherungen selbst zu vergleichen, findet in Australien ein System, das dem deutschen erstaunlich ähnlich funktioniert. Und wer in die USA zieht, sollte die Krankenversicherung nicht als Nebensache, sondern als eigenständigen, zeitkritischen Programmpunkt direkt nach der Zusage behandeln – das Kapitel im USA-Teil zeigt, wie das konkret abläuft.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Steuerlast und das Besteuerungsprinzip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einen groben Belastungsvergleich eignet sich der Steuerkeil (englisch </w:t>
      </w:r>
      <w:r>
        <w:rPr>
          <w:rFonts w:eastAsia="Cambria" w:cs="Cambria"/>
          <w:b w:val="false"/>
          <w:bCs w:val="false"/>
          <w:i/>
          <w:iCs/>
          <w:sz w:val="22"/>
          <w:szCs w:val="22"/>
        </w:rPr>
        <w:t>Tax Wedge</w:t>
      </w:r>
      <w:r>
        <w:rPr>
          <w:rFonts w:eastAsia="Cambria" w:cs="Cambria"/>
          <w:b w:val="false"/>
          <w:bCs w:val="false"/>
          <w:i w:val="false"/>
          <w:iCs w:val="false"/>
          <w:sz w:val="22"/>
          <w:szCs w:val="22"/>
        </w:rPr>
        <w:t xml:space="preserve">) der OECD am besten: Er addiert Einkommensteuer sowie Arbeitnehmer- und Arbeitgeber-Sozialabgaben abzüglich Familienleistungen und setzt sie ins Verhältnis zu den gesamten Arbeitskosten, für eine kinderlose Einzelperson beim Durchschnittslohn. Nach der OECD-Publikation </w:t>
      </w:r>
      <w:r>
        <w:rPr>
          <w:rFonts w:eastAsia="Cambria" w:cs="Cambria"/>
          <w:b w:val="false"/>
          <w:bCs w:val="false"/>
          <w:i/>
          <w:iCs/>
          <w:sz w:val="22"/>
          <w:szCs w:val="22"/>
        </w:rPr>
        <w:t>Taxing Wages</w:t>
      </w:r>
      <w:r>
        <w:rPr>
          <w:rFonts w:eastAsia="Cambria" w:cs="Cambria"/>
          <w:b w:val="false"/>
          <w:bCs w:val="false"/>
          <w:i w:val="false"/>
          <w:iCs w:val="false"/>
          <w:sz w:val="22"/>
          <w:szCs w:val="22"/>
        </w:rPr>
        <w:t xml:space="preserve"> liegen die USA bei 30,1 %, Kanada bei 32,0 % und Australien bei 29,6 % (jeweils 2024), Neuseeland mit 18,5 % (2025) deutlich darunter – zum Vergleich: Deutschland liegt bei 49,3 % (2025), der OECD-Durchschnitt bei 35,1 %. Neuseeland hat damit die mit Abstand niedrigste Gesamt-Abgabenlast der vier Länder, was du aber immer zusammen mit dem Leistungsumfang bei Rente und Gesundheit betrachten solltest, nicht isoliert als „billigstes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Höhe ist für viele Auswanderer ein strukturelles Detail, das leicht übersehen wird: das Besteuerungsprinzip selbst. Kanada, Australien und Neuseeland besteuern nach dem Wohnsitzprinzip (</w:t>
      </w:r>
      <w:r>
        <w:rPr>
          <w:rFonts w:eastAsia="Cambria" w:cs="Cambria"/>
          <w:b w:val="false"/>
          <w:bCs w:val="false"/>
          <w:i/>
          <w:iCs/>
          <w:sz w:val="22"/>
          <w:szCs w:val="22"/>
        </w:rPr>
        <w:t>residence-based taxation</w:t>
      </w:r>
      <w:r>
        <w:rPr>
          <w:rFonts w:eastAsia="Cambria" w:cs="Cambria"/>
          <w:b w:val="false"/>
          <w:bCs w:val="false"/>
          <w:i w:val="false"/>
          <w:iCs w:val="false"/>
          <w:sz w:val="22"/>
          <w:szCs w:val="22"/>
        </w:rPr>
        <w:t>): Wer dort keinen Wohnsitz mehr hat, ist grundsätzlich auch nicht mehr steuerpflichtig gegenüber diesem Land, unabhängig vom Pass. Die USA dagegen besteuern nach dem Staatsbürgerschaftsprinzip (</w:t>
      </w:r>
      <w:r>
        <w:rPr>
          <w:rFonts w:eastAsia="Cambria" w:cs="Cambria"/>
          <w:b w:val="false"/>
          <w:bCs w:val="false"/>
          <w:i/>
          <w:iCs/>
          <w:sz w:val="22"/>
          <w:szCs w:val="22"/>
        </w:rPr>
        <w:t>citizenship-based taxation</w:t>
      </w:r>
      <w:r>
        <w:rPr>
          <w:rFonts w:eastAsia="Cambria" w:cs="Cambria"/>
          <w:b w:val="false"/>
          <w:bCs w:val="false"/>
          <w:i w:val="false"/>
          <w:iCs w:val="false"/>
          <w:sz w:val="22"/>
          <w:szCs w:val="22"/>
        </w:rPr>
        <w:t>) – das gilt nicht nur für US-Staatsbürger, sondern auch für Inhaber der Green Card. Diese Pflicht gegenüber der US-Steuerbehörde IRS bleibt bestehen, selbst wenn du längst wieder in Deutschland oder einem Drittland lebst, und endet erst mit einem formellen Verzicht auf Staatsbürgerschaft oder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die USA nach Jahren wieder verlässt, sei damit automatisch aus der US-Steuerpflicht heraus. Tatsächlich bleibt sie bestehen, bis der Status formell aufgegeben wird – ein Verfahren mit eigenen Gebühren und eigenem Papierkram, das der USA-Teil dieses Buches im Detail behandelt.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Nur die USA besteuern unter den vier Zielländern nach Staatsbürgerschaft, nicht nach Wohnsitz. Wer offenhalten will, eines Tages zurück nach Deutschland zu ziehen, sollte diesen Unterschied früh verstehen, nicht erst beim ersten Steuerbescheid nach der Rückkehr.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und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häufig genutzter, wenn auch nicht amtlicher Anhaltspunkt für Lebenshaltungskosten ist der Index des Portals Numbeo, der auf nutzergenerierten Preisangaben beruht und New York als Referenzwert 100 setzt. Im Länderdurchschnitt liegen die USA bei 69,7 (plus Miete 54,8), Australien bei 71,4 (53,9), Kanada bei 61,3 (46,6) und Neuseeland bei 60,2 (43,9) – zum Vergleich Deutschland bei 68,0 (47,0).</w:t>
      </w:r>
    </w:p>
    <w:tbl>
      <w:tblPr>
        <w:tblW w:w="6480" w:type="dxa"/>
        <w:jc w:val="left"/>
        <w:tblInd w:w="0" w:type="dxa"/>
        <w:tblLayout w:type="fixed"/>
        <w:tblCellMar>
          <w:top w:w="50" w:type="dxa"/>
          <w:left w:w="80" w:type="dxa"/>
          <w:bottom w:w="50" w:type="dxa"/>
          <w:right w:w="80" w:type="dxa"/>
        </w:tblCellMar>
      </w:tblPr>
      <w:tblGrid>
        <w:gridCol w:w="2036"/>
        <w:gridCol w:w="3254"/>
        <w:gridCol w:w="1190"/>
      </w:tblGrid>
      <w:tr>
        <w:trPr>
          <w:tblHeader w:val="true"/>
          <w:cantSplit w:val="true"/>
        </w:trPr>
        <w:tc>
          <w:tcPr>
            <w:tcW w:w="20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Land</w:t>
            </w:r>
          </w:p>
        </w:tc>
        <w:tc>
          <w:tcPr>
            <w:tcW w:w="32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Cost-of-Living-Index (NY = 100)</w:t>
            </w:r>
          </w:p>
        </w:tc>
        <w:tc>
          <w:tcPr>
            <w:tcW w:w="11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 Miete</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69,7</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54,8</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71,4</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53,9</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(Vergleich)</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68,0</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47,0</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61,3</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46,6</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60,2</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Länderdurchschnitte verdecken allerdings enorme Unterschiede zwischen einzelnen Städten. New York und San Francisco gehören zu den teuersten Orten der Welt, während Städte wie Houston oder Austin deutlich günstiger sind; Toronto und Vancouver liegen etwa auf deutschem Großstadtniveau, Auckland und Wellington eher darunter. Die Wahl der Stadt innerhalb eines Landes wirkt auf dein verfügbares Einkommen oft stärker als die Wahl zwischen den vier Ländern selbst – ein Punkt, den die jeweiligen Länder-Teile mit konkreten Städten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Numbeo-Werte stammen aus nutzergenerierten Umfragedaten, nicht aus amtlicher Statistik. Nutze sie als Orientierung für die Größenordnung, nicht als exakte Rechengrundlage für deinen persönlichen Finanzplan.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Distanz, Flugzeit und Zeitverschiebung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bei der Entscheidung leicht untergeht, weil er sich nicht in eine Tabelle mit Gehältern und Steuern packen lässt: wie weit weg du tatsächlich sein wirst. Kanada liegt von den drei neuen Zielländern am nächsten an Deutschland –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verstärkt diesen Effekt zusätzlich: Die USA und Kanada liegen, je nach Zeitzone, 6–9 Stunden hinter Deutschland zurück – ein Telefonat am Feierabend ist dort noch früher Nachmittag. Australien liegt 8–9 Stunden voraus, Neuseeland sogar 11–12 Stunden voraus – nahezu eine vollständige Tag-Nacht-Umkehr. Für spontane Videoanrufe mit Eltern oder Geschwistern in Deutschland, für kurzfristige Heimflüge im Notfall oder für den x-ten verpassten Geburtstag ist das ein Unterschied, der sich erst im Alltag zeigt, aber schwer wiegt – überlege dir ehrlich, wie wichtig dir kurzfristige Erreichbarkeit ist, bevor du dich für ein Land auf der anderen Seite der Erde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und Landschaft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Klima gibt es kein objektiv „besseres“ Land, nur die Frage, was zu dir passt. Die USA bieten auf einer einzigen Landmasse fast jedes Klima der Welt, von subtropisch im Südosten über trockene Wüste im Südwesten bis kontinental-kalt im Norden –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 dort, wo die meisten Einwanderer tatsächlich leben, an den Küsten um Sydney, Melbourne und Perth,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denn sowohl die neuseeländische Nordinsel als auch weite Teile Kanadas sind selbst dafür bekannt, ziemlich viel Regen abzubekommen.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groß ist die deutsche Community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weicher, aber für viele Auswanderer spürbarer Faktor ist, wie viele Deutsche bereits im Zielland leben – als möglicher Anknüpfungspunkt für die ersten Monate, nicht als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 ältere Erhebungen und kursierende Schätzungen widersprechen sich zu stark, um zitiert zu werden. Nimm diesen Punkt als groben Anhaltspunkt, nicht als entscheidendes Kriterium: Eine große deutsche Community vor Ort kann den Einstieg erleichtern, ersetzt aber weder eigene Sprachkenntnisse noch echte Freundschaften mit Menschen aus dem Zielland.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eine gute Nachricht vorweg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Punkt, der viele Leser beunruhigt, bevor sie ihn recherchiert haben, lässt sich schnell klären: Seit der Reform des deutschen Staatsangehörigkeitsrechts im Juni 2024 führt eine Einbürgerung in den USA, Kanada, Australien oder Neuseeland nicht mehr automatisch zum Verlust der deutschen Staatsangehörigkeit, und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gewichtete Vergleichs-Scorecard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übersetzt die wichtigsten Unterschiede aus diesem Kapitel in eine Punktzahl von 1 (ungünstig) bis 5 (günstig) je Land – eine vereinfachte, eigene Einordnung der oben genannten Fakten, kein amtliches Ranking. Trage zuerst in die zweite Spalte ein, wie wichtig dir jedes Kriterium persönlich ist (1 = unwichtig, 5 = entscheidend). Multipliziere diese Gewichtung anschließend für jedes Land mit dem jeweiligen Punktwert aus der dritten Spalte und trage die vier Ergebnisse in die letzte Spalte ein. Bei der Klimazeile gibt es bewusst keine vorgegebenen Punkte – trage dort ein, was deiner eigenen Präferenz entspricht.</w:t>
      </w:r>
    </w:p>
    <w:tbl>
      <w:tblPr>
        <w:tblW w:w="6480" w:type="dxa"/>
        <w:jc w:val="left"/>
        <w:tblInd w:w="0" w:type="dxa"/>
        <w:tblLayout w:type="fixed"/>
        <w:tblCellMar>
          <w:top w:w="50" w:type="dxa"/>
          <w:left w:w="80" w:type="dxa"/>
          <w:bottom w:w="50" w:type="dxa"/>
          <w:right w:w="80" w:type="dxa"/>
        </w:tblCellMar>
      </w:tblPr>
      <w:tblGrid>
        <w:gridCol w:w="2472"/>
        <w:gridCol w:w="1233"/>
        <w:gridCol w:w="1438"/>
        <w:gridCol w:w="1336"/>
      </w:tblGrid>
      <w:tr>
        <w:trPr>
          <w:tblHeader w:val="true"/>
          <w:cantSplit w:val="true"/>
        </w:trPr>
        <w:tc>
          <w:tcPr>
            <w:tcW w:w="24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12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Gewichtung (1–5)</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Punkte je Land (USA / Kanada / Australien / Neuseeland)</w:t>
            </w:r>
          </w:p>
        </w:tc>
        <w:tc>
          <w:tcPr>
            <w:tcW w:w="13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 Ergebnis (Gewichtung × Punkte)</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Planbarkeit des Einwanderungswegs</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2</w:t>
            </w:r>
            <w:r>
              <w:rPr>
                <w:sz w:val="18"/>
                <w:szCs w:val="18"/>
              </w:rPr>
              <w:br/>
            </w:r>
            <w:r>
              <w:rPr>
                <w:rFonts w:eastAsia="Cambria" w:cs="Cambria"/>
                <w:b w:val="false"/>
                <w:bCs w:val="false"/>
                <w:i w:val="false"/>
                <w:iCs w:val="false"/>
                <w:sz w:val="18"/>
                <w:szCs w:val="18"/>
              </w:rPr>
              <w:t>Kanada 5</w:t>
            </w:r>
            <w:r>
              <w:rPr>
                <w:sz w:val="18"/>
                <w:szCs w:val="18"/>
              </w:rPr>
              <w:br/>
            </w:r>
            <w:r>
              <w:rPr>
                <w:rFonts w:eastAsia="Cambria" w:cs="Cambria"/>
                <w:b w:val="false"/>
                <w:bCs w:val="false"/>
                <w:i w:val="false"/>
                <w:iCs w:val="false"/>
                <w:sz w:val="18"/>
                <w:szCs w:val="18"/>
              </w:rPr>
              <w:t>Australien 4</w:t>
            </w:r>
            <w:r>
              <w:rPr>
                <w:sz w:val="18"/>
                <w:szCs w:val="18"/>
              </w:rPr>
              <w:br/>
            </w:r>
            <w:r>
              <w:rPr>
                <w:rFonts w:eastAsia="Cambria" w:cs="Cambria"/>
                <w:b w:val="false"/>
                <w:bCs w:val="false"/>
                <w:i w:val="false"/>
                <w:iCs w:val="false"/>
                <w:sz w:val="18"/>
                <w:szCs w:val="18"/>
              </w:rPr>
              <w:t>Neuseeland 4</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Geschwindigkeit bis zum unbefristeten Titel</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2</w:t>
            </w:r>
            <w:r>
              <w:rPr>
                <w:sz w:val="18"/>
                <w:szCs w:val="18"/>
              </w:rPr>
              <w:br/>
            </w:r>
            <w:r>
              <w:rPr>
                <w:rFonts w:eastAsia="Cambria" w:cs="Cambria"/>
                <w:b w:val="false"/>
                <w:bCs w:val="false"/>
                <w:i w:val="false"/>
                <w:iCs w:val="false"/>
                <w:sz w:val="18"/>
                <w:szCs w:val="18"/>
              </w:rPr>
              <w:t>Kanada 4</w:t>
            </w:r>
            <w:r>
              <w:rPr>
                <w:sz w:val="18"/>
                <w:szCs w:val="18"/>
              </w:rPr>
              <w:br/>
            </w:r>
            <w:r>
              <w:rPr>
                <w:rFonts w:eastAsia="Cambria" w:cs="Cambria"/>
                <w:b w:val="false"/>
                <w:bCs w:val="false"/>
                <w:i w:val="false"/>
                <w:iCs w:val="false"/>
                <w:sz w:val="18"/>
                <w:szCs w:val="18"/>
              </w:rPr>
              <w:t>Australien 4</w:t>
            </w:r>
            <w:r>
              <w:rPr>
                <w:sz w:val="18"/>
                <w:szCs w:val="18"/>
              </w:rPr>
              <w:br/>
            </w:r>
            <w:r>
              <w:rPr>
                <w:rFonts w:eastAsia="Cambria" w:cs="Cambria"/>
                <w:b w:val="false"/>
                <w:bCs w:val="false"/>
                <w:i w:val="false"/>
                <w:iCs w:val="false"/>
                <w:sz w:val="18"/>
                <w:szCs w:val="18"/>
              </w:rPr>
              <w:t>Neuseeland 5</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Automatische Gesundheitsabsicherung</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1</w:t>
            </w:r>
            <w:r>
              <w:rPr>
                <w:sz w:val="18"/>
                <w:szCs w:val="18"/>
              </w:rPr>
              <w:br/>
            </w:r>
            <w:r>
              <w:rPr>
                <w:rFonts w:eastAsia="Cambria" w:cs="Cambria"/>
                <w:b w:val="false"/>
                <w:bCs w:val="false"/>
                <w:i w:val="false"/>
                <w:iCs w:val="false"/>
                <w:sz w:val="18"/>
                <w:szCs w:val="18"/>
              </w:rPr>
              <w:t>Kanada 5</w:t>
            </w:r>
            <w:r>
              <w:rPr>
                <w:sz w:val="18"/>
                <w:szCs w:val="18"/>
              </w:rPr>
              <w:br/>
            </w:r>
            <w:r>
              <w:rPr>
                <w:rFonts w:eastAsia="Cambria" w:cs="Cambria"/>
                <w:b w:val="false"/>
                <w:bCs w:val="false"/>
                <w:i w:val="false"/>
                <w:iCs w:val="false"/>
                <w:sz w:val="18"/>
                <w:szCs w:val="18"/>
              </w:rPr>
              <w:t>Australien 4</w:t>
            </w:r>
            <w:r>
              <w:rPr>
                <w:sz w:val="18"/>
                <w:szCs w:val="18"/>
              </w:rPr>
              <w:br/>
            </w:r>
            <w:r>
              <w:rPr>
                <w:rFonts w:eastAsia="Cambria" w:cs="Cambria"/>
                <w:b w:val="false"/>
                <w:bCs w:val="false"/>
                <w:i w:val="false"/>
                <w:iCs w:val="false"/>
                <w:sz w:val="18"/>
                <w:szCs w:val="18"/>
              </w:rPr>
              <w:t>Neuseeland 5</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und Abgabenlast</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3</w:t>
            </w:r>
            <w:r>
              <w:rPr>
                <w:sz w:val="18"/>
                <w:szCs w:val="18"/>
              </w:rPr>
              <w:br/>
            </w:r>
            <w:r>
              <w:rPr>
                <w:rFonts w:eastAsia="Cambria" w:cs="Cambria"/>
                <w:b w:val="false"/>
                <w:bCs w:val="false"/>
                <w:i w:val="false"/>
                <w:iCs w:val="false"/>
                <w:sz w:val="18"/>
                <w:szCs w:val="18"/>
              </w:rPr>
              <w:t>Kanada 2</w:t>
            </w:r>
            <w:r>
              <w:rPr>
                <w:sz w:val="18"/>
                <w:szCs w:val="18"/>
              </w:rPr>
              <w:br/>
            </w:r>
            <w:r>
              <w:rPr>
                <w:rFonts w:eastAsia="Cambria" w:cs="Cambria"/>
                <w:b w:val="false"/>
                <w:bCs w:val="false"/>
                <w:i w:val="false"/>
                <w:iCs w:val="false"/>
                <w:sz w:val="18"/>
                <w:szCs w:val="18"/>
              </w:rPr>
              <w:t>Australien 4</w:t>
            </w:r>
            <w:r>
              <w:rPr>
                <w:sz w:val="18"/>
                <w:szCs w:val="18"/>
              </w:rPr>
              <w:br/>
            </w:r>
            <w:r>
              <w:rPr>
                <w:rFonts w:eastAsia="Cambria" w:cs="Cambria"/>
                <w:b w:val="false"/>
                <w:bCs w:val="false"/>
                <w:i w:val="false"/>
                <w:iCs w:val="false"/>
                <w:sz w:val="18"/>
                <w:szCs w:val="18"/>
              </w:rPr>
              <w:t>Neuseeland 5</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Lebenshaltungskosten</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2</w:t>
            </w:r>
            <w:r>
              <w:rPr>
                <w:sz w:val="18"/>
                <w:szCs w:val="18"/>
              </w:rPr>
              <w:br/>
            </w:r>
            <w:r>
              <w:rPr>
                <w:rFonts w:eastAsia="Cambria" w:cs="Cambria"/>
                <w:b w:val="false"/>
                <w:bCs w:val="false"/>
                <w:i w:val="false"/>
                <w:iCs w:val="false"/>
                <w:sz w:val="18"/>
                <w:szCs w:val="18"/>
              </w:rPr>
              <w:t>Kanada 4</w:t>
            </w:r>
            <w:r>
              <w:rPr>
                <w:sz w:val="18"/>
                <w:szCs w:val="18"/>
              </w:rPr>
              <w:br/>
            </w:r>
            <w:r>
              <w:rPr>
                <w:rFonts w:eastAsia="Cambria" w:cs="Cambria"/>
                <w:b w:val="false"/>
                <w:bCs w:val="false"/>
                <w:i w:val="false"/>
                <w:iCs w:val="false"/>
                <w:sz w:val="18"/>
                <w:szCs w:val="18"/>
              </w:rPr>
              <w:t>Australien 1</w:t>
            </w:r>
            <w:r>
              <w:rPr>
                <w:sz w:val="18"/>
                <w:szCs w:val="18"/>
              </w:rPr>
              <w:br/>
            </w:r>
            <w:r>
              <w:rPr>
                <w:rFonts w:eastAsia="Cambria" w:cs="Cambria"/>
                <w:b w:val="false"/>
                <w:bCs w:val="false"/>
                <w:i w:val="false"/>
                <w:iCs w:val="false"/>
                <w:sz w:val="18"/>
                <w:szCs w:val="18"/>
              </w:rPr>
              <w:t>Neuseeland 5</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Nähe zu Deutschland (Flugzeit)</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4</w:t>
            </w:r>
            <w:r>
              <w:rPr>
                <w:sz w:val="18"/>
                <w:szCs w:val="18"/>
              </w:rPr>
              <w:br/>
            </w:r>
            <w:r>
              <w:rPr>
                <w:rFonts w:eastAsia="Cambria" w:cs="Cambria"/>
                <w:b w:val="false"/>
                <w:bCs w:val="false"/>
                <w:i w:val="false"/>
                <w:iCs w:val="false"/>
                <w:sz w:val="18"/>
                <w:szCs w:val="18"/>
              </w:rPr>
              <w:t>Kanada 5</w:t>
            </w:r>
            <w:r>
              <w:rPr>
                <w:sz w:val="18"/>
                <w:szCs w:val="18"/>
              </w:rPr>
              <w:br/>
            </w:r>
            <w:r>
              <w:rPr>
                <w:rFonts w:eastAsia="Cambria" w:cs="Cambria"/>
                <w:b w:val="false"/>
                <w:bCs w:val="false"/>
                <w:i w:val="false"/>
                <w:iCs w:val="false"/>
                <w:sz w:val="18"/>
                <w:szCs w:val="18"/>
              </w:rPr>
              <w:t>Australien 2</w:t>
            </w:r>
            <w:r>
              <w:rPr>
                <w:sz w:val="18"/>
                <w:szCs w:val="18"/>
              </w:rPr>
              <w:br/>
            </w:r>
            <w:r>
              <w:rPr>
                <w:rFonts w:eastAsia="Cambria" w:cs="Cambria"/>
                <w:b w:val="false"/>
                <w:bCs w:val="false"/>
                <w:i w:val="false"/>
                <w:iCs w:val="false"/>
                <w:sz w:val="18"/>
                <w:szCs w:val="18"/>
              </w:rPr>
              <w:t>Neuseeland 1</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r>
        <w:trPr>
          <w:cantSplit w:val="true"/>
        </w:trPr>
        <w:tc>
          <w:tcPr>
            <w:tcW w:w="2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 nach eigener Präferenz</w:t>
            </w:r>
          </w:p>
        </w:tc>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eigener Einschätzung eintragen</w:t>
            </w:r>
          </w:p>
        </w:tc>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r>
              <w:rPr>
                <w:sz w:val="18"/>
                <w:szCs w:val="18"/>
              </w:rPr>
              <w:br/>
            </w:r>
            <w:r>
              <w:rPr>
                <w:rFonts w:eastAsia="Cambria" w:cs="Cambria"/>
                <w:b w:val="false"/>
                <w:bCs w:val="false"/>
                <w:i w:val="false"/>
                <w:iCs w:val="false"/>
                <w:sz w:val="18"/>
                <w:szCs w:val="18"/>
              </w:rPr>
              <w:t>Kanada:</w:t>
            </w:r>
            <w:r>
              <w:rPr>
                <w:sz w:val="18"/>
                <w:szCs w:val="18"/>
              </w:rPr>
              <w:br/>
            </w:r>
            <w:r>
              <w:rPr>
                <w:rFonts w:eastAsia="Cambria" w:cs="Cambria"/>
                <w:b w:val="false"/>
                <w:bCs w:val="false"/>
                <w:i w:val="false"/>
                <w:iCs w:val="false"/>
                <w:sz w:val="18"/>
                <w:szCs w:val="18"/>
              </w:rPr>
              <w:t>Australien:</w:t>
            </w:r>
            <w:r>
              <w:rPr>
                <w:sz w:val="18"/>
                <w:szCs w:val="18"/>
              </w:rPr>
              <w:br/>
            </w:r>
            <w:r>
              <w:rPr>
                <w:rFonts w:eastAsia="Cambria" w:cs="Cambria"/>
                <w:b w:val="false"/>
                <w:bCs w:val="false"/>
                <w:i w:val="false"/>
                <w:iCs w:val="false"/>
                <w:sz w:val="18"/>
                <w:szCs w:val="18"/>
              </w:rPr>
              <w:t>Neuseeland: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Addiere am Ende jede der vier Spalten getrennt für USA, Kanada, Australien und Neuseeland. Auf Papier oder in einer Tabellenkalkulation hast du mehr Platz als diese Buchseite; ergänze dort gern weitere eigene Kriterien, etwa ein bestehendes Jobangebot, Familie oder Freunde vor Ort oder eine bestimmte Berufschance, die diese allgemeine Übersicht nicht abbilden kann. Das Land mit der höchsten Summe verdient eine genauere Prüfung zuerst – es ist damit noch keine endgültige Entscheidung, sondern eine begründete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könnte das in der Praxis aussehen: Wer als Gewichtung die automatische Gesundheitsabsicherung und die Nähe zu Deutschland jeweils mit 5 versieht, alles andere aber nur mit 2 oder 3, landet am Ende bei Kanada – dort punkten beide hoch gewichteten Kriterien gleichzeitig. Wer dagegen vor allem auf niedrige Steuer- und Abgabenlast und niedrige Lebenshaltungskosten Wert legt und die Entfernung niedrig gewichtet, weil ohnehin nur einmal im Jahr geflogen werden soll, landet eher bei Neuseeland. Und wer die Geschwindigkeit bis zum unbefristeten Titel hoch gewichtet, weil zum Beispiel schon ein befristeter Vertrag im Zielland tickt, wird die USA in dieser Übersicht tendenziell hintenanstellen – es sei denn, ein konkretes Jobangebot verändert die Rechnung, wie oben beim Einwanderungssystem beschrieben.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du dich zwischen zwei Ländern nicht entscheiden kannst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Landen am Ende zwei Länder mit einer sehr ähnlichen Summe nebeneinander, ist das kein Rechenfehler, sondern ein ehrliches Ergebnis: Beide passen ungefähr gleich gut zu deinen Prioritäten, zumindest auf dieser groben Ebene. In diesem Fall helfen drei Fragen weiter, die keine Tabelle beantworten kann. Erstens: Bei welchem der beiden Länder-Teile in diesem Buch fällt dir beim Lesen ein konkreterer, realistischerer nächster Schritt ein – ein Formular, eine Stadt, ein Ansprechpartner? Zweitens: Kennst du bereits jemanden, der in einem der beiden Länder lebt und mit dem du einmal ehrlich sprechen könntest, bevor du dich festlegst? Drittens: Welches der beiden Ergebnisse überrascht dich mehr – und was sagt diese Überraschung über eine Priorität aus, die du in der Scorecard vielleicht zu niedrig gewichtet hast? Ein Unentschieden ist selten ein Zeichen dafür, dass die Entscheidung unmöglich ist; meistens zeigt es nur, dass ein Kriterium fehlt, das dir wichtiger ist, als du zunächst dachtest. Manchmal löst sich ein scheinbares Patt auch von selbst, sobald ein einzelner, sehr persönlicher Punkt dazukommt, den keine Tabelle vorwegnehmen kann – ein Jobangebot, das nur in einem der beiden Länder auf dem Tisch liegt, oder die Erkenntnis, dass eines der beiden Länder für deinen Beruf ein deutlich einfacheres Anerkennungsverfahren hat als das andere.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dieser Vergleich nicht ersetzt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Scorecard ist bewusst grob. Sie kann kein konkretes Jobangebot, keine bereits dort lebende Familie und keine sehr persönliche Präferenz ersetzen, die sich in keiner Tabelle abbilden lässt. Sie ist ein Startpunkt zur Eingrenzung auf ein oder zwei Favoriten – nicht das letzte Wort. Sobald du eine Vorauswahl getroffen hast, lohnt sich die volle Tiefe des jeweiligen Länder-Teils: konkrete Visumswege, Städte, Kosten und die typischen Fallen, die diese Übersicht nicht zeigen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Nimm dir für das Ausfüllen bewusst Zeit und mach es nicht nebenbei am Handy. Die Gewichtung in der zweiten Spalte ist der eigentlich schwierige Teil dieser Übung, nicht die Multiplikation danach: Die meisten Menschen haben ein diffuses Gefühl, dass ihnen „irgendwie alles wichtig“ ist, bis sie gezwungen werden, Prioritäten tatsächlich gegeneinander abzuwägen. Wenn du mit Partner oder Familie ausfüllst, lohnt es sich, die Gewichtung zunächst getrennt vorzunehmen und die Ergebnisse erst danach zu vergleichen – große Abweichungen bei einzelnen Kriterien sind oft aufschlussreicher als die fertige Summe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Prioritäten in der Scorecard gewichtet (1–5 je Kriterium)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vier Länder-Ergebnisse ausgerechnet und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hier nicht abgebildete Kriterien ergänzt (Jobangebot, Familie, Freunde vor Ort)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Besteuerungsprinzip des jeweiligen Favoriten verstanden, besonders bei den USA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bis zwei Favoriten festgelegt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Entsprechenden Länder-Teil dieses Buches vollständig gelesen, bevor eine Entscheidung 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1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Gesetze im Internet, Staatsangehörigkeitsgesetz (</w:t>
      </w:r>
      <w:hyperlink r:id="rId17">
        <w:r>
          <w:rPr>
            <w:rStyle w:val="ListLabel113"/>
            <w:rFonts w:eastAsia="Cambria" w:cs="Cambria"/>
            <w:b w:val="false"/>
            <w:bCs w:val="false"/>
            <w:i w:val="false"/>
            <w:iCs w:val="false"/>
            <w:color w:val="0563C1"/>
            <w:sz w:val="22"/>
            <w:szCs w:val="22"/>
            <w:u w:val="single"/>
          </w:rPr>
          <w:t>gesetze-im-internet.de/stag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 Express Entry (</w:t>
      </w:r>
      <w:hyperlink r:id="rId18">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Australien — General Skilled Migration (</w:t>
      </w:r>
      <w:hyperlink r:id="rId1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Green List (</w:t>
      </w:r>
      <w:hyperlink r:id="rId2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Cost of Living Rankings (</w:t>
      </w:r>
      <w:hyperlink r:id="rId21">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tc>
      </w:tr>
    </w:tbl>
    <w:p>
      <w:pPr>
        <w:sectPr>
          <w:footerReference w:type="even" r:id="rId22"/>
          <w:footerReference w:type="default" r:id="rId23"/>
          <w:footerReference w:type="first" r:id="rId24"/>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 w:name="__RefHeading___Toc56426_3457424410"/>
      <w:bookmarkEnd w:id="9"/>
      <w:r>
        <w:rPr>
          <w:rFonts w:eastAsia="Amazon Ember" w:cs="Amazon Ember" w:ascii="Amazon Ember" w:hAnsi="Amazon Ember"/>
          <w:b/>
          <w:bCs/>
          <w:color w:val="0000FF"/>
        </w:rPr>
        <w:t>TEIL I — Die Entscheidung</w:t>
      </w:r>
    </w:p>
    <w:p>
      <w:pPr>
        <w:sectPr>
          <w:footerReference w:type="even" r:id="rId25"/>
          <w:footerReference w:type="default" r:id="rId26"/>
          <w:footerReference w:type="first" r:id="rId27"/>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Bevor du Kisten packst, rechnest du. Dieser Teil zeigt beide Seiten der Medaille, die häufigsten Fallen und einen Weg, mit Zahlen statt Bauchgefühl zu entscheiden.</w:t>
      </w:r>
      <w:r>
        <w:br w:type="page"/>
      </w:r>
    </w:p>
    <w:p>
      <w:pPr>
        <w:pStyle w:val="Heading2"/>
        <w:keepNext w:val="true"/>
        <w:spacing w:lineRule="exact" w:line="340" w:before="0" w:after="300"/>
        <w:jc w:val="center"/>
        <w:rPr/>
      </w:pPr>
      <w:bookmarkStart w:id="10" w:name="__RefHeading___Toc56428_3457424410"/>
      <w:bookmarkStart w:id="11" w:name="k1_Copy_1"/>
      <w:bookmarkEnd w:id="10"/>
      <w:r>
        <w:rPr>
          <w:rFonts w:eastAsia="Amazon Ember" w:cs="Amazon Ember" w:ascii="Amazon Ember" w:hAnsi="Amazon Ember"/>
          <w:b/>
          <w:bCs/>
          <w:color w:val="0000FF"/>
          <w:sz w:val="36"/>
          <w:szCs w:val="36"/>
        </w:rPr>
        <w:t>Kapitel 1: Die ehrliche Bilanz: Was für die USA spricht und was dagegen</w:t>
      </w:r>
      <w:bookmarkEnd w:id="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Offer Letter aus Michigan, daneben ein Blatt Papier mit zwei Spalten: dafür, dagegen. Das Jahresgehalt sieht auf den ersten Blick nach dem Doppelten des deutschen Gehalts aus – bis die zweite Spalte wächst: Krankenversicherung, Kündigungsschutz, Urlaubstage, die Entfernung zu den Eltern. Genau diese Rechnung macht dieses Kapitel, Thema für Thema, ohne Werbesprache und ohne Abschreckung.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USA bieten oft deutlich höhere Brutto- und Nettogehälter, aber ohne das deutsche soziale Netz: kein Kündigungsschutz, kaum gesetzlicher Urlaub, Krankenversicherung hängt am Job.</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immer netto nach Steuern, Krankenversicherungsprämie und Wohnkosten – nicht das Bruttogehalt vergleichen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einem Arbeitgeber-Visum hängen Einkommen, Krankenversicherung und Aufenthaltsstatus am selben Arbeitgeber: Ein Jobverlust trifft mehrere Fristen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Zugezogene die Verlässlichkeit des deutschen Sozialstaats sowie echte, tief gewachsene Freundschaften und die Nähe zur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Am meisten profitieren Fachkräfte in gefragten Berufen mit Arbeitgeber-Sponsoring; wer vor allem Sicherheit und ein enges Familiennetz braucht, sollte genauer rechnen.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amerikanische Traum ist real, aber selektiv: mehr Chance auf Aufstieg, aber auch mehr eigenes 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Karriere und Einkommen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Blick gilt dem Gehalt, und die Bilanz fällt meist positiv aus: US-Gehälter liegen für Fachkräfte oft merklich über deutschem Niveau, und Bonus, Aktienzuteilungen sowie der Arbeitgeberzuschuss zur Altersvorsorge (401(k)-Match) heben die Gesamtvergütung häufig um ein Viertel bis ein Drittel über das Grundgehalt. Ein Rechenbeispiel aus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und Zurückhaltung gilt nicht als Bescheidenheit, sondern als Desinteresse.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außerhalb der Tech-Branche gilt das: Ein Maschinenbauingenieur verdient bundesweit im Median 104.110 $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 spürbar mehr als das deutsche Pendant, wenn auch regional stark schwankend.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Ein 13. Gehalt kennt das System nicht, Erfolg musst du selbst sichtbar machen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2026 ist der Tech-Arbeitsmarkt so hart wie lange nicht – von Januar bis August 2026 kündigten US-Unternehmen laut einer Beratung 155.126 Tech-Stellen an, 52 % mehr als im Vorjahr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Ein Arbeitgeber-Visum bindet zudem Einkommen und Aufenthalt an denselben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das Gesamtpaket, nicht nur das Grundgehalt. Sign-on-Bonus, Aktienzuteilungen und der Arbeitgeberzuschuss zur Altersvorsorge sind oft beweglicher als die Grundgehaltszahl und machen im Rechenbeispiel aus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xml:space="preserve"> einen erheblichen Teil der Gesamtvergütung aus.</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77"/>
        <w:gridCol w:w="2702"/>
      </w:tblGrid>
      <w:tr>
        <w:trPr>
          <w:tblHeader w:val="true"/>
          <w:cantSplit w:val="true"/>
        </w:trPr>
        <w:tc>
          <w:tcPr>
            <w:tcW w:w="3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Grund- und Gesamtgehälter, Verhandlungsspielraum</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Tarifsystem</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Aufstieg und Jobwechsel ohne Sozialauswahl</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Aufenthalt hängen am selben Arbeitgeber</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Aktien und 401(k)-Match heben das Paket an</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härterer Arbeitsmarkt, besonders in der Tech-Branche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und Rechenmodell: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Abgaben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Niedrige Einstiegssteuersätze in den USA bedeuten automatisch mehr Netto als in Deutschland. Tatsächlich fehlt in dieser Rechnung, was in Deutschland längst über die Sozialversicherung mitläuft und in den USA separat aus der eigenen Tasche kommt – allen voran die 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US-Einkommensteuer beginnt niedriger, mit hohem Standardabzug: 2026 sind das 16.100 $ für Einzelpersonen und 32.200 $ für Ehepaare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Von 120.000 $ Bruttoeinkommen bleiben einer Einzelperson je nach Bundesstaat etwa 71 bis 78 % übrig; acht Bundesstaaten, darunter Texas, Florida und Tennessee, erheben gar keine Einkommensteuer auf Löhne. Zum Vergleich (grobe eigene Rechnung,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Deutschland bleiben bei entsprechendem Bruttoeinkommen rund 58 % netto – darin sind allerdings Kranken-, Pflege- und Arbeitslosenversicherung schon enthalten, während du sie in den USA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Fallen stecken im Kleingedruckten: Du veranlagst dich selbst, ohne Steuerbescheid; sobald du steuerlich ansässig bist, schuldest du Steuern auf dein weltweites Einkommen und musst deutsche Konten und Vermögen bei US-Behörden melden (FBAR, Form 8938) – Versäumnis kostet bis in den sechsstelligen Bereich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nie Bruttogehälter über den Atlantik. Erst wenn du Steuern, Krankenversicherungsprämie, Selbstbehalt und die realen Wohnkosten am Zielort abziehst, siehst du, ob ein US-Angebot wirklich mehr Netto bringt als der deutsche Job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142"/>
        <w:gridCol w:w="3337"/>
      </w:tblGrid>
      <w:tr>
        <w:trPr>
          <w:tblHeader w:val="true"/>
          <w:cantSplit w:val="true"/>
        </w:trPr>
        <w:tc>
          <w:tcPr>
            <w:tcW w:w="31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niedrige Einstiegssätze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und Fristen liegen bei dir</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auf Löhne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mit hohen Strafen</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kommt zur Steuerlast noch hinzu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Rechenbeispiele und Meldepflichten: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(Wegzug, Rente):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ist die Krankenversicherung Pflicht und unabhängig vom Job; in den USA hängt sie am Arbeitgeber, der im Schnitt rund 84 % der Prämie für Einzelpersonen und 74 % für Familien trägt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Dazu kommen der Selbstbehalt (</w:t>
      </w:r>
      <w:r>
        <w:rPr>
          <w:rFonts w:eastAsia="Cambria" w:cs="Cambria"/>
          <w:b w:val="false"/>
          <w:bCs w:val="false"/>
          <w:i/>
          <w:iCs/>
          <w:sz w:val="22"/>
          <w:szCs w:val="22"/>
        </w:rPr>
        <w:t>Deductible</w:t>
      </w:r>
      <w:r>
        <w:rPr>
          <w:rFonts w:eastAsia="Cambria" w:cs="Cambria"/>
          <w:b w:val="false"/>
          <w:bCs w:val="false"/>
          <w:i w:val="false"/>
          <w:iCs w:val="false"/>
          <w:sz w:val="22"/>
          <w:szCs w:val="22"/>
        </w:rPr>
        <w:t>, im Schnitt 1.886 $) und Zuzahlungen bis zu einer Jahreshöchstgrenze der Eigenkosten (</w:t>
      </w:r>
      <w:r>
        <w:rPr>
          <w:rFonts w:eastAsia="Cambria" w:cs="Cambria"/>
          <w:b w:val="false"/>
          <w:bCs w:val="false"/>
          <w:i/>
          <w:iCs/>
          <w:sz w:val="22"/>
          <w:szCs w:val="22"/>
        </w:rPr>
        <w:t>Out-of-Pocket Maximum</w:t>
      </w:r>
      <w:r>
        <w:rPr>
          <w:rFonts w:eastAsia="Cambria" w:cs="Cambria"/>
          <w:b w:val="false"/>
          <w:bCs w:val="false"/>
          <w:i w:val="false"/>
          <w:iCs w:val="false"/>
          <w:sz w:val="22"/>
          <w:szCs w:val="22"/>
        </w:rPr>
        <w:t>, im Schnitt 4.423 $), die dein Risiko im Netzwerk wenigstens deckelt.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größte Falle kommt gleich zu Beginn: Zwischen Landung und Versicherungsbeginn liegt oft eine Wartefrist von bis zu 90 Tagen; mit Anmeldefristen und Arbeitsbeginn zusammen werden daraus schnell drei bis vier Monate ohne US-Deckung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In der Praxis heißt das: Der erste verstauchte Knöchel oder die erste fiebrige Nacht treffen dich oft, bevor die Versicherungskarte überhaupt im Briefkasten liegt. Verlierst du den Job, kannst du die Deckung über die Fortführung der Arbeitgeberversicherung (COBRA) fortsetzen, zahlst dann aber die volle Prämie plus 2 % – rechnerisch rund 790 $ im Monat für eine Einzelperson.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Job, Krankenversicherung und bei einem Arbeitsvisum der Aufenthaltsstatus hängen an derselben Stelle: Ein Stellenabbau trifft dich doppelt, weil die Frist für einen neuen Sponsor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parallel zur Frage läuft, wie du die Familie krankenversichert hältst. Plane beides zusammen, nicht getrennt.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07"/>
        <w:gridCol w:w="2772"/>
      </w:tblGrid>
      <w:tr>
        <w:trPr>
          <w:tblHeader w:val="true"/>
          <w:cantSplit w:val="true"/>
        </w:trPr>
        <w:tc>
          <w:tcPr>
            <w:tcW w:w="37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den Großteil der Prämie</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Lücke von bis zu vier Monaten am Anfang</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Out-of-Pocket-Maximum deckelt das Jahresrisiko</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meist ohne Zuzahlung</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nach Jobverlust kostet die volle Prämie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Ausführlich: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(System und Kosten),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(Vorbereitung in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Arbeitszeit und Kündigungsschutz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zeigt sich der größte kulturelle Bruch: In fast allen Bundesstaaten gilt Kündigung ohne Grund (</w:t>
      </w:r>
      <w:r>
        <w:rPr>
          <w:rFonts w:eastAsia="Cambria" w:cs="Cambria"/>
          <w:b w:val="false"/>
          <w:bCs w:val="false"/>
          <w:i/>
          <w:iCs/>
          <w:sz w:val="22"/>
          <w:szCs w:val="22"/>
        </w:rPr>
        <w:t>At-will Employment</w:t>
      </w:r>
      <w:r>
        <w:rPr>
          <w:rFonts w:eastAsia="Cambria" w:cs="Cambria"/>
          <w:b w:val="false"/>
          <w:bCs w:val="false"/>
          <w:i w:val="false"/>
          <w:iCs w:val="false"/>
          <w:sz w:val="22"/>
          <w:szCs w:val="22"/>
        </w:rPr>
        <w:t>) – weder du noch dein Arbeitgeber braucht einen Grund oder eine Frist; ein Kündigungsschutzgesetz wie in Deutschland gibt es nicht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Verbreiteter Irrtum: Ein unterschriebenes Angebotsschreiben (</w:t>
      </w:r>
      <w:r>
        <w:rPr>
          <w:rFonts w:eastAsia="Cambria" w:cs="Cambria"/>
          <w:b w:val="false"/>
          <w:bCs w:val="false"/>
          <w:i/>
          <w:iCs/>
          <w:sz w:val="22"/>
          <w:szCs w:val="22"/>
        </w:rPr>
        <w:t>Offer Letter</w:t>
      </w:r>
      <w:r>
        <w:rPr>
          <w:rFonts w:eastAsia="Cambria" w:cs="Cambria"/>
          <w:b w:val="false"/>
          <w:bCs w:val="false"/>
          <w:i w:val="false"/>
          <w:iCs w:val="false"/>
          <w:sz w:val="22"/>
          <w:szCs w:val="22"/>
        </w:rPr>
        <w:t>) fühlt sich ähnlich verbindlich an wie ein deutscher Arbeitsvertrag. Tatsächlich ist es in den meisten Bundesstaaten wenig mehr als eine Absichtserklärung, die beide Seiten jederzeit wieder aufkündigen können. Gesetzlichen Urlaub, 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Gegenrechnung: Diese Flexibilität beschleunigt Jobwechsel und Beförderung, und wer verhandelt, kann Urlaubstage, Sign-on-Bonus und Homeoffice oft mitverhandeln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01"/>
        <w:gridCol w:w="3678"/>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Wechsel und Aufstieg ohne Tarifstufen</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Visum hängt der Aufenthalt am Job</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Bonus und Homeoffice oft verhandelbar</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11 bezahlte Urlaubstage im ersten Jahr im Schnitt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häufiges Feedback</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bundesweit nur 12 Wochen, unbezahlt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Arbeitsrecht im Detail: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Jobverlust und Statusfristen: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und 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Wohnraum ist in weiten Teilen der USA günstiger und großzügiger als in deutschen Großstädten – ein Median-Einfamilienhaus in Columbus oder Detroit kostet deutlich weniger als eine vergleichbare Wohnung in München, und die dreißigjährige Zinsbindung schützt vor steigenden Raten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Die Kehrseite: Staatlich abgesicherte Kredite mit kleiner Anzahlung (FHA) stehen Visa-Inhabern seit Mai 2025 nicht mehr offen, und reguläre Kredite verlangen meist Sozialversicherungsnummer, US-Kredithistorie und oft ein Jahr Visum-Restlaufzeit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Kauf und Verkauf kosten zusammen rund 10 % des Preises; bei 500.000 $ sind das rund 50.000 $, die bei einem erzwungenen Umzug nach einem Stellenabbau meist verloren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Deshalb gilt fast überall dieselbe Regel: Miete zuerst; kaufe erst, wenn Job und Status stabil sind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Wohnraum fürs Geld außerhalb der Küstenmetropolen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FHA-Kredite für Visa-Inhaber gestrichen; hohe Anzahlung nötig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Dreißig Jahre fester Zins schützt vor steigenden Raten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Gesamtlast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und Visumrisiko macht einen schnellen Verkauf teuer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Regionen, Mieten, Kauf: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und Service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Alltag ist freundlicher inszeniert, als Deutsche es gewohnt sind: guter Kundenservice, großzügige Rückgabefristen bei Ketten wie Costco oder Target, keine Meldepflicht beim Umzug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Dafür kostet er mehr, als das Preisschild zeigt: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steht nicht im Preis, und im Restaurant kommen 18 bis 20 % Trinkgeld dazu – zusammen oft ein Viertel Aufschlag auf die Kartenpreise. Außerhalb weniger Großstädte wie New York, Boston oder Chicago brauchst du praktisch überall ein Auto, weil Supermarkt, Schule und Arbeit weit auseinanderliegen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Was dafür fehlt, ist deutsche Alltagsbürokratie: kein Einwohnermeldeamt, keine Anmeldepflicht, dafür ein Führerschein oder ein Personalausweis des Bundesstaats (</w:t>
      </w:r>
      <w:r>
        <w:rPr>
          <w:rFonts w:eastAsia="Cambria" w:cs="Cambria"/>
          <w:b w:val="false"/>
          <w:bCs w:val="false"/>
          <w:i/>
          <w:iCs/>
          <w:sz w:val="22"/>
          <w:szCs w:val="22"/>
        </w:rPr>
        <w:t>State ID</w:t>
      </w:r>
      <w:r>
        <w:rPr>
          <w:rFonts w:eastAsia="Cambria" w:cs="Cambria"/>
          <w:b w:val="false"/>
          <w:bCs w:val="false"/>
          <w:i w:val="false"/>
          <w:iCs w:val="false"/>
          <w:sz w:val="22"/>
          <w:szCs w:val="22"/>
        </w:rPr>
        <w:t>) als übliches Ausweisdokument.</w:t>
      </w:r>
    </w:p>
    <w:tbl>
      <w:tblPr>
        <w:tblW w:w="6480" w:type="dxa"/>
        <w:jc w:val="left"/>
        <w:tblInd w:w="0" w:type="dxa"/>
        <w:tblLayout w:type="fixed"/>
        <w:tblCellMar>
          <w:top w:w="50" w:type="dxa"/>
          <w:left w:w="80" w:type="dxa"/>
          <w:bottom w:w="50" w:type="dxa"/>
          <w:right w:w="80" w:type="dxa"/>
        </w:tblCellMar>
      </w:tblPr>
      <w:tblGrid>
        <w:gridCol w:w="3341"/>
        <w:gridCol w:w="3138"/>
      </w:tblGrid>
      <w:tr>
        <w:trPr>
          <w:tblHeader w:val="true"/>
          <w:cantSplit w:val="true"/>
        </w:trPr>
        <w:tc>
          <w:tcPr>
            <w:tcW w:w="3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Freundlicher, lösungsorientierter Kundenservice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 und Trinkgeld addieren real rund 25–30 %</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Großzügige Rückgabefristen bei vielen Ketten</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meist nicht zu organisieren</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Meldepflicht, wenig Alltagsbürokratie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und Haftungsverzichte (</w:t>
            </w:r>
            <w:r>
              <w:rPr>
                <w:rFonts w:eastAsia="Cambria" w:cs="Cambria"/>
                <w:b w:val="false"/>
                <w:bCs w:val="false"/>
                <w:i/>
                <w:iCs/>
                <w:sz w:val="18"/>
                <w:szCs w:val="18"/>
              </w:rPr>
              <w:t>Waivers</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Trinkgeld und Auto: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Schulen sind kostenlos, verlangen weder Sozialversicherungsnummer noch Statusnachweis, bieten an der High School ein großes Kurswahlangebot und laufen bis in den Nachmittag mit Sport und Clubs an der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Haken: Die Adresse bestimmt die Schule, deren Qualität stark an der örtlichen Grundsteuer hängt – gefragte Schulbezirke kosten beim Kauf oder Mieten spürbar mehr. Sommerferien dauern 10 bis 12 Wochen statt sechs, Lockdown-Übungen gehören zum Schulalltag, und ein Umzug in den letzten beiden High-School-Jahren ist schwierig, weil das amerikanische Abschlusszeugnis nicht automatisch dem Abitur entspricht.</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öffentliche Schulen, keine SSN nötig</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und an der Grundsteuer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Breites Kursangebot, Sport und Clubs an der Schule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 kostet extra</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Gemeinsamer Schulweg statt früher Aufteilung nach Klasse 4</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kurz vor dem Abschluss schwierig; Diploma ist nicht das Abitur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Schulwahl, Anmeldung, Sprache: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 und Klima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Land bietet so viel klimatische und landschaftliche Auswahl: von Wüstenhitze in Phoenix über milde Küsten in Kalifornien bis zu Winterstürmen im Mittleren Westen ist für jeden Geschmack etwas dabei – du kannst den Wohnort bewusst danach wählen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Der Preis dieser Vielfalt: ein reales Naturgefahren-Risiko, das jede Metropolregion unterschiedlich trifft – Hurrikane an der Golfküste, Waldbrände in Kalifornien und Colorado, Erdbeben an der Westküste, Tornados im mittleren Süden, extreme Hitze in Phoenix und Houston. Das schlägt sich direkt in der Hausversicherung nieder: 300.000 $ Deckung kosten in Florida im Schnitt 6.432 $ im Jahr, in Kalifornien 2.040 $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Klima und Landschaft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Reale Risiken: Hurrikan, Waldbrand, Erdbeben, Tornado, Hitze</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Bewusste Wahl von warm bis vier Jahreszeiten möglich</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Hausversicherung teils drei- bis vierfach so teuer wie anderswo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Regionale Risikoprofile: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Versicherbarkeit beim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und Politik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Alltägliche Freundlichkeit fällt Deutschen oft leicht: offene Gespräche mit Fremden, große Toleranz gegenüber Akzenten und Zuwanderung, starkes Ehrenamt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 bleibt aber oft oberflächlich, denn echte Freundschaften brauchen hier mehr Zeit als in Deutschland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Politisch ist die Gesellschaft stärker polarisiert, als die meisten Deutschen es kennen; das Buch bewertet das nicht, nennt aber die Folgen: Waffen, Wahlen oder Gesundheitspolitik sind bei Fremden kein Small Talk, und als Nichtstaatsbürger unterliegst du zusätzlichen Einschränkungen, etwa bei Waffenbesitz und Wahlspenden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Dazu kommt echter Föderalismus: 50 Bundesstaaten, 50 Regelwerke, von der Verkaufssteuer bis zum Wettbewerbsverbot im Arbeitsvertrag. Religion und Staat sind strikt getrennt, eine Kirchensteuer gibt es nicht, und Vielfalt ist in den meisten Metropolregionen Alltag: Ein deutscher Akzent fällt dort kaum auf.</w:t>
      </w:r>
    </w:p>
    <w:tbl>
      <w:tblPr>
        <w:tblW w:w="6480" w:type="dxa"/>
        <w:jc w:val="left"/>
        <w:tblInd w:w="0" w:type="dxa"/>
        <w:tblLayout w:type="fixed"/>
        <w:tblCellMar>
          <w:top w:w="50" w:type="dxa"/>
          <w:left w:w="80" w:type="dxa"/>
          <w:bottom w:w="50" w:type="dxa"/>
          <w:right w:w="80" w:type="dxa"/>
        </w:tblCellMar>
      </w:tblPr>
      <w:tblGrid>
        <w:gridCol w:w="3273"/>
        <w:gridCol w:w="3206"/>
      </w:tblGrid>
      <w:tr>
        <w:trPr>
          <w:tblHeader w:val="true"/>
          <w:cantSplit w:val="true"/>
        </w:trPr>
        <w:tc>
          <w:tcPr>
            <w:tcW w:w="32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Alltagskultur, hohe Toleranz gegenüber Zuwanderung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viele Gespräche</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und Nachbarschaftshilfe</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Grenzen bei Waffen und Wahlspenden</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schnelle Kontakte im Alltag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Bundesstaaten, 50 Regelwerke – wenig Einheitlichkeit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 gesamtstaatlich ein deutlicher Unterschied. Diese Zahl verdeckt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889"/>
        <w:gridCol w:w="2590"/>
      </w:tblGrid>
      <w:tr>
        <w:trPr>
          <w:tblHeader w:val="true"/>
          <w:cantSplit w:val="true"/>
        </w:trPr>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Vororte und Kleinstädte mit sehr niedriger Kriminalität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Tötungsrate rund sechsmal höher als in Deutschland</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Community-Polizeiarbeit und Nachbarschaftsnetzwerke verbreitet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ist Ländersache und stark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Folgen für Nachbarschaft, Kinder und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Nähe zur Heimat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Deutsche Auslandsschulen, Konsulate und Goethe-Institute konzentrieren sich auf wenige Großräume; abseits davon bleibt die deutsche Community klein. Kurzfristige Besuche bei Krankheit oder einem Notfall sind teuer und aufwendig – ein Punkt, den viele erst nach dem Umzug wirklich spüren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63"/>
        <w:gridCol w:w="3216"/>
      </w:tblGrid>
      <w:tr>
        <w:trPr>
          <w:tblHeader w:val="true"/>
          <w:cantSplit w:val="true"/>
        </w:trPr>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ab vielen großen Metropolregionen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Flugzeit plus Zeitverschiebung</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Schulen, Konsulate und Goethe-Institute in Großräumen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Spontanbesuche bei Notfällen kaum möglich</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den Alltagskontakt einfach</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Orte ohne Nonstop-Flug und ohne deutsche Community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Wohnortwahl, Flugverbindungen: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Heimweh, Anschluss: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H-1B-Status nach Auburn Hills bei Detroit: Markus, 38, als Maschinenbauingenieur, Anna, 36, zunächst ohne eigene Arbeitserlaubnis, mit Lena (9) und Jonas (5). Die Plus-Seite: Markus verdient deutlich mehr als in Deutschland, und Michigan besteuert mit rund 4,25 % moderat. Als die erste Gehaltsabrechnung kommt, rechnet Anna am Küchentisch zweimal nach, weil ihr die Zahl zu schön vorkommt, um wahr zu sein. Die Minus-Seite zeigt sich schnell: Bis die Krankenversicherung greift, vergehen elf Wochen, die Kinder erhalten zunächst nur eine Steuernummer für Ausländer (ITIN) statt der Sozialversicherungsnummer (SSN) und bringen der Familie 3.400 $ weniger Kindergutschrift als geplant, und die Wohnungssuche richtet sich zuerst nach dem Schulbezirk, nicht nach dem Budget. Die Brandts mieten im ersten Jahr, bevor sie über einen Hauskauf entscheiden – für sie überwiegt trotz der Fallstricke das höhere Gehalt und die berufliche Perspektive.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und Tobias Scholz (fiktiv) wagen mit dem E-2-Visum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den Schritt in den Großraum Raleigh–Durham: Miriam, 39, baut dort eine Dependance ihrer Designagentur auf, Tobias, 41, arbeitet zunächst für einen deutschen Auftraggeber weiter, die Kinder Ida (8) und Ben (3) kommen mit. Die Plus-Seite: unternehmerische Freiheit und ein wachsender Standort mit Universitäten und deutschen Firmen in der Nähe. Die Minus-Seite: Als Selbständige tragen sie die volle Krankenversicherungsprämie selbst, ein soziales Netz wie in Deutschland fehlt vollständig, und das Visum hängt am Fortbestand des Unternehmens – ein Rückschlag im Geschäft wäre zugleich ein Aufenthaltsrisiko.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profitieren Fachkräfte in gefragten Berufen mit Arbeitgeber-Sponsoring, die Eigenverantwortung gegen höheres Gehalt und schnelleren Aufstieg tauschen – etwa Sabine Keller (fiktiv), die als Softwareentwicklerin mit H-1B nach Seattle zieht und dort spürbar mehr verdient als in München, obwohl 2026 ausgerechnet die Tech-Branche unter Druck steht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Geeignet ist er auch für alleinstehende Berufseinsteiger wie Felix Wagner (fiktiv), der über Studium und anschließende Arbeitserlaubnis einsteigt und noch keine feste Bindung an Ort oder Schule mitbringt, sowie für Fachkräfte mit konzerninternem Transfer wie Jan Hoffmann (fiktiv), dessen Versetzung nach Phoenix an einen bereits laufenden Fertigungsstandort führt, nicht an eine bloße Ankündigung. Wer dagegen einer reinen Absichtserklärung auf einer PowerPoint-Folie folgt, sollte doppelt nachfragen, wie fest der Boden unter dem neuen Standort schon wirklich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Familien mit Teenagern kurz vor dem Schulabschluss sollten zusätzlich den Umzugszeitpunkt genau prüfen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und wer nur wegen einer einzelnen Chance geht, ohne Plan B, sollte sich vorher fragen, wie er auf einen Stellenabbau reagiert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Auswanderer am häufigsten vermissen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 amerikanische Freundlichkeit ist real, bleibt aber oft an der Oberfläche, und ein „We should get together sometime” ist selten wörtlich gemeint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Viele vermissen außerdem die kurzen Wege eines Alltags ohne Auto und schlicht die räumliche Nähe zu Eltern und Geschwistern, die bei Krankheit, an Feiertagen oder an einem gewöhnlichen Sonntag fehlt – dem spontanen Kaffee und Kuchen bei den Eltern, für den in den USA erst ein Flug gebucht werden müsste. Wer das vorher weiß, kann gezielt gegensteuern: mit Videoanrufen, geplanten Besuchen, einer deutschsprachigen Community vor Ort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und einer realistischen Erwartung an die erste Zeit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Keine der beiden Seiten dieser Bilanz ist grundsätzlich richtig oder falsch. Entscheidend ist, welches Risiko du eingehen willst: das deutsche Risiko eines flacheren Einkommens oder das amerikanische Risiko eines dünneren Auffangnetzes.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amerikanische Traum: nüchtern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jedes Jahr kommen zahlreiche deutsche und andere Fachkräfte genau so ins Land, und viele verdienen und steigen schneller auf, als es in Deutschland üblich wäre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nüchterne Teil der Bilanz: Individualismus und Optimismus prägen die Gesellschaft, bedeuten aber auch, dass der Staat weniger auffängt als in Deutschland – bei Krankheit, Arbeitslosigkeit oder im Ruhestand bist du stärker auf dich selbst gestellt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amerikanische Traum ist damit weder Marketing noch Mythos, sondern ein reales Angebot mit realem Preis: mehr Chance, aber auch mehr eigenes Risiko.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höhere Gehälter und schnellerer beruflicher Aufstieg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Arbeitsvisum hängt der Aufenthalt am Job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Einstiegssteuern, acht Staaten ganz ohne Einkommensteuer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Arbeitgeber, mit Lücke am Anfang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und oft günstigerer Wohnraum außerhalb der Küstenmetropolen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Kaufkosten von rund 10 % erschweren einen schnellen Wiederverkauf</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gute öffentliche Schulen mit großer Kurswahl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nur 10–12 Wochen Ferienbetreuung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freundliche Alltagskultur und großes Ehrenamt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50 unterschiedliche Rechtsordnungen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klimatische und landschaftliche Vielfalt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Naturgefahren und Versicherungskosten regional sehr hoch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deutsche Communitys in großen Metropolregionen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Distanz zur Familie, kaum spontane 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diese Bilanz als Startpunkt, nicht als Endergebnis: Trage deine eigenen Zahlen in das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ein, bevor du eine Zusage unterschreibst, und sprich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Zahlen für Gehalt, Steuern, Krankenversicherung und Wohnkosten mit dem Rechenmodell aus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Partner oder Familie die drei wichtigsten Plus- und die drei wichtigsten Minuspunkte persönlich gewichtet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über welchen Weg der Arbeitgeber ein Visum sponsert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 xml:space="preserve"> und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Lücke bei der Krankenversicherung nach der Landung realistisch eingeplant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Wohnort und Schulbezirk vorläufig recherchiert, bevor Jobangebote verglichen werden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wie oft und wie schnell Besuche bei der Familie in Deutschland realistisch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viel Eigenverantwortung bei Gesundheit, Vorsorge und Jobwechsel für dich tragbar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ungefähren Zeithorizont für den USA-Aufenthalt festgelegt: einige Jahre, unbefristet oder 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Arbeitsvisa im Überblick (</w:t>
      </w:r>
      <w:hyperlink r:id="rId28">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Steuersätze und Standardabzug (</w:t>
      </w:r>
      <w:hyperlink r:id="rId29">
        <w:r>
          <w:rPr>
            <w:rStyle w:val="ListLabel113"/>
            <w:rFonts w:eastAsia="Cambria" w:cs="Cambria"/>
            <w:b w:val="false"/>
            <w:bCs w:val="false"/>
            <w:i w:val="false"/>
            <w:iCs w:val="false"/>
            <w:color w:val="0563C1"/>
            <w:sz w:val="22"/>
            <w:szCs w:val="22"/>
            <w:u w:val="single"/>
          </w:rPr>
          <w:t>irs.gov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30">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Krankenversicherung und Marktplatz</w:t>
      </w:r>
    </w:p>
    <w:p>
      <w:pPr>
        <w:pStyle w:val="ListParagraph"/>
        <w:numPr>
          <w:ilvl w:val="0"/>
          <w:numId w:val="1"/>
        </w:numPr>
        <w:spacing w:lineRule="exact" w:line="288" w:before="0" w:after="60"/>
        <w:rPr/>
      </w:pPr>
      <w:r>
        <w:rPr>
          <w:rFonts w:eastAsia="Cambria" w:cs="Cambria"/>
          <w:b w:val="false"/>
          <w:bCs w:val="false"/>
          <w:i w:val="false"/>
          <w:iCs w:val="false"/>
          <w:sz w:val="22"/>
          <w:szCs w:val="22"/>
        </w:rPr>
        <w:t>Weltbank / UNODC — Kriminalstatistik im Ländervergleich (</w:t>
      </w:r>
      <w:hyperlink r:id="rId31">
        <w:r>
          <w:rPr>
            <w:rStyle w:val="ListLabel113"/>
            <w:rFonts w:eastAsia="Cambria" w:cs="Cambria"/>
            <w:b w:val="false"/>
            <w:bCs w:val="false"/>
            <w:i w:val="false"/>
            <w:iCs w:val="false"/>
            <w:color w:val="0563C1"/>
            <w:sz w:val="22"/>
            <w:szCs w:val="22"/>
            <w:u w:val="single"/>
          </w:rPr>
          <w:t>data.worldbank.org</w:t>
        </w:r>
      </w:hyperlink>
      <w:r>
        <w:rPr>
          <w:rFonts w:eastAsia="Cambria" w:cs="Cambria"/>
          <w:b w:val="false"/>
          <w:bCs w:val="false"/>
          <w:i w:val="false"/>
          <w:iCs w:val="false"/>
          <w:sz w:val="22"/>
          <w:szCs w:val="22"/>
        </w:rPr>
        <w:t>, Suche: intentional homicides)</w:t>
      </w:r>
    </w:p>
    <w:p>
      <w:pPr>
        <w:pStyle w:val="ListParagraph"/>
        <w:numPr>
          <w:ilvl w:val="0"/>
          <w:numId w:val="1"/>
        </w:numPr>
        <w:spacing w:lineRule="exact" w:line="288" w:before="0" w:after="60"/>
        <w:rPr/>
      </w:pPr>
      <w:r>
        <w:rPr>
          <w:rFonts w:eastAsia="Cambria" w:cs="Cambria"/>
          <w:b w:val="false"/>
          <w:bCs w:val="false"/>
          <w:i w:val="false"/>
          <w:iCs w:val="false"/>
          <w:sz w:val="22"/>
          <w:szCs w:val="22"/>
        </w:rPr>
        <w:t>Bureau of Labor Statistics — Gehälter und Berufsausblick (</w:t>
      </w:r>
      <w:hyperlink r:id="rId32">
        <w:r>
          <w:rPr>
            <w:rStyle w:val="ListLabel113"/>
            <w:rFonts w:eastAsia="Cambria" w:cs="Cambria"/>
            <w:b w:val="false"/>
            <w:bCs w:val="false"/>
            <w:i w:val="false"/>
            <w:iCs w:val="false"/>
            <w:color w:val="0563C1"/>
            <w:sz w:val="22"/>
            <w:szCs w:val="22"/>
            <w:u w:val="single"/>
          </w:rPr>
          <w:t>bls.gov/oes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Hypothekenzinsen (</w:t>
      </w:r>
      <w:hyperlink r:id="rId33">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Bilanz beruht auf den Zahlen der Faktenblätter und der bereits vorliegenden Kapitel, Stand September 2026. Am schnellsten ändern sich: die Gebühren und das Losverfahren beim H-1B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die Krankenversicherungs-Zuschüsse ab 2027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die Hypothekenzinsen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und die politische Lage rund um Einwanderung. Prüfe vor einer Entscheidung die aktuellen Zahlen im jeweiligen Vertiefungskapitel.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 w:name="__RefHeading___Toc56430_3457424410"/>
      <w:bookmarkStart w:id="13" w:name="k2_Copy_1"/>
      <w:bookmarkEnd w:id="12"/>
      <w:r>
        <w:rPr>
          <w:rFonts w:eastAsia="Amazon Ember" w:cs="Amazon Ember" w:ascii="Amazon Ember" w:hAnsi="Amazon Ember"/>
          <w:b/>
          <w:bCs/>
          <w:color w:val="0000FF"/>
          <w:sz w:val="36"/>
          <w:szCs w:val="36"/>
        </w:rPr>
        <w:t>Kapitel 2: Die 25 größten Fallen</w:t>
      </w:r>
      <w:bookmarkEnd w:id="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Job ist unterschrieben, die Kisten sind bestellt, der Flug gebucht –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teuersten Fehler beim Umzug in die USA liegen selten im Exotischen, sondern bei Visum, Geld, Wohnen und Familie – und stehen im Detail in den Fachkapiteln dieses Buchs.</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Manche Fallen liegen außerhalb deiner Kontrolle (Lotterie, Kündigung, das </w:t>
            </w:r>
            <w:r>
              <w:rPr>
                <w:rFonts w:eastAsia="Cambria" w:cs="Cambria"/>
                <w:b w:val="false"/>
                <w:bCs w:val="false"/>
                <w:i/>
                <w:iCs/>
                <w:sz w:val="20"/>
                <w:szCs w:val="20"/>
              </w:rPr>
              <w:t>Age-out</w:t>
            </w:r>
            <w:r>
              <w:rPr>
                <w:rFonts w:eastAsia="Cambria" w:cs="Cambria"/>
                <w:b w:val="false"/>
                <w:bCs w:val="false"/>
                <w:i w:val="false"/>
                <w:iCs w:val="false"/>
                <w:sz w:val="20"/>
                <w:szCs w:val="20"/>
              </w:rPr>
              <w:t xml:space="preserve"> der Kinder mit 21), die meisten lassen sich mit Vorlauf entschärfen.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Rücklage, Fristen im Kalender und ein Berater, der beide Länder kennt, verhindern die teuersten Überraschungen.</w:t>
            </w:r>
          </w:p>
          <w:p>
            <w:pPr>
              <w:pStyle w:val="ListParagraph"/>
              <w:numPr>
                <w:ilvl w:val="0"/>
                <w:numId w:val="1"/>
              </w:numPr>
              <w:spacing w:lineRule="exact" w:line="264" w:before="0" w:after="50"/>
              <w:rPr/>
            </w:pPr>
            <w:r>
              <w:rPr>
                <w:rFonts w:eastAsia="Cambria" w:cs="Cambria"/>
                <w:b w:val="false"/>
                <w:bCs w:val="false"/>
                <w:i w:val="false"/>
                <w:iCs w:val="false"/>
                <w:sz w:val="20"/>
                <w:szCs w:val="20"/>
              </w:rPr>
              <w:t>Jede der 25 Fallen verweist auf das Kapitel mit dem vollständigen Vorgehen.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Status und Arbeitgeber (Fallen 1–6)</w:t>
      </w:r>
    </w:p>
    <w:p>
      <w:pPr>
        <w:pStyle w:val="ListParagraph"/>
        <w:numPr>
          <w:ilvl w:val="0"/>
          <w:numId w:val="54"/>
        </w:numPr>
        <w:spacing w:lineRule="exact" w:line="288" w:before="0" w:after="60"/>
        <w:rPr/>
      </w:pPr>
      <w:r>
        <w:rPr>
          <w:rFonts w:eastAsia="Cambria" w:cs="Cambria"/>
          <w:b/>
          <w:bCs/>
          <w:i w:val="false"/>
          <w:iCs w:val="false"/>
          <w:sz w:val="22"/>
          <w:szCs w:val="22"/>
        </w:rPr>
        <w:t>Das Visum hängt am Arbeitgeber.</w:t>
      </w:r>
      <w:r>
        <w:rPr>
          <w:rFonts w:eastAsia="Cambria" w:cs="Cambria"/>
          <w:b w:val="false"/>
          <w:bCs w:val="false"/>
          <w:i w:val="false"/>
          <w:iCs w:val="false"/>
          <w:sz w:val="22"/>
          <w:szCs w:val="22"/>
        </w:rPr>
        <w:t xml:space="preserve"> Verbreiteter Irrtum: Ein genehmigtes Arbeitsvisum fühlt sich an wie eine langfristige Zusage, im Land bleiben zu dürfen. Tatsächlich ist es an eine einzige Stelle gekettet. Warum das passiert: H-1B, L-1, E-2 und die meisten Arbeitsvisa sind an einen einzigen Sponsor gebunden; ohne ihn erlischt der Status. Was es kostet: Nach einem Jobverlust bleiben dir derzeit bis zu 60 Tage, um einen neuen Sponsor, einen Statuswechsel oder die Ausreise zu organisieren – reicht das nicht, verlierst du Wohnung, Schule der Kinder und oft das laufende Green-Card-Verfahren. So vermeidest du es: Baue früh eine Rücklage von mindestens sechs Monatsfixkosten auf, halte dein berufliches Netzwerk aktiv, und kläre die </w:t>
      </w:r>
      <w:r>
        <w:rPr>
          <w:rFonts w:eastAsia="Cambria" w:cs="Cambria"/>
          <w:b w:val="false"/>
          <w:bCs w:val="false"/>
          <w:i/>
          <w:iCs/>
          <w:sz w:val="22"/>
          <w:szCs w:val="22"/>
        </w:rPr>
        <w:t>Portabilität</w:t>
      </w:r>
      <w:r>
        <w:rPr>
          <w:rFonts w:eastAsia="Cambria" w:cs="Cambria"/>
          <w:b w:val="false"/>
          <w:bCs w:val="false"/>
          <w:i w:val="false"/>
          <w:iCs w:val="false"/>
          <w:sz w:val="22"/>
          <w:szCs w:val="22"/>
        </w:rPr>
        <w:t xml:space="preserve"> nach AC21 mit dem neuen Arbeitgeber, bevor du kündigst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Lotterie- und Gebührenrisiko.</w:t>
      </w:r>
      <w:r>
        <w:rPr>
          <w:rFonts w:eastAsia="Cambria" w:cs="Cambria"/>
          <w:b w:val="false"/>
          <w:bCs w:val="false"/>
          <w:i w:val="false"/>
          <w:iCs w:val="false"/>
          <w:sz w:val="22"/>
          <w:szCs w:val="22"/>
        </w:rPr>
        <w:t xml:space="preserve"> Warum das passiert: Der H-1B ist gedeckelt; wer nicht bei einer Hochschule oder Forschungseinrichtung (</w:t>
      </w:r>
      <w:r>
        <w:rPr>
          <w:rFonts w:eastAsia="Cambria" w:cs="Cambria"/>
          <w:b w:val="false"/>
          <w:bCs w:val="false"/>
          <w:i/>
          <w:iCs/>
          <w:sz w:val="22"/>
          <w:szCs w:val="22"/>
        </w:rPr>
        <w:t>Cap-exempt</w:t>
      </w:r>
      <w:r>
        <w:rPr>
          <w:rFonts w:eastAsia="Cambria" w:cs="Cambria"/>
          <w:b w:val="false"/>
          <w:bCs w:val="false"/>
          <w:i w:val="false"/>
          <w:iCs w:val="false"/>
          <w:sz w:val="22"/>
          <w:szCs w:val="22"/>
        </w:rPr>
        <w:t>) arbeitet, braucht ein Los aus der jährlichen Lotterie im März. Was es kostet: Registrierung, Anwalt und Behördengebühren fallen oft schon vor der Auslosung an, mehrere Tausend Dollar, die bei einer Niete verloren sind, dazu ein weiteres Jahr Wartezeit; zusätzlich drohen politisch diskutierte Zusatzzahlungen, deren Umsetzung sich laufend ändert. Bei dieser Lotterie zahlst du die Teilnahmegebühr so oder so, gewinnst du nicht, bleibt nur der Trost, es im nächsten Jahr wieder zu versuchen. So vermeidest du es: Frage nach Cap-exempt-Arbeitgebern, sondiere Alternativen wie L-1 oder O-1, und plane finanziell wie zeitlich für mindestens einen gescheiterten Anlauf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Der Partner sitzt ohne Arbeitserlaubnis da.</w:t>
      </w:r>
      <w:r>
        <w:rPr>
          <w:rFonts w:eastAsia="Cambria" w:cs="Cambria"/>
          <w:b w:val="false"/>
          <w:bCs w:val="false"/>
          <w:i w:val="false"/>
          <w:iCs w:val="false"/>
          <w:sz w:val="22"/>
          <w:szCs w:val="22"/>
        </w:rP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prüfe Cap-exempt-Arbeitgeber mit Programmen für mitreisende Partner, kläre die Berufslizenz des Partners vor der Arbeitserlaubnis, und plane die Wartezeit mit Kursen, Ehrenamt und Kontakten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Kinder werden 21 – das Age-out.</w:t>
      </w:r>
      <w:r>
        <w:rPr>
          <w:rFonts w:eastAsia="Cambria" w:cs="Cambria"/>
          <w:b w:val="false"/>
          <w:bCs w:val="false"/>
          <w:i w:val="false"/>
          <w:iCs w:val="false"/>
          <w:sz w:val="22"/>
          <w:szCs w:val="22"/>
        </w:rPr>
        <w:t xml:space="preserve"> Warum das passiert: Der abgeleitete Status eines Kindes endet unabhängig vom Green-Card-Verfahren der Eltern exakt am 21. Geburtstag;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Green-Card-Wartezeiten werden unterschätzt.</w:t>
      </w:r>
      <w:r>
        <w:rPr>
          <w:rFonts w:eastAsia="Cambria" w:cs="Cambria"/>
          <w:b w:val="false"/>
          <w:bCs w:val="false"/>
          <w:i w:val="false"/>
          <w:iCs w:val="false"/>
          <w:sz w:val="22"/>
          <w:szCs w:val="22"/>
        </w:rPr>
        <w:t xml:space="preserve"> Warum das passiert: Der Regelweg über den Arbeitgeber durchläuft Arbeitsmarktprüfung, Petition und Statusanpassung; allein die PERM-Phase dauert rund 2,5–4,5 Jahre,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starte das Verfahren früh über den Arbeitgeber, und beobachte dein Herkunftsland im monatlichen Visa Bulletin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Kein Kündigungsschutz, dafür eine scharfe 60-Tage-Frist.</w:t>
      </w:r>
      <w:r>
        <w:rPr>
          <w:rFonts w:eastAsia="Cambria" w:cs="Cambria"/>
          <w:b w:val="false"/>
          <w:bCs w:val="false"/>
          <w:i w:val="false"/>
          <w:iCs w:val="false"/>
          <w:sz w:val="22"/>
          <w:szCs w:val="22"/>
        </w:rPr>
        <w:t xml:space="preserve"> Warum das passiert: In den USA gilt fast überall </w:t>
      </w:r>
      <w:r>
        <w:rPr>
          <w:rFonts w:eastAsia="Cambria" w:cs="Cambria"/>
          <w:b w:val="false"/>
          <w:bCs w:val="false"/>
          <w:i/>
          <w:iCs/>
          <w:sz w:val="22"/>
          <w:szCs w:val="22"/>
        </w:rPr>
        <w:t>At-will Employment</w:t>
      </w:r>
      <w:r>
        <w:rPr>
          <w:rFonts w:eastAsia="Cambria" w:cs="Cambria"/>
          <w:b w:val="false"/>
          <w:bCs w:val="false"/>
          <w:i w:val="false"/>
          <w:iCs w:val="false"/>
          <w:sz w:val="22"/>
          <w:szCs w:val="22"/>
        </w:rPr>
        <w:t xml:space="preserve"> – beide Seiten können das Arbeitsverhältnis fristlos und ohne Grund beenden, ein Kündigungsschutzgesetz wie in Deutschland gibt es nicht. Der Abschied kann ähnlich schnell kommen, wie die Begrüßung freundlich war. Was es kostet: Ein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xml:space="preserve"> bereitet eine Kündigung oft nur vor, verhindert sie nicht, und mit dem Visum läuft parallel die 60-Tage-Frist aus Falle 1 – zwei Uhren gleichzeitig. So vermeidest du es: Verstehe ein Angebotsschreiben nie als Jobgarantie, sichere dich mit einer Rücklage ab, und dokumentiere Probleme am Arbeitsplatz frühzeitig schriftlich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Steuern und Vorsorge (Fallen 7–11)</w:t>
      </w:r>
    </w:p>
    <w:p>
      <w:pPr>
        <w:pStyle w:val="ListParagraph"/>
        <w:numPr>
          <w:ilvl w:val="0"/>
          <w:numId w:val="55"/>
        </w:numPr>
        <w:spacing w:lineRule="exact" w:line="288" w:before="0" w:after="60"/>
        <w:rPr/>
      </w:pPr>
      <w:r>
        <w:rPr>
          <w:rFonts w:eastAsia="Cambria" w:cs="Cambria"/>
          <w:b/>
          <w:bCs/>
          <w:i w:val="false"/>
          <w:iCs w:val="false"/>
          <w:sz w:val="22"/>
          <w:szCs w:val="22"/>
        </w:rPr>
        <w:t>Doppelbesteuerung, FBAR und die PFIC-Falle.</w:t>
      </w:r>
      <w:r>
        <w:rPr>
          <w:rFonts w:eastAsia="Cambria" w:cs="Cambria"/>
          <w:b w:val="false"/>
          <w:bCs w:val="false"/>
          <w:i w:val="false"/>
          <w:iCs w:val="false"/>
          <w:sz w:val="22"/>
          <w:szCs w:val="22"/>
        </w:rPr>
        <w:t xml:space="preserve"> Warum das passiert: Sobald du als US-Steueransässiger giltst – durch Green Card oder den Tage-Test, unabhängig vom Visum –, zählt dein weltweites Einkommen, und deutsche Fonds und ETFs werden zur hoch besteuerten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56"/>
        </w:numPr>
        <w:spacing w:lineRule="exact" w:line="288" w:before="0" w:after="60"/>
        <w:rPr/>
      </w:pPr>
      <w:r>
        <w:rPr>
          <w:rFonts w:eastAsia="Cambria" w:cs="Cambria"/>
          <w:b/>
          <w:bCs/>
          <w:i w:val="false"/>
          <w:iCs w:val="false"/>
          <w:sz w:val="22"/>
          <w:szCs w:val="22"/>
        </w:rPr>
        <w:t>Die Riester-Falle – differenzierter, als der Name klingt.</w:t>
      </w:r>
      <w:r>
        <w:rPr>
          <w:rFonts w:eastAsia="Cambria" w:cs="Cambria"/>
          <w:b w:val="false"/>
          <w:bCs w:val="false"/>
          <w:i w:val="false"/>
          <w:iCs w:val="false"/>
          <w:sz w:val="22"/>
          <w:szCs w:val="22"/>
        </w:rPr>
        <w:t xml:space="preserve"> Warum das passiert: Viele Auswanderer fürchten, der Wegzug löse automatisch eine Rückzahlung der Riester-Zulagen aus – tatsächlich läuft ein bestehender Vertrag während der Ansparphase unbeschränkt weiter, ohne sofortige Folgen. Was es kostet: Kritisch wird es erst in der Auszahlungsphase – wohnst du dann außerhalb der EU und des EWR, muss der Anbieter Zulagen und Steuervorteile einbehalten und an den Fiskus abführen,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7"/>
        </w:numPr>
        <w:spacing w:lineRule="exact" w:line="288" w:before="0" w:after="60"/>
        <w:rPr/>
      </w:pPr>
      <w:r>
        <w:rPr>
          <w:rFonts w:eastAsia="Cambria" w:cs="Cambria"/>
          <w:b/>
          <w:bCs/>
          <w:i w:val="false"/>
          <w:iCs w:val="false"/>
          <w:sz w:val="22"/>
          <w:szCs w:val="22"/>
        </w:rPr>
        <w:t>Die Rentenlücke zwischen zwei Systemen.</w:t>
      </w:r>
      <w:r>
        <w:rPr>
          <w:rFonts w:eastAsia="Cambria" w:cs="Cambria"/>
          <w:b w:val="false"/>
          <w:bCs w:val="false"/>
          <w:i w:val="false"/>
          <w:iCs w:val="false"/>
          <w:sz w:val="22"/>
          <w:szCs w:val="22"/>
        </w:rPr>
        <w:t xml:space="preserve"> Warum das passiert: Die deutsche Rente und die US-</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zählen für die Wartezeit zwar zusammen, zahlen aber getrennt und nach eigenen Regeln; Medicare kommt erst mit 65 Jahren und setzt bestimmte Aufenthaltsjahre voraus. Was es kostet: Wer nur auf ein System setzt, hat im Ruhestand oft weniger als geplant, besonders bei wenigen US-Beitragsjahren unterhalb der 40 </w:t>
      </w:r>
      <w:r>
        <w:rPr>
          <w:rFonts w:eastAsia="Cambria" w:cs="Cambria"/>
          <w:b w:val="false"/>
          <w:bCs w:val="false"/>
          <w:i/>
          <w:iCs/>
          <w:sz w:val="22"/>
          <w:szCs w:val="22"/>
        </w:rPr>
        <w:t>Credits</w:t>
      </w:r>
      <w:r>
        <w:rPr>
          <w:rFonts w:eastAsia="Cambria" w:cs="Cambria"/>
          <w:b w:val="false"/>
          <w:bCs w:val="false"/>
          <w:i w:val="false"/>
          <w:iCs w:val="false"/>
          <w:sz w:val="22"/>
          <w:szCs w:val="22"/>
        </w:rPr>
        <w:t>. So vermeidest du es: Nimm mindestens den Arbeitgeber-</w:t>
      </w:r>
      <w:r>
        <w:rPr>
          <w:rFonts w:eastAsia="Cambria" w:cs="Cambria"/>
          <w:b w:val="false"/>
          <w:bCs w:val="false"/>
          <w:i/>
          <w:iCs/>
          <w:sz w:val="22"/>
          <w:szCs w:val="22"/>
        </w:rPr>
        <w:t>Match</w:t>
      </w:r>
      <w:r>
        <w:rPr>
          <w:rFonts w:eastAsia="Cambria" w:cs="Cambria"/>
          <w:b w:val="false"/>
          <w:bCs w:val="false"/>
          <w:i w:val="false"/>
          <w:iCs w:val="false"/>
          <w:sz w:val="22"/>
          <w:szCs w:val="22"/>
        </w:rPr>
        <w:t xml:space="preserve"> beim 401(k) mit, prüfe freiwillige deutsche Rentenbeiträge, und rechne beide Renten mit einem Berater durch, der beide Systeme kennt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58"/>
        </w:numPr>
        <w:spacing w:lineRule="exact" w:line="288" w:before="0" w:after="60"/>
        <w:rPr/>
      </w:pPr>
      <w:r>
        <w:rPr>
          <w:rFonts w:eastAsia="Cambria" w:cs="Cambria"/>
          <w:b/>
          <w:bCs/>
          <w:i w:val="false"/>
          <w:iCs w:val="false"/>
          <w:sz w:val="22"/>
          <w:szCs w:val="22"/>
        </w:rPr>
        <w:t>Wegzug und Abmeldung in Deutschland verschlafen.</w:t>
      </w:r>
      <w:r>
        <w:rPr>
          <w:rFonts w:eastAsia="Cambria" w:cs="Cambria"/>
          <w:b w:val="false"/>
          <w:bCs w:val="false"/>
          <w:i w:val="false"/>
          <w:iCs w:val="false"/>
          <w:sz w:val="22"/>
          <w:szCs w:val="22"/>
        </w:rPr>
        <w:t xml:space="preserve"> Warum das passiert: Die Meldebehörde verlangt die Abmeldung binnen zwei Wochen nach dem Auszug, und viele Verträge – Rundfunkbeitrag, Versicherungen, Konten – enden nicht automatisch, sondern erst durch aktives Handeln. Was es kostet: bis zu 1.000 € Bußgeld für eine verspätete Abmeldung, dazu weiterlaufende Beiträge und Rundfunkgebühr, die sich über Monate summieren. So vermeidest du es: Erstelle eine Liste aller laufenden Verträge, melde dich rechtzeitig ab, lass dir eine Abmeldebescheinigung ausstellen und kopiere sie, und benenne einen Zustellungsbevollmächtigten für das Finanzamt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und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9"/>
        </w:numPr>
        <w:spacing w:lineRule="exact" w:line="288" w:before="0" w:after="60"/>
        <w:rPr/>
      </w:pPr>
      <w:r>
        <w:rPr>
          <w:rFonts w:eastAsia="Cambria" w:cs="Cambria"/>
          <w:b/>
          <w:bCs/>
          <w:i w:val="false"/>
          <w:iCs w:val="false"/>
          <w:sz w:val="22"/>
          <w:szCs w:val="22"/>
        </w:rPr>
        <w:t>Fehlende Kredithistorie blockiert den Start.</w:t>
      </w:r>
      <w:r>
        <w:rPr>
          <w:rFonts w:eastAsia="Cambria" w:cs="Cambria"/>
          <w:b w:val="false"/>
          <w:bCs w:val="false"/>
          <w:i w:val="false"/>
          <w:iCs w:val="false"/>
          <w:sz w:val="22"/>
          <w:szCs w:val="22"/>
        </w:rPr>
        <w:t xml:space="preserve"> Warum das passiert: Die Schufa zählt in den USA nicht; der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FICO-Score) entsteht erst vor Ort durch Kredite, 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zahle sie pünktlich und vollständig zurück, kündige die erste Karte später nicht vorschnell, und plane die ersten Monate mit alternativen Nachweisen (siehe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Umzug und Alltagstechnik (Fallen 12–16)</w:t>
      </w:r>
    </w:p>
    <w:p>
      <w:pPr>
        <w:pStyle w:val="ListParagraph"/>
        <w:numPr>
          <w:ilvl w:val="0"/>
          <w:numId w:val="60"/>
        </w:numPr>
        <w:spacing w:lineRule="exact" w:line="288" w:before="0" w:after="60"/>
        <w:rPr/>
      </w:pPr>
      <w:r>
        <w:rPr>
          <w:rFonts w:eastAsia="Cambria" w:cs="Cambria"/>
          <w:b/>
          <w:bCs/>
          <w:i w:val="false"/>
          <w:iCs w:val="false"/>
          <w:sz w:val="22"/>
          <w:szCs w:val="22"/>
        </w:rPr>
        <w:t>Mieten ohne Score.</w:t>
      </w:r>
      <w:r>
        <w:rPr>
          <w:rFonts w:eastAsia="Cambria" w:cs="Cambria"/>
          <w:b w:val="false"/>
          <w:bCs w:val="false"/>
          <w:i w:val="false"/>
          <w:iCs w:val="false"/>
          <w:sz w:val="22"/>
          <w:szCs w:val="22"/>
        </w:rP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oder Bürgschaftsdienst, statt auf einen persönlichen Bürgen zu hoffen, den kaum eine Verwaltung akzeptiert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61"/>
        </w:numPr>
        <w:spacing w:lineRule="exact" w:line="288" w:before="0" w:after="60"/>
        <w:rPr/>
      </w:pPr>
      <w:r>
        <w:rPr>
          <w:rFonts w:eastAsia="Cambria" w:cs="Cambria"/>
          <w:b/>
          <w:bCs/>
          <w:i w:val="false"/>
          <w:iCs w:val="false"/>
          <w:sz w:val="22"/>
          <w:szCs w:val="22"/>
        </w:rPr>
        <w:t>Die Kosten des Umzugs selbst.</w:t>
      </w:r>
      <w:r>
        <w:rPr>
          <w:rFonts w:eastAsia="Cambria" w:cs="Cambria"/>
          <w:b w:val="false"/>
          <w:bCs w:val="false"/>
          <w:i w:val="false"/>
          <w:iCs w:val="false"/>
          <w:sz w:val="22"/>
          <w:szCs w:val="22"/>
        </w:rPr>
        <w:t xml:space="preserve"> Warum das passiert: Zwischen Sammelladung, Container, Luftfracht und Zwischenlagerung entstehen leicht mehrere Tausend Euro, und ein Umzugszuschuss des Arbeitgebers ist in den USA steuerpflichtiger Lohn – ein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62"/>
        </w:numPr>
        <w:spacing w:lineRule="exact" w:line="288" w:before="0" w:after="60"/>
        <w:rPr/>
      </w:pPr>
      <w:r>
        <w:rPr>
          <w:rFonts w:eastAsia="Cambria" w:cs="Cambria"/>
          <w:b/>
          <w:bCs/>
          <w:i w:val="false"/>
          <w:iCs w:val="false"/>
          <w:sz w:val="22"/>
          <w:szCs w:val="22"/>
        </w:rPr>
        <w:t>Deutsche 230-V-Geräte funktionieren nicht einfach so.</w:t>
      </w:r>
      <w:r>
        <w:rPr>
          <w:rFonts w:eastAsia="Cambria" w:cs="Cambria"/>
          <w:b w:val="false"/>
          <w:bCs w:val="false"/>
          <w:i w:val="false"/>
          <w:iCs w:val="false"/>
          <w:sz w:val="22"/>
          <w:szCs w:val="22"/>
        </w:rP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nimm nur Geräte mit diesem Bereich mit, und plane Küchengeräte, Lampen und größere Elektrogeräte als Neukauf vor Ort ein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63"/>
        </w:numPr>
        <w:spacing w:lineRule="exact" w:line="288" w:before="0" w:after="60"/>
        <w:rPr/>
      </w:pPr>
      <w:r>
        <w:rPr>
          <w:rFonts w:eastAsia="Cambria" w:cs="Cambria"/>
          <w:b/>
          <w:bCs/>
          <w:i w:val="false"/>
          <w:iCs w:val="false"/>
          <w:sz w:val="22"/>
          <w:szCs w:val="22"/>
        </w:rPr>
        <w:t>Zu früh ein Haus kaufen.</w:t>
      </w:r>
      <w:r>
        <w:rPr>
          <w:rFonts w:eastAsia="Cambria" w:cs="Cambria"/>
          <w:b w:val="false"/>
          <w:bCs w:val="false"/>
          <w:i w:val="false"/>
          <w:iCs w:val="false"/>
          <w:sz w:val="22"/>
          <w:szCs w:val="22"/>
        </w:rPr>
        <w:t xml:space="preserve"> Warum das passiert: Nach Jahren des Mietens in Deutschland fühlt sich Kaufen nach dem folgerichtigen nächsten Schritt an, noch bevor du Viertel, Schulbezirk und Pendelwege wirklich kennst. Was es kostet: Kauf und Verkauf zusammen verschlingen rund 10 % 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64"/>
        </w:numPr>
        <w:spacing w:lineRule="exact" w:line="288" w:before="0" w:after="60"/>
        <w:rPr/>
      </w:pPr>
      <w:r>
        <w:rPr>
          <w:rFonts w:eastAsia="Cambria" w:cs="Cambria"/>
          <w:b/>
          <w:bCs/>
          <w:i w:val="false"/>
          <w:iCs w:val="false"/>
          <w:sz w:val="22"/>
          <w:szCs w:val="22"/>
        </w:rPr>
        <w:t>Die Schulwahl ist die Wohnortwahl.</w:t>
      </w:r>
      <w:r>
        <w:rPr>
          <w:rFonts w:eastAsia="Cambria" w:cs="Cambria"/>
          <w:b w:val="false"/>
          <w:bCs w:val="false"/>
          <w:i w:val="false"/>
          <w:iCs w:val="false"/>
          <w:sz w:val="22"/>
          <w:szCs w:val="22"/>
        </w:rPr>
        <w:t xml:space="preserve"> Warum das passiert: Die öffentliche Schule richtet sich strikt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nutze Bewertungsportale nur als groben Anhaltspunkt, und sprich mit anderen Eltern vor Ort, bevor du dich festlegst (siehe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Gesundheit und Behörden (Fallen 17–20)</w:t>
      </w:r>
    </w:p>
    <w:p>
      <w:pPr>
        <w:pStyle w:val="ListParagraph"/>
        <w:numPr>
          <w:ilvl w:val="0"/>
          <w:numId w:val="65"/>
        </w:numPr>
        <w:spacing w:lineRule="exact" w:line="288" w:before="0" w:after="60"/>
        <w:rPr/>
      </w:pPr>
      <w:r>
        <w:rPr>
          <w:rFonts w:eastAsia="Cambria" w:cs="Cambria"/>
          <w:b/>
          <w:bCs/>
          <w:i w:val="false"/>
          <w:iCs w:val="false"/>
          <w:sz w:val="22"/>
          <w:szCs w:val="22"/>
        </w:rPr>
        <w:t>Versicherungslücken beim Übergang.</w:t>
      </w:r>
      <w:r>
        <w:rPr>
          <w:rFonts w:eastAsia="Cambria" w:cs="Cambria"/>
          <w:b w:val="false"/>
          <w:bCs w:val="false"/>
          <w:i w:val="false"/>
          <w:iCs w:val="false"/>
          <w:sz w:val="22"/>
          <w:szCs w:val="22"/>
        </w:rPr>
        <w:t xml:space="preserve"> Warum das passiert: Zwischen dem Ende der deutschen Absicherung und dem Start der US-Krankenversicherung liegen oft drei bis vier Monate, weil Arbeitgeberpläne bis zu 90 Tage Wartefrist verlangen dürfen und die Deckung meist erst zum Monatsersten beginnt.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Auslandskrankenversicherung ab, und verhandle „Deckung ab Tag eins“ beim Jobangebot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ListParagraph"/>
        <w:numPr>
          <w:ilvl w:val="0"/>
          <w:numId w:val="66"/>
        </w:numPr>
        <w:spacing w:lineRule="exact" w:line="288" w:before="0" w:after="60"/>
        <w:rPr/>
      </w:pPr>
      <w:r>
        <w:rPr>
          <w:rFonts w:eastAsia="Cambria" w:cs="Cambria"/>
          <w:b/>
          <w:bCs/>
          <w:i w:val="false"/>
          <w:iCs w:val="false"/>
          <w:sz w:val="22"/>
          <w:szCs w:val="22"/>
        </w:rPr>
        <w:t>Kinderbetreuungskosten werden unterschätzt.</w:t>
      </w:r>
      <w:r>
        <w:rPr>
          <w:rFonts w:eastAsia="Cambria" w:cs="Cambria"/>
          <w:b w:val="false"/>
          <w:bCs w:val="false"/>
          <w:i w:val="false"/>
          <w:iCs w:val="false"/>
          <w:sz w:val="22"/>
          <w:szCs w:val="22"/>
        </w:rP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7"/>
        </w:numPr>
        <w:spacing w:lineRule="exact" w:line="288" w:before="0" w:after="60"/>
        <w:rPr/>
      </w:pPr>
      <w:r>
        <w:rPr>
          <w:rFonts w:eastAsia="Cambria" w:cs="Cambria"/>
          <w:b/>
          <w:bCs/>
          <w:i w:val="false"/>
          <w:iCs w:val="false"/>
          <w:sz w:val="22"/>
          <w:szCs w:val="22"/>
        </w:rPr>
        <w:t>Geburt in den USA – Staatsbürgerschaft, Kosten, Fristen.</w:t>
      </w:r>
      <w:r>
        <w:rPr>
          <w:rFonts w:eastAsia="Cambria" w:cs="Cambria"/>
          <w:b w:val="false"/>
          <w:bCs w:val="false"/>
          <w:i w:val="false"/>
          <w:iCs w:val="false"/>
          <w:sz w:val="22"/>
          <w:szCs w:val="22"/>
        </w:rPr>
        <w:t xml:space="preserve"> Warum das passiert: Ein in den USA geborenes Kind ist mit der Geburt automatisch US-Bürger, unabhängig vom Visum der Eltern; das ändert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melde das Kind sofort nach der Geburt im Plan an, und beantrage parallel deutsche Geburtsurkunde und Reisepass für das zugleich deutsche Kind (siehe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8"/>
        </w:numPr>
        <w:spacing w:lineRule="exact" w:line="288" w:before="0" w:after="60"/>
        <w:rPr/>
      </w:pPr>
      <w:r>
        <w:rPr>
          <w:rFonts w:eastAsia="Cambria" w:cs="Cambria"/>
          <w:b/>
          <w:bCs/>
          <w:i w:val="false"/>
          <w:iCs w:val="false"/>
          <w:sz w:val="22"/>
          <w:szCs w:val="22"/>
        </w:rPr>
        <w:t>Die Ämterkette blockiert den Start.</w:t>
      </w:r>
      <w:r>
        <w:rPr>
          <w:rFonts w:eastAsia="Cambria" w:cs="Cambria"/>
          <w:b w:val="false"/>
          <w:bCs w:val="false"/>
          <w:i w:val="false"/>
          <w:iCs w:val="false"/>
          <w:sz w:val="22"/>
          <w:szCs w:val="22"/>
        </w:rPr>
        <w:t xml:space="preserve"> Warum das passiert: Ohne Sozialversicherungsnummer (SSN) kein US-Bankkonto, ohne Bankkonto oft kein Handyvertrag mit Laufzeit, ohne beides manchmal keine Wohnung – die ersten Wochen hängen an einer strikten Reihenfolge, die viele Neuankömmlinge nicht kennen. Was es kostet: Wochen an Zeit und Umwegen über Prepaid-Tarife oder Bargeld, wenn die Reihenfolge missachtet wird. So vermeidest du es: Beantrage die SSN in der ersten Woche, informiere die Personalabteilung, dass sie noch fehlt, und überbrücke die Zwischenzeit mit Prepaid-Lösungen statt auf einen Vertrag zu warten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 Alltag und Rückkehr (Fallen 21–25)</w:t>
      </w:r>
    </w:p>
    <w:p>
      <w:pPr>
        <w:pStyle w:val="ListParagraph"/>
        <w:numPr>
          <w:ilvl w:val="0"/>
          <w:numId w:val="69"/>
        </w:numPr>
        <w:spacing w:lineRule="exact" w:line="288" w:before="0" w:after="60"/>
        <w:rPr/>
      </w:pPr>
      <w:r>
        <w:rPr>
          <w:rFonts w:eastAsia="Cambria" w:cs="Cambria"/>
          <w:b/>
          <w:bCs/>
          <w:i w:val="false"/>
          <w:iCs w:val="false"/>
          <w:sz w:val="22"/>
          <w:szCs w:val="22"/>
        </w:rPr>
        <w:t>Einsamkeit nach dem Umzug.</w:t>
      </w:r>
      <w:r>
        <w:rPr>
          <w:rFonts w:eastAsia="Cambria" w:cs="Cambria"/>
          <w:b w:val="false"/>
          <w:bCs w:val="false"/>
          <w:i w:val="false"/>
          <w:iCs w:val="false"/>
          <w:sz w:val="22"/>
          <w:szCs w:val="22"/>
        </w:rP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sprich offen über Heimweh statt es zu verdrängen, und hol dir Hilfe, wenn die Talsohle über Monate anhält (siehe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70"/>
        </w:numPr>
        <w:spacing w:lineRule="exact" w:line="288" w:before="0" w:after="60"/>
        <w:rPr/>
      </w:pPr>
      <w:r>
        <w:rPr>
          <w:rFonts w:eastAsia="Cambria" w:cs="Cambria"/>
          <w:b/>
          <w:bCs/>
          <w:i w:val="false"/>
          <w:iCs w:val="false"/>
          <w:sz w:val="22"/>
          <w:szCs w:val="22"/>
        </w:rPr>
        <w:t>Die Sprachbarriere der Kinder wird unterschätzt.</w:t>
      </w:r>
      <w:r>
        <w:rPr>
          <w:rFonts w:eastAsia="Cambria" w:cs="Cambria"/>
          <w:b w:val="false"/>
          <w:bCs w:val="false"/>
          <w:i w:val="false"/>
          <w:iCs w:val="false"/>
          <w:sz w:val="22"/>
          <w:szCs w:val="22"/>
        </w:rP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rFonts w:eastAsia="Cambria" w:cs="Cambria"/>
          <w:b w:val="false"/>
          <w:bCs w:val="false"/>
          <w:i/>
          <w:iCs/>
          <w:sz w:val="22"/>
          <w:szCs w:val="22"/>
        </w:rPr>
        <w:t>English-Learner</w:t>
      </w:r>
      <w:r>
        <w:rPr>
          <w:rFonts w:eastAsia="Cambria" w:cs="Cambria"/>
          <w:b w:val="false"/>
          <w:bCs w:val="false"/>
          <w:i w:val="false"/>
          <w:iCs w:val="false"/>
          <w:sz w:val="22"/>
          <w:szCs w:val="22"/>
        </w:rPr>
        <w:t xml:space="preserve">-Programm des Schulbezirks an, fülle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wahrheitsgemäß aus, und nutzt Bibliothek und Sprachtandems auch als Eltern (siehe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71"/>
        </w:numPr>
        <w:spacing w:lineRule="exact" w:line="288" w:before="0" w:after="60"/>
        <w:rPr/>
      </w:pPr>
      <w:r>
        <w:rPr>
          <w:rFonts w:eastAsia="Cambria" w:cs="Cambria"/>
          <w:b/>
          <w:bCs/>
          <w:i w:val="false"/>
          <w:iCs w:val="false"/>
          <w:sz w:val="22"/>
          <w:szCs w:val="22"/>
        </w:rPr>
        <w:t>Preise ohne Steuer und Trinkgeld.</w:t>
      </w:r>
      <w:r>
        <w:rPr>
          <w:rFonts w:eastAsia="Cambria" w:cs="Cambria"/>
          <w:b w:val="false"/>
          <w:bCs w:val="false"/>
          <w:i w:val="false"/>
          <w:iCs w:val="false"/>
          <w:sz w:val="22"/>
          <w:szCs w:val="22"/>
        </w:rPr>
        <w:t xml:space="preserve"> Warum das passiert: Preisschilder zeigen in den USA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erst an der Kasse dazu, und in Restaurants, Bars und beim Friseur ist Trinkgeld Teil des Lohns, keine Kür. Was es kostet: Rechne mit rund einem Viertel Aufschlag auf den angezeigten Preis; üblich sind 18–20 % Trinkgeld vom Betrag vor Steuer, weniger fällt unangenehm auf. So vermeidest du es: Kalkuliere von Anfang an mit dem Aufschlag, informiere dich über die Sales Tax deines Bundesstaats und Landkreises, und gib in Restaurants nie unter 15 % (siehe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ListParagraph"/>
        <w:numPr>
          <w:ilvl w:val="0"/>
          <w:numId w:val="72"/>
        </w:numPr>
        <w:spacing w:lineRule="exact" w:line="288" w:before="0" w:after="60"/>
        <w:rPr/>
      </w:pPr>
      <w:r>
        <w:rPr>
          <w:rFonts w:eastAsia="Cambria" w:cs="Cambria"/>
          <w:b/>
          <w:bCs/>
          <w:i w:val="false"/>
          <w:iCs w:val="false"/>
          <w:sz w:val="22"/>
          <w:szCs w:val="22"/>
        </w:rPr>
        <w:t>DUI und Einwanderung.</w:t>
      </w:r>
      <w:r>
        <w:rPr>
          <w:rFonts w:eastAsia="Cambria" w:cs="Cambria"/>
          <w:b w:val="false"/>
          <w:bCs w:val="false"/>
          <w:i w:val="false"/>
          <w:iCs w:val="false"/>
          <w:sz w:val="22"/>
          <w:szCs w:val="22"/>
        </w:rPr>
        <w:t xml:space="preserve"> Warum das passiert: Trunkenheit am Steuer (</w:t>
      </w:r>
      <w:r>
        <w:rPr>
          <w:rFonts w:eastAsia="Cambria" w:cs="Cambria"/>
          <w:b w:val="false"/>
          <w:bCs w:val="false"/>
          <w:i/>
          <w:iCs/>
          <w:sz w:val="22"/>
          <w:szCs w:val="22"/>
        </w:rPr>
        <w:t>DUI</w:t>
      </w:r>
      <w:r>
        <w:rPr>
          <w:rFonts w:eastAsia="Cambria" w:cs="Cambria"/>
          <w:b w:val="false"/>
          <w:bCs w:val="false"/>
          <w:i w:val="false"/>
          <w:iCs w:val="false"/>
          <w:sz w:val="22"/>
          <w:szCs w:val="22"/>
        </w:rP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nutze feste Fahrdienste oder Rideshare, und meide Cannabis auch dort, wo einzelne Bundesstaaten es erlauben, denn bundesrechtlich bleibt es verboten (siehe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73"/>
        </w:numPr>
        <w:spacing w:lineRule="exact" w:line="288" w:before="0" w:after="60"/>
        <w:rPr/>
      </w:pPr>
      <w:r>
        <w:rPr>
          <w:rFonts w:eastAsia="Cambria" w:cs="Cambria"/>
          <w:b/>
          <w:bCs/>
          <w:i w:val="false"/>
          <w:iCs w:val="false"/>
          <w:sz w:val="22"/>
          <w:szCs w:val="22"/>
        </w:rPr>
        <w:t>Krankenversicherung bei der Rückkehr vergessen.</w:t>
      </w:r>
      <w:r>
        <w:rPr>
          <w:rFonts w:eastAsia="Cambria" w:cs="Cambria"/>
          <w:b w:val="false"/>
          <w:bCs w:val="false"/>
          <w:i w:val="false"/>
          <w:iCs w:val="false"/>
          <w:sz w:val="22"/>
          <w:szCs w:val="22"/>
        </w:rPr>
        <w:t xml:space="preserve"> Warum das passiert: Wer Jahre in den USA privat oder über den Arbeitgeber versichert war, hat oft keine aktuelle Anwartschaft in der deutschen gesetzlichen Krankenversicherung mehr und unterschätzt, wie viel Vorlauf eine Rückkehr braucht. Was es kostet: Ohne rechtzeitige Klärung drohen Deckungslücken, ein teurer Wiedereinstieg in die private Versicherung oder Ablehnungen wegen Vorerkrankungen. So vermeidest du es: Kläre Krankenversicherung, letzte US-Steuererklärung und, bei langer Green-Card-Zeit, 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mit drei bis sechs Monaten Vorlauf, und richte den Rückkehrzeitpunkt am deutschen Schuljahr der Kinder aus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diese 25 Fallen kennt, vermeidet die teuersten Fehler schon vor dem Abflug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Fallen liegen außerhalb deiner Kontrolle: Lotterie, Age-out, Kündigung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meisten Kosten lassen sich mit Vorlauf auf ein Minimum drücken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Rechtssysteme gleichzeitig bedeuten dauerhaften Beratungsaufwand</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wie die 60-Tage-Regel oder die Anmeldefrist für Neugeborene sind planbar, sobald du sie kennst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 in zwei Ländern verlangt Zeit, die du im Alltag erst einplanen musst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Falle hier verweist auf ein Fachkapitel mit dem vollständigen Vorgehen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Liste ersetzt keine individuelle Rechts- und Steuerberatung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Geld und Steuern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Wohnen und Ankommen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bis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Familie und Alltag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Der Masterplan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xml:space="preserve"> bringt alle Fristen anschließend in eine gemeinsame Zeitleiste.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mindestens sechs Monatsfixkosten aufbauen, bevor du kündigst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21. Geburtstag aller mitreisenden Kinder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Fondssparpläne vor dem steuerlichen Zuzug mit einem Steuerberater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deutschen Verträge und Konten für die Abmeldung auflisten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Übergangsversicherung für die Lücke zwischen deutscher und US-Krankenversicherung abschließen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besicherte Kreditkarte gleich nach der SSN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Schulbezirk vor der Wohnungssuche prüfen, nicht danach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Typenschilder aller Elektrogeräte auf „100–240 V“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für Kinder so früh wie möglich anfragen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Sales Tax und Trinkgeld-Aufschlag ins Alltagsbudget einrechnen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Formulare und Statusfragen (</w:t>
      </w:r>
      <w:hyperlink r:id="rId3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35">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FBAR und Form 8938 (</w:t>
      </w:r>
      <w:hyperlink r:id="rId3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Financial Protection Bureau – Credit Score und Verbraucherrechte (</w:t>
      </w:r>
      <w:hyperlink r:id="rId37">
        <w:r>
          <w:rPr>
            <w:rStyle w:val="ListLabel113"/>
            <w:rFonts w:eastAsia="Cambria" w:cs="Cambria"/>
            <w:b w:val="false"/>
            <w:bCs w:val="false"/>
            <w:i w:val="false"/>
            <w:iCs w:val="false"/>
            <w:color w:val="0563C1"/>
            <w:sz w:val="22"/>
            <w:szCs w:val="22"/>
            <w:u w:val="single"/>
          </w:rPr>
          <w:t>consumerfinance.gov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der Kinderbetreuung (</w:t>
      </w:r>
      <w:hyperlink r:id="rId38">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Bundesfinanzministerium – FAQ zur Reform der privaten Altersvorsorge (</w:t>
      </w:r>
      <w:hyperlink r:id="rId39">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Gebühren, Fristen und Schwellenwerte – etwa die H-1B-Zusatzzahlung, die 60-Tage-Frist, FBAR-Grenzen oder Kinderbetreuungskosten – ändern sich häufig und teils durch laufende Gerichtsverfahren. Prüfe vor jeder Entscheidung die aktuellen Angaben im jeweiligen Fachkapitel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 w:name="__RefHeading___Toc56432_3457424410"/>
      <w:bookmarkStart w:id="15" w:name="k3"/>
      <w:bookmarkEnd w:id="14"/>
      <w:r>
        <w:rPr>
          <w:rFonts w:eastAsia="Amazon Ember" w:cs="Amazon Ember" w:ascii="Amazon Ember" w:hAnsi="Amazon Ember"/>
          <w:b/>
          <w:bCs/>
          <w:color w:val="0000FF"/>
          <w:sz w:val="36"/>
          <w:szCs w:val="36"/>
        </w:rPr>
        <w:t>Kapitel 3: Lohnt es sich für mich? Rechnen, prüfen, entscheiden</w:t>
      </w:r>
      <w:bookmarkEnd w:id="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Jobangebot aus Seattle: 145.000 $ im Jahr, fast das Doppelte des aktuellen deutschen Bruttogehalts. Die Excel-Tabelle mit dem Vergleich ist in zehn Minuten fertig –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Vergleiche nie Brutto mit Brutto: Erst nach Steuern, Sozialabgaben, Krankenversicherung, Miete und Kinderbetreuung zeigt sich, was wirklich bleibt.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vereinfachte Beispielrechnungen (Single, Paar, Familie mit zwei Kindern) zeigen den Rechenweg – und wie stark Bundesstaat, Stadt und Partnerstatus das Ergebnis verschieben.</w:t>
            </w:r>
          </w:p>
          <w:p>
            <w:pPr>
              <w:pStyle w:val="ListParagraph"/>
              <w:numPr>
                <w:ilvl w:val="0"/>
                <w:numId w:val="1"/>
              </w:numPr>
              <w:spacing w:lineRule="exact" w:line="264" w:before="0" w:after="50"/>
              <w:rPr/>
            </w:pPr>
            <w:r>
              <w:rPr>
                <w:rFonts w:eastAsia="Cambria" w:cs="Cambria"/>
                <w:b w:val="false"/>
                <w:bCs w:val="false"/>
                <w:i w:val="false"/>
                <w:iCs w:val="false"/>
                <w:sz w:val="20"/>
                <w:szCs w:val="20"/>
              </w:rPr>
              <w:t>Trenne Muss-, Kann- und Ausschlusskriterien in einer Entscheidungsmatrix, bevor Gefühl und Gehaltszahl durcheinandergeraten.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Familienrat gehört vor die Unterschrift: Partnerkarriere, Kinder je nach Lebensalter, Eltern in Deutschland, die Immobilie.</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mit dem Arbeitgeber, bevor du zusagst: Relocation, unabhängiger Anwalt, Green-Card-Sponsoring, Steuerberatung, Rückkehrklausel.</w:t>
            </w:r>
          </w:p>
          <w:p>
            <w:pPr>
              <w:pStyle w:val="ListParagraph"/>
              <w:numPr>
                <w:ilvl w:val="0"/>
                <w:numId w:val="1"/>
              </w:numPr>
              <w:spacing w:lineRule="exact" w:line="264" w:before="0" w:after="50"/>
              <w:rPr/>
            </w:pPr>
            <w:r>
              <w:rPr>
                <w:rFonts w:eastAsia="Cambria" w:cs="Cambria"/>
                <w:b w:val="false"/>
                <w:bCs w:val="false"/>
                <w:i w:val="false"/>
                <w:iCs w:val="false"/>
                <w:sz w:val="20"/>
                <w:szCs w:val="20"/>
              </w:rPr>
              <w:t>Denke in zwei bis drei Jahren statt „für immer“ – das nimmt Druck von der Entscheidung und lässt die Rückkehroption offen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der Brutto-Vergleich in die Irre führt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kennst du dein Netto aus der Gehaltsabrechnung; in den USA musst du es selbst zusammensetzen: Bund, Bundesstaat und oft die Kommune erheben Steuern, dazu kommen Sozialabgaben (</w:t>
      </w:r>
      <w:r>
        <w:rPr>
          <w:rFonts w:eastAsia="Cambria" w:cs="Cambria"/>
          <w:b w:val="false"/>
          <w:bCs w:val="false"/>
          <w:i/>
          <w:iCs/>
          <w:sz w:val="22"/>
          <w:szCs w:val="22"/>
        </w:rPr>
        <w:t>FICA</w:t>
      </w:r>
      <w:r>
        <w:rPr>
          <w:rFonts w:eastAsia="Cambria" w:cs="Cambria"/>
          <w:b w:val="false"/>
          <w:bCs w:val="false"/>
          <w:i w:val="false"/>
          <w:iCs w:val="false"/>
          <w:sz w:val="22"/>
          <w:szCs w:val="22"/>
        </w:rPr>
        <w:t>) und, anders als in der gesetzlichen Krankenversicherung, ein eigener Krankenversicherungsbeitrag, der nicht in den Abgaben steckt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mit Kindern, Kinderbetreuung schwanken zusätzlich stark nach Ort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Ein Gehalt, das in Houston komfortabel ist, kann in San Francisco knapp werden. Wer das Bruttogehalt im Kopf einfach verdoppelt und schon die Sektkorken knallen lässt, hat die Rechnung meist zu früh beendet.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Rechnungen bauen auf den bereits geprüften Zahlen aus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und führen sie erstmals zu einem vollständigen Netto-Vergleich zusammen. Sie sind bewusst vereinfacht: ohne 401(k) und Bonus, mit Durchschnittswerten statt deines konkreten Angebots, mit einer groben Näherung für die deutsche Seite. Die deutschen Zahlen stammen aus eigener Rechnung auf Basis des Einkommensteuertarifs und grober Sozialabgabenquoten; sie ersetzen keinen Gehaltsrechner.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zwei Dinge im Kopf: Erstens verschieben Bundesstaat und Stadt das Ergebnis stärker als das Gehalt selbst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zeigt für dasselbe Bruttogehalt eine Spanne von mehreren Prozentpunkten Netto allein durch den Bundesstaat, und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rechnet vereinfachte Beispiele, keine Steuer- oder Finanzberatung. Jede der drei Rechnungen lässt Faktoren weg, die bei dir anders ausfallen: 401(k) und Bonus, Aktienvergütung, Kirchensteuer, dein tatsächlicher deutscher Grenzsteuersatz, das Ehegattensplitting. Nutze die Beispiele als Ausgangspunkt für deine eigene Rechnung, nicht als Ergebnis.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1: Single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ledige Fachkraft mit 120.000 $ Jahresgehalt zieht mit H-1B-Status nach Seattle, Washington. Nach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bleiben ihr dort, weil Inhaber eines Nichteinwanderervisums seit 1. Januar 2026 von der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sind, netto 92.281 $ (76,9 %) nach Bundessteuer, Sozialabgaben und Staatsumlage. Davon gehen im Schnitt 1.440 $ Krankenversicherungsbeitrag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und die Miete für eine 1BR-Wohnung in Seattle, im Schnitt 2.217 $ im Monat oder 26.604 $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42"/>
        <w:gridCol w:w="2032"/>
        <w:gridCol w:w="1606"/>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104.700 €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44.300 €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27.719 $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60.400 €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92.281 $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64.237 $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Seite rechnet mit dem umgerechneten Bruttogehalt von rund 104.700 €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Warmmiete von rund 850 € im Monat. In diesem Beispiel bleibt der Single in Seattle trotz hoher Miete am Ende mehr übrig als in Deutschland – aber deutlich weniger, als der reine Brutto-Vergleich (120.000 $ gegen 104.700 €) suggeriert.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die ledige Fachkraft stattdessen eine günstigere Region wie Houston oder Austin statt Seattle, sinkt die Miete 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auf rund die Hälfte, während Bruttogehalt und Steuerlast ähnlich bleiben können. Die Stadtwahl wirkt in diesem Beispiel stärker auf das verfügbare Einkommen als jeder realistische Gehaltsunterschied zwischen zwei Jobangeboten. Wer über die Gehaltszahl verhandelt, aber die Postleitzahl ignoriert, verhandelt am falschen Hebel.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2: Paar ohne Kinder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mit zusammen 150.000 $ Jahreseinkommen, beide berufstätig, zieht ebenfalls nach Washington und veranlagt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Die Bundessteuer vor Kindergutschrift beträgt nach dem Tarif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bei diesem Einkommen 15.340 $, dazu FICA von 11.475 $ und die washingtonspezifischen Umlagen von 2.081 $ – macht 28.896 $ Abzüge und 121.104 $ Netto (80,7 %).</w:t>
      </w:r>
    </w:p>
    <w:tbl>
      <w:tblPr>
        <w:tblW w:w="6480" w:type="dxa"/>
        <w:jc w:val="left"/>
        <w:tblInd w:w="0" w:type="dxa"/>
        <w:tblLayout w:type="fixed"/>
        <w:tblCellMar>
          <w:top w:w="50" w:type="dxa"/>
          <w:left w:w="80" w:type="dxa"/>
          <w:bottom w:w="50" w:type="dxa"/>
          <w:right w:w="80" w:type="dxa"/>
        </w:tblCellMar>
      </w:tblPr>
      <w:tblGrid>
        <w:gridCol w:w="2844"/>
        <w:gridCol w:w="2032"/>
        <w:gridCol w:w="1604"/>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(gemeinsam)</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28.896 $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121.104 $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12.600 €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62.000 €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87.650 $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Krankenversicherung setzen wir den Familientarif an (Ø 6.850 $,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er deckt eigentlich auch Kinder ab, ein eigener Durchschnitt für „Paar ohne Kinder“ liegt nicht vor, der Wert ist also eher eine vorsichtige Obergrenze. Für die deutsche Seite übertragen wir näherungsweise die Abgabenquote aus der 120.000-€-Zeile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(rund 43 %) auf das etwas höhere gemeinsame Einkommen von 130.890 €; das Ehegattensplitting würde die tatsächliche Quote eher senken, der höhere Grenzsteuersatz sie eher heben – beide Effekte gleichen sich näherungsweise aus. Die Miete rechnet mit 75 m² zum bundesweiten Durchschnitt.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Einkommen bringen bei der gemeinsamen Veranlagung einen spürbaren Vorteil gegenüber dem Single-Beispiel: Ein zweites Gehalt landet in den unteren, günstigeren Stufen des gemeinsamen Tarifs, nicht in der höchsten Stufe des ersten. Das gilt aber nur, wenn beide Partner tatsächlich arbeiten dürfen – bei H-4 ist das keineswegs sicher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3: Familie mit zwei Kindern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Verdient ein Elternteil 150.000 $ im Michigan, während der andere mit H-4-Status zunächst nicht arbeiten darf – wie im Beispiel von Familie Brandt aus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 bleiben nach Bundessteuer, FICA und Michigan-Steuer 118.796 $ (79,2 %), weil die Kinder ohne Sozialversicherungsnummer nur die kleine Gutschrift von 500 $ statt 2.200 $ je Kind erhalten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Krankenversicherung übernehmen wir aus denselben Kapiteln: 2.400 $ im Monat für das Reihenhaus (28.800 $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6.850 $ Krankenversicherungsbeitrag im Familientarif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Kinderbetreuung fällt hier nicht an, weil der Partner zu Hause bleibt.</w:t>
      </w:r>
    </w:p>
    <w:tbl>
      <w:tblPr>
        <w:tblW w:w="6480" w:type="dxa"/>
        <w:jc w:val="left"/>
        <w:tblInd w:w="0" w:type="dxa"/>
        <w:tblLayout w:type="fixed"/>
        <w:tblCellMar>
          <w:top w:w="50" w:type="dxa"/>
          <w:left w:w="80" w:type="dxa"/>
          <w:bottom w:w="50" w:type="dxa"/>
          <w:right w:w="80" w:type="dxa"/>
        </w:tblCellMar>
      </w:tblPr>
      <w:tblGrid>
        <w:gridCol w:w="2838"/>
        <w:gridCol w:w="2009"/>
        <w:gridCol w:w="1633"/>
      </w:tblGrid>
      <w:tr>
        <w:trPr>
          <w:tblHeader w:val="true"/>
          <w:cantSplit w:val="true"/>
        </w:trPr>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31.204 $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(zusätzliche Zahlung)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+ 6.216 €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(wirkt bereits in der Steuer)</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26.760 €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(vor Kinderbetreuung)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54.100 €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83.146 $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deutsche Miete nehmen wir, weil Familie Brandt aus dem Raum Stuttgart stammt, das Niveau einer deutschen Großstadt an (rund 18 € pro Quadratmeter, Durchschnitt der acht größten Städte, September 2026) statt des bundesweiten Durchschnitts – der Vergleich zeigt also, was diese Familie in Stuttgart gezahlt hätte, gegen das, was sie im Großraum Detroit tatsächlich zahlt. Das deutsche Kindergeld (259 € je Kind und Monat,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ist eine eigenständige Zahlung, kein Steuerabzug; die US-Kindergutschrift wirkt dagegen direkt in der Steuerrechnung und wurde bereits eingerechnet.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Dürfte der Partner arbeiten, kämen ein zweites Gehalt, aber auch Kinderbetreuungskosten von im Schnitt 13.184 $ je Kind und Jahr hinzu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 bei zwei Kindern 26.368 $, die einen großen Teil des Zugewinns aufzehren. Für Au-pairs gilt: Familien mit H-1B, L-1 oder E-2 kommen dafür nicht infrage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Rechne ein zweites Einkommen deshalb nicht ungeprüft in dein Budget ein, sondern erst, wenn Betreuung und Arbeitserlaubnis geklärt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drei Rechnungen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in einer Währung, zur groben Orientierung: 1 € entsprach im Herbst 2026 etwa 1,1 bis 1,2 $ (EZB-Kurs 18. September 2026: 1,1460 $; bitte tagesaktuell prüfen). Umgerechnet blieben der Single-Beispielperson in Deutschland rund 57.500 $, dem Paar rund 71.000 $ und der Familie rund 62.000 $ (jeweils vor deutscher Kinderbetreuung) – gegenüber 64.237 $, 87.650 $ und 83.146 $ in den gerechneten US-Beispielen. In allen drei Fällen bleibt netto mehr übrig als der Brutto-Vergleich zeigt, aber deutlich weniger als er suggeriert, und der Abstand hängt stark vom Wohnort ab: Ein Umzug von einer teuren deutschen Großstadt in eine günstige US-Region wie den Großraum Detroit vergrößert die Lücke; ein Umzug nach San Francisco oder New York verkleinert sie oder kehrt sie um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Netto vor Brutto. Die einzige Zahl, die zählt, ist das, was am Monatsende übrig bleibt – nicht das Jahresgehalt im Angebotsschreiben.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Entscheidungsmatrix: Muss, Kann, Ausschluss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Zahlen zu einer Entscheidung werden, sortiere sie. Eine Matrix mit drei Kategorien trennt, was wirklich zählt, von dem, worüber ihr nur diskutiert.</w:t>
      </w:r>
    </w:p>
    <w:tbl>
      <w:tblPr>
        <w:tblW w:w="6480" w:type="dxa"/>
        <w:jc w:val="left"/>
        <w:tblInd w:w="0" w:type="dxa"/>
        <w:tblLayout w:type="fixed"/>
        <w:tblCellMar>
          <w:top w:w="50" w:type="dxa"/>
          <w:left w:w="80" w:type="dxa"/>
          <w:bottom w:w="50" w:type="dxa"/>
          <w:right w:w="80" w:type="dxa"/>
        </w:tblCellMar>
      </w:tblPr>
      <w:tblGrid>
        <w:gridCol w:w="2160"/>
        <w:gridCol w:w="1588"/>
        <w:gridCol w:w="2732"/>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hineingehört</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(unverzichtbar)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Bedingungen, ohne die ihr nicht geht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deckt eure Version der Rechnung oben; klare Perspektive auf eine Arbeitserlaubnis für den Partner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Krankenversicherung ab einem feststehenden Datum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(verhandelbar)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Wichtig, aber kein Abbruchgrund</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Bundesstaat oder Stadt (Kapitel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Homeoffice-Anteil; Gehalt über dem Minimum; Zeitpunkt des Umzugs im Schuljahr</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Ausschluss (K.-o.-Kriterium)</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Tritt eines ein, geht ihr nicht oder brecht ab</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Green Card trotz Daueraufenthaltswunsch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und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ein Gesundheitszustand, der die US-Versicherung unbezahlbar macht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ein pflegebedürftiger Elternteil ohne tragfähige Lösung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Füllt die drei Spalten gemeinsam aus, bevor der Arbeitgeber ein konkretes Angebot vorlegt. Wer erst unter Zeitdruck entscheidet, verwechselt leicht ein Kann mit einem Muss.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Familienrat: vier Fragen vor der Unterschrift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sind nur ein Teil der Entscheidung. Vier Themen gehören an den Familientisch, bevor jemand unterschreibt.</w:t>
      </w:r>
    </w:p>
    <w:p>
      <w:pPr>
        <w:pStyle w:val="ListParagraph"/>
        <w:numPr>
          <w:ilvl w:val="0"/>
          <w:numId w:val="1"/>
        </w:numPr>
        <w:spacing w:lineRule="exact" w:line="288" w:before="0" w:after="60"/>
        <w:rPr/>
      </w:pPr>
      <w:r>
        <w:rPr>
          <w:rFonts w:eastAsia="Cambria" w:cs="Cambria"/>
          <w:b/>
          <w:bCs/>
          <w:i w:val="false"/>
          <w:iCs w:val="false"/>
          <w:sz w:val="22"/>
          <w:szCs w:val="22"/>
        </w:rPr>
        <w:t>Partnerkarriere.</w:t>
      </w:r>
      <w:r>
        <w:rPr>
          <w:rFonts w:eastAsia="Cambria" w:cs="Cambria"/>
          <w:b w:val="false"/>
          <w:bCs w:val="false"/>
          <w:i w:val="false"/>
          <w:iCs w:val="false"/>
          <w:sz w:val="22"/>
          <w:szCs w:val="22"/>
        </w:rPr>
        <w:t xml:space="preserve"> Ob dein Partner überhaupt arbeiten darf, hängt vom Visumstyp ab: H-4 erlaubt es nur unter engen Voraussetzungen, L-2 und E-2 in der Regel großzügiger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mit einer eigenen Karriere plant, ohne die Arbeitserlaubnis zu prüfen, rechnet mit einem Gehalt, das vielleicht gar nicht fließt. Kläre auch, ob eine zwei- bis dreijährige Pause für den Partner verkraftbar ist oder den Wiedereinstieg in Deutschland erschwert.</w:t>
      </w:r>
    </w:p>
    <w:p>
      <w:pPr>
        <w:pStyle w:val="ListParagraph"/>
        <w:numPr>
          <w:ilvl w:val="0"/>
          <w:numId w:val="1"/>
        </w:numPr>
        <w:spacing w:lineRule="exact" w:line="288" w:before="0" w:after="60"/>
        <w:rPr/>
      </w:pPr>
      <w:r>
        <w:rPr>
          <w:rFonts w:eastAsia="Cambria" w:cs="Cambria"/>
          <w:b/>
          <w:bCs/>
          <w:i w:val="false"/>
          <w:iCs w:val="false"/>
          <w:sz w:val="22"/>
          <w:szCs w:val="22"/>
        </w:rPr>
        <w:t>Kinder je nach Lebensalter.</w:t>
      </w:r>
      <w:r>
        <w:rPr>
          <w:rFonts w:eastAsia="Cambria" w:cs="Cambria"/>
          <w:b w:val="false"/>
          <w:bCs w:val="false"/>
          <w:i w:val="false"/>
          <w:iCs w:val="false"/>
          <w:sz w:val="22"/>
          <w:szCs w:val="22"/>
        </w:rPr>
        <w:t xml:space="preserve"> Kleinkinder bedeuten Kinderbetreuungskosten und, ohne Au-pair-Option, eine Suche nach Kita, Tagesmutter oder Nanny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Schulkinder brauchen einen passenden Schuldistrikt, der wiederum den Wohnort mitbestimmt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Teenager verlieren beim Umzug in Klasse 10 bis 12 leicht Anschluss, weil der Notenschnitt schon ab Klasse 9 zählt, und ihr H-4- oder L-2-Status endet mit 21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wer mit älteren Kindern zieht, sollte den Zeitpunkt sorgfältig prüfen.</w:t>
      </w:r>
    </w:p>
    <w:p>
      <w:pPr>
        <w:pStyle w:val="ListParagraph"/>
        <w:numPr>
          <w:ilvl w:val="0"/>
          <w:numId w:val="1"/>
        </w:numPr>
        <w:spacing w:lineRule="exact" w:line="288" w:before="0" w:after="60"/>
        <w:rPr/>
      </w:pPr>
      <w:r>
        <w:rPr>
          <w:rFonts w:eastAsia="Cambria" w:cs="Cambria"/>
          <w:b/>
          <w:bCs/>
          <w:i w:val="false"/>
          <w:iCs w:val="false"/>
          <w:sz w:val="22"/>
          <w:szCs w:val="22"/>
        </w:rPr>
        <w:t>Eltern in Deutschland.</w:t>
      </w:r>
      <w:r>
        <w:rPr>
          <w:rFonts w:eastAsia="Cambria" w:cs="Cambria"/>
          <w:b w:val="false"/>
          <w:bCs w:val="false"/>
          <w:i w:val="false"/>
          <w:iCs w:val="false"/>
          <w:sz w:val="22"/>
          <w:szCs w:val="22"/>
        </w:rP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wöchentliche Videoanruf ersetzt keinen Griff nach der Hand im Krankenhausflur – wer das früh anerkennt, plant die Vertretung vor Ort ernster.</w:t>
      </w:r>
    </w:p>
    <w:p>
      <w:pPr>
        <w:pStyle w:val="ListParagraph"/>
        <w:numPr>
          <w:ilvl w:val="0"/>
          <w:numId w:val="1"/>
        </w:numPr>
        <w:spacing w:lineRule="exact" w:line="288" w:before="0" w:after="60"/>
        <w:rPr/>
      </w:pPr>
      <w:r>
        <w:rPr>
          <w:rFonts w:eastAsia="Cambria" w:cs="Cambria"/>
          <w:b/>
          <w:bCs/>
          <w:i w:val="false"/>
          <w:iCs w:val="false"/>
          <w:sz w:val="22"/>
          <w:szCs w:val="22"/>
        </w:rPr>
        <w:t>Immobilien.</w:t>
      </w:r>
      <w:r>
        <w:rPr>
          <w:rFonts w:eastAsia="Cambria" w:cs="Cambria"/>
          <w:b w:val="false"/>
          <w:bCs w:val="false"/>
          <w:i w:val="false"/>
          <w:iCs w:val="false"/>
          <w:sz w:val="22"/>
          <w:szCs w:val="22"/>
        </w:rPr>
        <w:t xml:space="preserve"> Eine deutsche Immobilie kannst du verkaufen, vermieten oder leer stehen lassen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 innerhalb von zehn Jahren nach dem Kauf ist nach § 23 EStG grundsätzlich steuerpflichtig, Vermietung bleibt in beiden Ländern erklärungspflichtig, und wer in Dollar verdient, aber eine Euro-Immobilie hält, trägt zusätzlich ein Währungsrisiko. Ein Verkauf vor dem Wegzug schafft Klarheit und Eigenkapital für die Anzahlung in den USA; das Behalten hält die Rückkehr offen.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(fiktives Beispiel) bespricht vor der Zusage für Phoenix, Arizona, alle vier Punkte. Jan (46) geht mit L-1-Status, Katrin (44) erhält als L-2-Ehefrau in der Regel eine eigene Arbeitserlaubnis und will als Physiotherapeutin weiterarbeiten. Paul ist 15; die Familie rechnet nach, dass sein L-2-Status mit 21 endet und er bis dahin entweder die Green Card der Eltern mitträgt oder selbst den Status wechseln muss. Am Küchentisch fragt Paul nur, ob er dann zurück nach Dresden müsste; eine sichere Antwort haben seine Eltern nicht sofort, aber immerhin einen Zeitplan, an dem sie sich orientieren können. Jans Mutter in Dresden ist gesundheitlich stabil, aber allein; die Familie vereinbart feste Videotermine und einen jährlichen Langzeitbesuch. Ihre Eigentumswohnung vermieten sie, statt sie zu verkaufen.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kein zweites Einkommen und keine großzügige Nachholung der Eltern ein, bevor du die rechtlichen Möglichkeiten geprüft hast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Ein Familienrat, der nur über Gehalt und Stadt spricht, übersieht regelmäßig die teuerste Variable.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Rechenfehler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Verhandlungsliste an die Reihe kommt, lohnt der Blick auf die häufigsten Fehler bei der eigenen Rechnung:</w:t>
      </w:r>
    </w:p>
    <w:p>
      <w:pPr>
        <w:pStyle w:val="ListParagraph"/>
        <w:numPr>
          <w:ilvl w:val="0"/>
          <w:numId w:val="1"/>
        </w:numPr>
        <w:spacing w:lineRule="exact" w:line="288" w:before="0" w:after="60"/>
        <w:rPr/>
      </w:pPr>
      <w:r>
        <w:rPr>
          <w:rFonts w:eastAsia="Cambria" w:cs="Cambria"/>
          <w:b/>
          <w:bCs/>
          <w:i w:val="false"/>
          <w:iCs w:val="false"/>
          <w:sz w:val="22"/>
          <w:szCs w:val="22"/>
        </w:rPr>
        <w:t>Brutto mit Brutto vergleichen.</w:t>
      </w:r>
      <w:r>
        <w:rPr>
          <w:rFonts w:eastAsia="Cambria" w:cs="Cambria"/>
          <w:b w:val="false"/>
          <w:bCs w:val="false"/>
          <w:i w:val="false"/>
          <w:iCs w:val="false"/>
          <w:sz w:val="22"/>
          <w:szCs w:val="22"/>
        </w:rPr>
        <w:t xml:space="preserve"> Ohne Bundesstaat, Krankenversicherung und Miete sagt die Zahl im Angebotsschreiben wenig aus (siehe oben).</w:t>
      </w:r>
    </w:p>
    <w:p>
      <w:pPr>
        <w:pStyle w:val="ListParagraph"/>
        <w:numPr>
          <w:ilvl w:val="0"/>
          <w:numId w:val="1"/>
        </w:numPr>
        <w:spacing w:lineRule="exact" w:line="288" w:before="0" w:after="60"/>
        <w:rPr/>
      </w:pPr>
      <w:r>
        <w:rPr>
          <w:rFonts w:eastAsia="Cambria" w:cs="Cambria"/>
          <w:b/>
          <w:bCs/>
          <w:i w:val="false"/>
          <w:iCs w:val="false"/>
          <w:sz w:val="22"/>
          <w:szCs w:val="22"/>
        </w:rPr>
        <w:t>Den Wechselkurs als fest behandeln.</w:t>
      </w:r>
      <w:r>
        <w:rPr>
          <w:rFonts w:eastAsia="Cambria" w:cs="Cambria"/>
          <w:b w:val="false"/>
          <w:bCs w:val="false"/>
          <w:i w:val="false"/>
          <w:iCs w:val="false"/>
          <w:sz w:val="22"/>
          <w:szCs w:val="22"/>
        </w:rPr>
        <w:t xml:space="preserve"> Der Euro-Dollar-Kurs schwankt, und eine Rechnung von heute kann in einem Jahr anders aussehen – rechne mit einer Spanne, nicht mit einem Punktwert.</w:t>
      </w:r>
    </w:p>
    <w:p>
      <w:pPr>
        <w:pStyle w:val="ListParagraph"/>
        <w:numPr>
          <w:ilvl w:val="0"/>
          <w:numId w:val="1"/>
        </w:numPr>
        <w:spacing w:lineRule="exact" w:line="288" w:before="0" w:after="60"/>
        <w:rPr/>
      </w:pPr>
      <w:r>
        <w:rPr>
          <w:rFonts w:eastAsia="Cambria" w:cs="Cambria"/>
          <w:b/>
          <w:bCs/>
          <w:i w:val="false"/>
          <w:iCs w:val="false"/>
          <w:sz w:val="22"/>
          <w:szCs w:val="22"/>
        </w:rPr>
        <w:t>Ein zweites Einkommen fest einplanen</w:t>
      </w:r>
      <w:r>
        <w:rPr>
          <w:rFonts w:eastAsia="Cambria" w:cs="Cambria"/>
          <w:b w:val="false"/>
          <w:bCs w:val="false"/>
          <w:i w:val="false"/>
          <w:iCs w:val="false"/>
          <w:sz w:val="22"/>
          <w:szCs w:val="22"/>
        </w:rPr>
        <w:t>, bevor die Arbeitserlaubnis des Partners geklärt ist (siehe Familienrat unten).</w:t>
      </w:r>
    </w:p>
    <w:p>
      <w:pPr>
        <w:pStyle w:val="ListParagraph"/>
        <w:numPr>
          <w:ilvl w:val="0"/>
          <w:numId w:val="1"/>
        </w:numPr>
        <w:spacing w:lineRule="exact" w:line="288" w:before="0" w:after="60"/>
        <w:rPr/>
      </w:pPr>
      <w:r>
        <w:rPr>
          <w:rFonts w:eastAsia="Cambria" w:cs="Cambria"/>
          <w:b/>
          <w:bCs/>
          <w:i w:val="false"/>
          <w:iCs w:val="false"/>
          <w:sz w:val="22"/>
          <w:szCs w:val="22"/>
        </w:rPr>
        <w:t>Rückkehrkosten vergessen:</w:t>
      </w:r>
      <w:r>
        <w:rPr>
          <w:rFonts w:eastAsia="Cambria" w:cs="Cambria"/>
          <w:b w:val="false"/>
          <w:bCs w:val="false"/>
          <w:i w:val="false"/>
          <w:iCs w:val="false"/>
          <w:sz w:val="22"/>
          <w:szCs w:val="22"/>
        </w:rPr>
        <w:t xml:space="preserve"> Flüge für die ganze Familie, Kündigungsfristen für Mietvertrag und Auto, ein möglicher Verlust beim Verkauf von Möbeln oder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US-Steuervorteile doppelt einplanen.</w:t>
      </w:r>
      <w:r>
        <w:rPr>
          <w:rFonts w:eastAsia="Cambria" w:cs="Cambria"/>
          <w:b w:val="false"/>
          <w:bCs w:val="false"/>
          <w:i w:val="false"/>
          <w:iCs w:val="false"/>
          <w:sz w:val="22"/>
          <w:szCs w:val="22"/>
        </w:rPr>
        <w:t xml:space="preserve"> 401(k)-Beiträge und Einzelabzüge senken zwar die Steuer, sie sind aber gebundenes oder bereits ausgegebenes Geld, kein zusätzliches Netto.</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dieser Fehler für sich ist harmlos; zusammengerechnet verwandeln sie ein verlockendes Angebot in eine Zahl, die es nie gegeben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Verhandlungsliste an den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Angebot ist ein Ausgangspunkt, kein Endpunkt, und die eigene Rechnung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 hier gehört es zum Geschäft, nicht zur Unhöflichkeit. Fünf Punkte lohnen ein Gespräch, bevor du zusagst:</w:t>
      </w:r>
    </w:p>
    <w:p>
      <w:pPr>
        <w:pStyle w:val="ListParagraph"/>
        <w:numPr>
          <w:ilvl w:val="0"/>
          <w:numId w:val="1"/>
        </w:numPr>
        <w:spacing w:lineRule="exact" w:line="288" w:before="0" w:after="60"/>
        <w:rPr/>
      </w:pPr>
      <w:r>
        <w:rPr>
          <w:rFonts w:eastAsia="Cambria" w:cs="Cambria"/>
          <w:b/>
          <w:bCs/>
          <w:i w:val="false"/>
          <w:iCs w:val="false"/>
          <w:sz w:val="22"/>
          <w:szCs w:val="22"/>
        </w:rPr>
        <w:t>Relocation-Paket.</w:t>
      </w:r>
      <w:r>
        <w:rPr>
          <w:rFonts w:eastAsia="Cambria" w:cs="Cambria"/>
          <w:b w:val="false"/>
          <w:bCs w:val="false"/>
          <w:i w:val="false"/>
          <w:iCs w:val="false"/>
          <w:sz w:val="22"/>
          <w:szCs w:val="22"/>
        </w:rPr>
        <w:t xml:space="preserve"> Frage nach Umzugskosten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Flügen für die ganze Familie und einer Übergangswohnung; möbliertes Wohnen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kostet je nach Stadt und Größe grob 3.300 bis 7.400 $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Kläre, ob die Erstattung als Gross-up erfolgt, weil sie sonst steuerpflichtiger Lohn ist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Unabhängiger Anwalt.</w:t>
      </w:r>
      <w:r>
        <w:rPr>
          <w:rFonts w:eastAsia="Cambria" w:cs="Cambria"/>
          <w:b w:val="false"/>
          <w:bCs w:val="false"/>
          <w:i w:val="false"/>
          <w:iCs w:val="false"/>
          <w:sz w:val="22"/>
          <w:szCs w:val="22"/>
        </w:rPr>
        <w:t xml:space="preserve"> Die Kanzlei, die deinen Arbeitgeber bei der H-1B-Petition begleitet – meist eine Pauschale von 2.000 bis 5.000 $, die er trägt –, vertritt seine Interessen, nicht deine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ob er eine Zweitmeinung für dich übernimmt, üblicherweise 300 bis 1.000 $, besonders bei Vorgeschichte oder komplexen Familienfällen.</w:t>
      </w:r>
    </w:p>
    <w:p>
      <w:pPr>
        <w:pStyle w:val="ListParagraph"/>
        <w:numPr>
          <w:ilvl w:val="0"/>
          <w:numId w:val="1"/>
        </w:numPr>
        <w:spacing w:lineRule="exact" w:line="288" w:before="0" w:after="60"/>
        <w:rPr/>
      </w:pPr>
      <w:r>
        <w:rPr>
          <w:rFonts w:eastAsia="Cambria" w:cs="Cambria"/>
          <w:b/>
          <w:bCs/>
          <w:i w:val="false"/>
          <w:iCs w:val="false"/>
          <w:sz w:val="22"/>
          <w:szCs w:val="22"/>
        </w:rPr>
        <w:t>Green-Card-Sponsoring.</w:t>
      </w:r>
      <w:r>
        <w:rPr>
          <w:rFonts w:eastAsia="Cambria" w:cs="Cambria"/>
          <w:b w:val="false"/>
          <w:bCs w:val="false"/>
          <w:i w:val="false"/>
          <w:iCs w:val="false"/>
          <w:sz w:val="22"/>
          <w:szCs w:val="22"/>
        </w:rPr>
        <w:t xml:space="preserve"> Frage nach einem konkreten Zeitpunkt für den Start des PERM-Verfahrens; es dauert von der Arbeitsmarktprüfung bis zur Green Card oft zweieinhalb bis viereinhalb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Arbeitgeber trägt PERM und die Petition I-140, du zahlst später die I-485-Gebühren für dich und deine Familie (1.440 $ je Erwachsenem, 950 $ je Kind unter 14).</w:t>
      </w:r>
    </w:p>
    <w:p>
      <w:pPr>
        <w:pStyle w:val="ListParagraph"/>
        <w:numPr>
          <w:ilvl w:val="0"/>
          <w:numId w:val="1"/>
        </w:numPr>
        <w:spacing w:lineRule="exact" w:line="288" w:before="0" w:after="60"/>
        <w:rPr/>
      </w:pPr>
      <w:r>
        <w:rPr>
          <w:rFonts w:eastAsia="Cambria" w:cs="Cambria"/>
          <w:b/>
          <w:bCs/>
          <w:i w:val="false"/>
          <w:iCs w:val="false"/>
          <w:sz w:val="22"/>
          <w:szCs w:val="22"/>
        </w:rPr>
        <w:t>Steuerberatung.</w:t>
      </w:r>
      <w:r>
        <w:rPr>
          <w:rFonts w:eastAsia="Cambria" w:cs="Cambria"/>
          <w:b w:val="false"/>
          <w:bCs w:val="false"/>
          <w:i w:val="false"/>
          <w:iCs w:val="false"/>
          <w:sz w:val="22"/>
          <w:szCs w:val="22"/>
        </w:rPr>
        <w:t xml:space="preserve"> Ein grenzüberschreitend erfahrener Steuerexperte (CPA oder Enrolled Agent) kostet im Einreisejahr 800 bis 2.500 $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Frage, ob das Relocation-Paket eine erste Beratung einschließt.</w:t>
      </w:r>
    </w:p>
    <w:p>
      <w:pPr>
        <w:pStyle w:val="ListParagraph"/>
        <w:numPr>
          <w:ilvl w:val="0"/>
          <w:numId w:val="1"/>
        </w:numPr>
        <w:spacing w:lineRule="exact" w:line="288" w:before="0" w:after="60"/>
        <w:rPr/>
      </w:pPr>
      <w:r>
        <w:rPr>
          <w:rFonts w:eastAsia="Cambria" w:cs="Cambria"/>
          <w:b/>
          <w:bCs/>
          <w:i w:val="false"/>
          <w:iCs w:val="false"/>
          <w:sz w:val="22"/>
          <w:szCs w:val="22"/>
        </w:rPr>
        <w:t>Rückkehrklausel.</w:t>
      </w:r>
      <w:r>
        <w:rPr>
          <w:rFonts w:eastAsia="Cambria" w:cs="Cambria"/>
          <w:b w:val="false"/>
          <w:bCs w:val="false"/>
          <w:i w:val="false"/>
          <w:iCs w:val="false"/>
          <w:sz w:val="22"/>
          <w:szCs w:val="22"/>
        </w:rPr>
        <w:t xml:space="preserve"> Vereinbare schriftlich, wer die Kosten trägt, wenn die Stelle innerhalb der ersten sechs bis zwölf Monate endet. Ohne Klausel zahlst du einen Rückflug und einen möglichen Wohnungswechsel meist selbst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mündliches „Das machen wir dann schon“ zu Green-Card-Sponsoring oder Rückkehrklausel ist im Ernstfall wertlos. Lass dir jeden Punkt, der Geld oder Status betrifft, schriftlich im Angebotsschreiben oder einer Zusatzvereinbarung bestätigen.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den ersten Überschlag reichen kostenlose Werkzeuge wie der IRS Tax Withholding Estimator; hebe dir den bezahlten Steuerberater für die endgültige Prüfung deines konkreten Angebots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Zwei-bis-drei-Jahre-Denken und die Rückkehroption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Zeithorizont passt auch zum Visumssystem: Ein H-1B-Status wird üblicherweise in Blöcken verlängert, und ein Green-Card-Verfahren über den Arbeitgeber dauert selbst im besten Fall mehrere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Druck von einer Alles-oder-nichts-Entscheidung</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Zwölf-Monats-Mietvertrag und der Aufbau einer Kredithistorie brauchen trotzdem Verbindlichkeit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und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Erleichtert die Verhandlung einer Rückkehrklausel</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ständige Rückzugsoption kann Integration und Sprachlernen bremsen (Kapitel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bis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 xml:space="preserve"> und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Macht Zwischenbilanzen mit der Familie normal, nicht dramatisch</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Hauskauf oder ein weit fortgeschrittenes Green-Card-Verfahren passt schlecht zu kurzen Etappen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ist nach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 xml:space="preserve"> planbar, kein Scheitern</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mental „auf Abruf“ lebt, investiert weniger in Freundschaften und Nachbarschaft (Kapitel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 und behältst das Zwei-bis-drei-Jahre-Denken als Sicherheitsnetz im Hinterkopf.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Netto-Rechnung mit deinem Gehalt, Zielstaat und deiner Familiengröße erstellen (Vorlage oben)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Partnerstatus und Arbeitserlaubnis-Perspektive klären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Muss-, Kann- und Ausschlusskriterien schriftlich mit Partner oder Familie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Familienrat zu Partnerkarriere, Kindern, Eltern und Immobilie abhalten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Verhandlungsliste (Relocation, Anwalt, Green-Card-Sponsoring, Steuerberatung, Rückkehrklausel) vor der Zusage durchgehen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finanziell relevanten Zusagen schriftlich im Angebot oder einer Zusatzvereinbarung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wenn möglich, am Schuljahr der Kinder ausrichten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Zeithorizont von zwei bis drei Jahren und Rückkehroption offen in der Familie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Steuerberater und Einwanderungsanwalt vor der Unterschrift einbeziehen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Tax Withholding Estimator und aktuelle Steuersätze (</w:t>
      </w:r>
      <w:hyperlink r:id="rId40">
        <w:r>
          <w:rPr>
            <w:rStyle w:val="ListLabel113"/>
            <w:rFonts w:eastAsia="Cambria" w:cs="Cambria"/>
            <w:b w:val="false"/>
            <w:bCs w:val="false"/>
            <w:i w:val="false"/>
            <w:iCs w:val="false"/>
            <w:color w:val="0563C1"/>
            <w:sz w:val="22"/>
            <w:szCs w:val="22"/>
            <w:u w:val="single"/>
          </w:rPr>
          <w:t>irs.gov/individuals/tax-withholding-estimator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Employer Health Benefits Survey (</w:t>
      </w:r>
      <w:hyperlink r:id="rId41">
        <w:r>
          <w:rPr>
            <w:rStyle w:val="ListLabel113"/>
            <w:rFonts w:eastAsia="Cambria" w:cs="Cambria"/>
            <w:b w:val="false"/>
            <w:bCs w:val="false"/>
            <w:i w:val="false"/>
            <w:iCs w:val="false"/>
            <w:color w:val="0563C1"/>
            <w:sz w:val="22"/>
            <w:szCs w:val="22"/>
            <w:u w:val="single"/>
          </w:rPr>
          <w:t>kff.org/health-costs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über den Arbeitgeber (</w:t>
      </w:r>
      <w:hyperlink r:id="rId42">
        <w:r>
          <w:rPr>
            <w:rStyle w:val="ListLabel113"/>
            <w:rFonts w:eastAsia="Cambria" w:cs="Cambria"/>
            <w:b w:val="false"/>
            <w:bCs w:val="false"/>
            <w:i w:val="false"/>
            <w:iCs w:val="false"/>
            <w:color w:val="0563C1"/>
            <w:sz w:val="22"/>
            <w:szCs w:val="22"/>
            <w:u w:val="single"/>
          </w:rPr>
          <w:t>uscis.gov/green-card/green-card-eligibility/green-card-for-employment-based-immigrants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Familienportal des Bundes — Kindergeld (</w:t>
      </w:r>
      <w:hyperlink r:id="rId43">
        <w:r>
          <w:rPr>
            <w:rStyle w:val="ListLabel113"/>
            <w:rFonts w:eastAsia="Cambria" w:cs="Cambria"/>
            <w:b w:val="false"/>
            <w:bCs w:val="false"/>
            <w:i w:val="false"/>
            <w:iCs w:val="false"/>
            <w:color w:val="0563C1"/>
            <w:sz w:val="22"/>
            <w:szCs w:val="22"/>
            <w:u w:val="single"/>
          </w:rPr>
          <w:t>familienportal.de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Statistisches Bundesamt — Wohnen und Mieten in Deutschland (</w:t>
      </w:r>
      <w:hyperlink r:id="rId44">
        <w:r>
          <w:rPr>
            <w:rStyle w:val="ListLabel113"/>
            <w:rFonts w:eastAsia="Cambria" w:cs="Cambria"/>
            <w:b w:val="false"/>
            <w:bCs w:val="false"/>
            <w:i w:val="false"/>
            <w:iCs w:val="false"/>
            <w:color w:val="0563C1"/>
            <w:sz w:val="22"/>
            <w:szCs w:val="22"/>
            <w:u w:val="single"/>
          </w:rPr>
          <w:t>destatis.de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Rechenbeispiele sind vereinfachte Näherungen auf Basis der in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Steuer- oder Finanzberatung. Schnell ändern sich Steuersätze, Krankenversicherungsprämien, Mieten und der Wechselkurs. Rechne vor jeder Entscheidung mit deinen eigenen, aktuellen Zahlen.</w:t>
            </w:r>
          </w:p>
        </w:tc>
      </w:tr>
    </w:tbl>
    <w:p>
      <w:pPr>
        <w:sectPr>
          <w:footerReference w:type="even" r:id="rId45"/>
          <w:footerReference w:type="default" r:id="rId46"/>
          <w:footerReference w:type="first" r:id="rId4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 w:name="__RefHeading___Toc56434_3457424410"/>
      <w:bookmarkEnd w:id="16"/>
      <w:r>
        <w:rPr>
          <w:rFonts w:eastAsia="Amazon Ember" w:cs="Amazon Ember" w:ascii="Amazon Ember" w:hAnsi="Amazon Ember"/>
          <w:b/>
          <w:bCs/>
          <w:color w:val="0000FF"/>
        </w:rPr>
        <w:t>TEIL II — Visum und Green Card</w:t>
      </w:r>
    </w:p>
    <w:p>
      <w:pPr>
        <w:sectPr>
          <w:footerReference w:type="even" r:id="rId48"/>
          <w:footerReference w:type="default" r:id="rId49"/>
          <w:footerReference w:type="first" r:id="rId5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Ohne das richtige Papier geht nichts. Wie H-1B, Green Card, Studium und die anderen Wege funktionieren, was sie unterscheidet und wo sie teuer oder riskant werden.</w:t>
      </w:r>
      <w:r>
        <w:br w:type="page"/>
      </w:r>
    </w:p>
    <w:p>
      <w:pPr>
        <w:pStyle w:val="Heading2"/>
        <w:keepNext w:val="true"/>
        <w:spacing w:lineRule="exact" w:line="340" w:before="0" w:after="300"/>
        <w:jc w:val="center"/>
        <w:rPr/>
      </w:pPr>
      <w:bookmarkStart w:id="17" w:name="__RefHeading___Toc56436_3457424410"/>
      <w:bookmarkStart w:id="18" w:name="k4"/>
      <w:bookmarkEnd w:id="17"/>
      <w:r>
        <w:rPr>
          <w:rFonts w:eastAsia="Amazon Ember" w:cs="Amazon Ember" w:ascii="Amazon Ember" w:hAnsi="Amazon Ember"/>
          <w:b/>
          <w:bCs/>
          <w:color w:val="0000FF"/>
          <w:sz w:val="36"/>
          <w:szCs w:val="36"/>
        </w:rPr>
        <w:t>Kapitel 4: Die Wege in die USA im Überblick</w:t>
      </w:r>
      <w:bookmarkEnd w:id="18"/>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ihn im Detail durchgehen.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Visum</w:t>
            </w:r>
            <w:r>
              <w:rPr>
                <w:rFonts w:eastAsia="Cambria" w:cs="Cambria"/>
                <w:b w:val="false"/>
                <w:bCs w:val="false"/>
                <w:i w:val="false"/>
                <w:iCs w:val="false"/>
                <w:sz w:val="20"/>
                <w:szCs w:val="20"/>
              </w:rPr>
              <w:t xml:space="preserve"> ist der Einreisestempel im Pass, ausgestellt vom Konsulat. Ein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ist die Aufenthalts- und Arbeitserlaubnis danach, dokumentiert im I-94. Beides wird ständig verwechselt, ist aber rechtlich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US-Recht unterscheidet </w:t>
            </w:r>
            <w:r>
              <w:rPr>
                <w:rFonts w:eastAsia="Cambria" w:cs="Cambria"/>
                <w:b w:val="false"/>
                <w:bCs w:val="false"/>
                <w:i/>
                <w:iCs/>
                <w:sz w:val="20"/>
                <w:szCs w:val="20"/>
              </w:rPr>
              <w:t>Nonimmigrants</w:t>
            </w:r>
            <w:r>
              <w:rPr>
                <w:rFonts w:eastAsia="Cambria" w:cs="Cambria"/>
                <w:b w:val="false"/>
                <w:bCs w:val="false"/>
                <w:i w:val="false"/>
                <w:iCs w:val="false"/>
                <w:sz w:val="20"/>
                <w:szCs w:val="20"/>
              </w:rPr>
              <w:t xml:space="preserve"> (Nichteinwanderer, befristet und zweckgebunden) und </w:t>
            </w:r>
            <w:r>
              <w:rPr>
                <w:rFonts w:eastAsia="Cambria" w:cs="Cambria"/>
                <w:b w:val="false"/>
                <w:bCs w:val="false"/>
                <w:i/>
                <w:iCs/>
                <w:sz w:val="20"/>
                <w:szCs w:val="20"/>
              </w:rPr>
              <w:t>Immigrants</w:t>
            </w:r>
            <w:r>
              <w:rPr>
                <w:rFonts w:eastAsia="Cambria" w:cs="Cambria"/>
                <w:b w:val="false"/>
                <w:bCs w:val="false"/>
                <w:i w:val="false"/>
                <w:iCs w:val="false"/>
                <w:sz w:val="20"/>
                <w:szCs w:val="20"/>
              </w:rPr>
              <w:t xml:space="preserve"> (Einwanderer mit Green Card, unbefristet). Die meisten Wege in diesem Buch beginnen als Nichteinwanderer.</w:t>
            </w:r>
          </w:p>
          <w:p>
            <w:pPr>
              <w:pStyle w:val="ListParagraph"/>
              <w:numPr>
                <w:ilvl w:val="0"/>
                <w:numId w:val="1"/>
              </w:numPr>
              <w:spacing w:lineRule="exact" w:line="264" w:before="0" w:after="50"/>
              <w:rPr/>
            </w:pPr>
            <w:r>
              <w:rPr>
                <w:rFonts w:eastAsia="Cambria" w:cs="Cambria"/>
                <w:b w:val="false"/>
                <w:bCs w:val="false"/>
                <w:i/>
                <w:iCs/>
                <w:sz w:val="20"/>
                <w:szCs w:val="20"/>
              </w:rPr>
              <w:t>Dual Intent</w:t>
            </w:r>
            <w:r>
              <w:rPr>
                <w:rFonts w:eastAsia="Cambria" w:cs="Cambria"/>
                <w:b w:val="false"/>
                <w:bCs w:val="false"/>
                <w:i w:val="false"/>
                <w:iCs w:val="false"/>
                <w:sz w:val="20"/>
                <w:szCs w:val="20"/>
              </w:rPr>
              <w:t xml:space="preserve"> (doppelte Absicht) erlaubt bei H-1B und L-1, gleichzeitig befristet zu arbeiten und die Green Card anzustreben. Andere Status verlangen den Nachweis, dass du wieder gehen willst.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von deiner Lage ab: Jobangebot, Studium, Investition, Spitzenleistung, US-Partner oder reiner Besuch führen in unterschiedliche Kapitel.</w:t>
            </w:r>
          </w:p>
          <w:p>
            <w:pPr>
              <w:pStyle w:val="ListParagraph"/>
              <w:numPr>
                <w:ilvl w:val="0"/>
                <w:numId w:val="1"/>
              </w:numPr>
              <w:spacing w:lineRule="exact" w:line="264" w:before="0" w:after="50"/>
              <w:rPr/>
            </w:pPr>
            <w:r>
              <w:rPr>
                <w:rFonts w:eastAsia="Cambria" w:cs="Cambria"/>
                <w:b w:val="false"/>
                <w:bCs w:val="false"/>
                <w:i w:val="false"/>
                <w:iCs w:val="false"/>
                <w:sz w:val="20"/>
                <w:szCs w:val="20"/>
              </w:rPr>
              <w:t>Die Vergleichstabellen zeigen Voraussetzung, Dauer, Arbeitserlaubnis für dich und deinen Partner sowie den Weg zur Green Card auf einen Blick.</w:t>
            </w:r>
          </w:p>
          <w:p>
            <w:pPr>
              <w:pStyle w:val="ListParagraph"/>
              <w:numPr>
                <w:ilvl w:val="0"/>
                <w:numId w:val="1"/>
              </w:numPr>
              <w:spacing w:lineRule="exact" w:line="264" w:before="0" w:after="50"/>
              <w:rPr/>
            </w:pPr>
            <w:r>
              <w:rPr>
                <w:rFonts w:eastAsia="Cambria" w:cs="Cambria"/>
                <w:b w:val="false"/>
                <w:bCs w:val="false"/>
                <w:i w:val="false"/>
                <w:iCs w:val="false"/>
                <w:sz w:val="20"/>
                <w:szCs w:val="20"/>
              </w:rPr>
              <w:t>Details zu jedem Weg stehen in den Kapiteln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hier geht es nur um die Einordnung.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 zwei verschiedene Dinge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wichtigste Begriffsfehler zuerst, weil fast jeder ihn macht. Verbreiteter Irrtum: Wer das Visum im Pass kleben hat, hat auch schon die Zusage, bleiben zu dürfen. Tatsächlich ist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nur der Aufkleber oder Stempel im Pass, den ein Konsulat der USA im Ausland ausstellt – in deinem Fall meist in Frankfurt, Berlin oder München. Es ist nichts weiter als die Erlaubnis, an der Grenze vorzusprechen. Über die eigentliche Einreise entscheidet der Grenzschutz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am Flughafen. Er legt fest, wie lange und in welcher Kategorie du bleiben darfst, und dokumentiert das im elektronischen Einreisenachweis I-94. Dieser Eintrag heißt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die tatsächliche Aufenthalts- und, je nach Kategorie, Arbeitserlaubnis im Land. Ein gültiges Visum garantiert also weder Einreise noch einen bestimmten Status; ein abgelaufenes Visum wiederum beendet nicht automatisch einen noch laufenden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Behörden teilen sich die Zuständigkeit: Die Einwanderungsbehörde USCIS genehmigt Anträge im Inland (etwa die Petition deines Arbeitgebers). Das Außenministerium (</w:t>
      </w:r>
      <w:r>
        <w:rPr>
          <w:rFonts w:eastAsia="Cambria" w:cs="Cambria"/>
          <w:b w:val="false"/>
          <w:bCs w:val="false"/>
          <w:i/>
          <w:iCs/>
          <w:sz w:val="22"/>
          <w:szCs w:val="22"/>
        </w:rPr>
        <w:t>State Department</w:t>
      </w:r>
      <w:r>
        <w:rPr>
          <w:rFonts w:eastAsia="Cambria" w:cs="Cambria"/>
          <w:b w:val="false"/>
          <w:bCs w:val="false"/>
          <w:i w:val="false"/>
          <w:iCs w:val="false"/>
          <w:sz w:val="22"/>
          <w:szCs w:val="22"/>
        </w:rPr>
        <w:t>, DOS) und seine Konsulate stellen das Visum aus. Der Grenzschutz CBP entscheidet über die Einreise selbst. Wer das nicht auseinanderhält, wundert sich später über Sätze wie „die Petition ist genehmigt, aber das Visum steht noch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Nichteinwanderer und Einwanderer: zwei Rechtswelten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amerikanische Einwanderungsrecht kennt im Kern zwei Welten. </w:t>
      </w:r>
      <w:r>
        <w:rPr>
          <w:rFonts w:eastAsia="Cambria" w:cs="Cambria"/>
          <w:b w:val="false"/>
          <w:bCs w:val="false"/>
          <w:i/>
          <w:iCs/>
          <w:sz w:val="22"/>
          <w:szCs w:val="22"/>
        </w:rPr>
        <w:t>Nonimmigrants</w:t>
      </w:r>
      <w:r>
        <w:rPr>
          <w:rFonts w:eastAsia="Cambria" w:cs="Cambria"/>
          <w:b w:val="false"/>
          <w:bCs w:val="false"/>
          <w:i w:val="false"/>
          <w:iCs w:val="false"/>
          <w:sz w:val="22"/>
          <w:szCs w:val="22"/>
        </w:rPr>
        <w:t xml:space="preserve"> (Nichteinwanderer) kommen befristet und zu einem bestimmten Zweck: arbeiten für einen Sponsor (H-1B, L-1, O-1), studieren (F-1), an einem Austauschprogramm teilnehmen (J-1) oder schlicht zu Besuch sein (ESTA, B-1/B-2). </w:t>
      </w:r>
      <w:r>
        <w:rPr>
          <w:rFonts w:eastAsia="Cambria" w:cs="Cambria"/>
          <w:b w:val="false"/>
          <w:bCs w:val="false"/>
          <w:i/>
          <w:iCs/>
          <w:sz w:val="22"/>
          <w:szCs w:val="22"/>
        </w:rPr>
        <w:t>Immigrants</w:t>
      </w:r>
      <w:r>
        <w:rPr>
          <w:rFonts w:eastAsia="Cambria" w:cs="Cambria"/>
          <w:b w:val="false"/>
          <w:bCs w:val="false"/>
          <w:i w:val="false"/>
          <w:iCs w:val="false"/>
          <w:sz w:val="22"/>
          <w:szCs w:val="22"/>
        </w:rPr>
        <w:t xml:space="preserve"> (Einwanderer) erhalten dagegen die Green Card: ein unbefristetes Aufenthaltsrecht ohne Bindung an Arbeitgeber oder Zweck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Nichteinwanderer-Kategorien gilt gesetzlich eine Vermutung: Wer ein solches Visum beantragt, will angeblich nicht dauerhaft bleiben. Diese Vermutung musst du beim Interview widerlegen oder zumindest nicht aktiv befeuern – ein Grund, warum Konsulatsmitarbeiter bei F-1- oder B-1-Anträgen gezielt nach Bindungen an Deutschland fragen (Wohnung, Familie, Arbeitsvertrag).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Dual Intent: darf ich zwei Dinge gleichzeitig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Kategorien machen eine wichtige Ausnahme: H-1B und L-1 erlauben </w:t>
      </w:r>
      <w:r>
        <w:rPr>
          <w:rFonts w:eastAsia="Cambria" w:cs="Cambria"/>
          <w:b w:val="false"/>
          <w:bCs w:val="false"/>
          <w:i/>
          <w:iCs/>
          <w:sz w:val="22"/>
          <w:szCs w:val="22"/>
        </w:rPr>
        <w:t>Dual Intent</w:t>
      </w:r>
      <w:r>
        <w:rPr>
          <w:rFonts w:eastAsia="Cambria" w:cs="Cambria"/>
          <w:b w:val="false"/>
          <w:bCs w:val="false"/>
          <w:i w:val="false"/>
          <w:iCs w:val="false"/>
          <w:sz w:val="22"/>
          <w:szCs w:val="22"/>
        </w:rP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vergleicht beide Etappen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(Studienweg) und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(weitere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 Weg: der Entscheidungsbaum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ordnet die häufigsten Ausgangslagen den passenden Kapiteln zu. Triffst du auf mehrere Zeilen zu, lies zunächst die, die deiner Hauptsituation am nächsten kommt, und prüfe die anderen als Alternative.</w:t>
      </w:r>
    </w:p>
    <w:tbl>
      <w:tblPr>
        <w:tblW w:w="6480" w:type="dxa"/>
        <w:jc w:val="left"/>
        <w:tblInd w:w="0" w:type="dxa"/>
        <w:tblLayout w:type="fixed"/>
        <w:tblCellMar>
          <w:top w:w="50" w:type="dxa"/>
          <w:left w:w="80" w:type="dxa"/>
          <w:bottom w:w="50" w:type="dxa"/>
          <w:right w:w="80" w:type="dxa"/>
        </w:tblCellMar>
      </w:tblPr>
      <w:tblGrid>
        <w:gridCol w:w="2936"/>
        <w:gridCol w:w="2448"/>
        <w:gridCol w:w="1096"/>
      </w:tblGrid>
      <w:tr>
        <w:trPr>
          <w:tblHeader w:val="true"/>
          <w:cantSplit w:val="true"/>
        </w:trPr>
        <w:tc>
          <w:tcPr>
            <w:tcW w:w="2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Situation</w:t>
            </w:r>
          </w:p>
        </w:tc>
        <w:tc>
          <w:tcPr>
            <w:tcW w:w="2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Passender Weg</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Details in</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eines US-Arbeitgebers</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bei Konzernversetzung auch L-1</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(und 9 für L-1)</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kein Jobangebot</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Direktweg ohne Sponsor, Kapital oder Nachweis; Studium oder eigene Investition prüfen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studieren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danach OPT/STEM-OPT und Statuswechsel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gründen oder investieren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(Deutschland ist Vertragsstaat)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fachlich eine Spitzenkraft mit Nachweisen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langfristig auch EB-1 als Green-Card-Weg</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und </w:t>
            </w:r>
            <w:hyperlink w:anchor="k6">
              <w:r>
                <w:rPr>
                  <w:rStyle w:val="ListLabel112"/>
                  <w:rFonts w:eastAsia="Cambria" w:cs="Cambria"/>
                  <w:b w:val="false"/>
                  <w:bCs w:val="false"/>
                  <w:i w:val="false"/>
                  <w:iCs w:val="false"/>
                  <w:sz w:val="18"/>
                  <w:szCs w:val="18"/>
                </w:rPr>
                <w:t>6</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einen US-Partner</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gegebenenfalls K-1-Verlobtenvisum</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nur zu Besuch, zu Meetings oder Vorstellungsgesprächen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oder B-1/B-2, keine Arbeit erlaubt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 Jobangebot hat, sollte nicht resignieren, aber ehrlich rechnen: Der Studienweg kostet Zeit und Geld, ohne die Lotterie zu garantieren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Weg über außergewöhnliche Leistungen (O-1) verlangt eine Beweisakte, die die wenigsten von heute auf morgen zusammenstellen können; E-2 verlangt Kapital, das wirklich investiert und riskiert wird. Wer keinen der drei Wege ernsthaft gehen kann, sollte zuerst am Jobangebot arbeiten – die mit Abstand häufigste Eintrittskarte (siehe auch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zur Bewerbung aus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beiden folgenden Tabellen zeigen dieselben neun Wege aus zwei Blickwinkeln: zuerst Voraussetzung, Dauer und deine eigene Arbeitserlaubnis, dann Partner, Weg zur Green Card und ein grober Kostenanhalt. Die Zahlen sind Behördengebühren (Stand September 2026); Anwaltskosten kommen fast immer dazu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353"/>
        <w:gridCol w:w="2032"/>
        <w:gridCol w:w="1451"/>
        <w:gridCol w:w="1643"/>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 erlaubt (für dich)</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Studienabschluss, Losverfahren (85.000 Plätze)</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(max. 6)</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Jahr im Konzern im Ausland, Versetzung als Führungskraft oder Spezialist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Leistungen, strenge Beweislast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je 1 Jahr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 oder Agenten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Substanzielle Investition, Führung oder Kontrolle des Unternehmens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im eigenen Unternehmen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an einer SEVP-Hochschule, Finanznachweis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Studiendauer plus OPT 12 Monate (plus 24 bei MINT-Fächern)</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eingeschränkt (Campus, CPT, OPT)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Programmplatz (Forschung, Trainee, Au-pair)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bis 5 Jahre je nach Programm</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im Rahmen des Programms</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Reisezweck Besuch, Meeting, Konferenz</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(ESTA); B-1 im Einzelfall länger, nach Ermessen des Grenzschutzes</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oder Verlobung mit einem US-Bürger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 90 Tage bis zur Heirat, danach dauerhaft</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Statusanpassung beziehungsweise sofort mit Green Card</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plus Arbeitsmarktprüfung (PERM) oder Selbstpetition (NIW, EB-1A)</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(Verfahren rund 1–4,5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uneingeschränkt</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207"/>
        <w:gridCol w:w="1990"/>
        <w:gridCol w:w="1727"/>
        <w:gridCol w:w="1555"/>
      </w:tblGrid>
      <w:tr>
        <w:trPr>
          <w:tblHeader w:val="true"/>
          <w:cantSplit w:val="true"/>
        </w:trPr>
        <w:tc>
          <w:tcPr>
            <w:tcW w:w="1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1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c>
          <w:tcPr>
            <w:tcW w:w="1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(grober Anhalt)</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mit H-4-Arbeitserlaubnis, ab genehmigter I-140</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meist über den Arbeitgeber</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3.400 $;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oft EB-1C oder PERM</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1.385 $;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über EB-1A, hohe Ablehnungsquote</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1.055 $;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 (kein Dual Intent)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Investition plus 1.015 $ Petitionsgebühr; du 315 $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(F-2)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meist über einen späteren H-1B</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ca. 70.000–150.000 $ für einen zweijährigen Master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eigenem Antrag (J-2)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Zwei-Jahres-Sperre je nach Finanzierung prüfen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220 $ SEVIS-Gebühr, 185 $ Visumgebühr, Sponsorkosten variieren</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(kein Aufenthaltsstatus)</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40 $ (ESTA) bzw. 185 $ (B-1-Visum)</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du bist der Partner</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2.000–3.000 $ an Behördengebühren für Antrag und Statusanpassung</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frei, oder mit eigener Arbeitserlaubnis während das Verfahren läuft</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PERM und I-140; du zahlst 1.440 $ je Erwachsenem für die Statusanpassung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prüfte zu Beginn drei Wege. Markus’ Arbeitgeber hatte zwar eine US-Tochter, aber Markus selbst hatte dort noch kein Jahr gearbeitet – für L-1 fehlte damit die Voraussetzung. Ein Studium kam für die vierköpfige Familie nicht infrage. Blieb der Direktweg: Registrierung zur H-1B-Lotterie im ersten Jahr ohne Losglück, die Absage kam nüchtern per E-Mail an einem gewöhnlichen Dienstagabend, im zweiten Anlauf dann die Zusage. Anna erhielt H-4 ohne Arbeitserlaubnis. Die Familie plant den Wechsel zur Green Card über Markus’ Arbeitgeber, sobald der H-1B-Status gesichert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Realistische Zeitpläne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ein Weg tatsächlich dauert, hängt stärker von Vorbereitung und Losglück ab als von der reinen Bearbeitungszeit einer Behörde. Die folgende Tabelle zeigt grobe, realistische Spannen von der ersten Entscheidung bis zum gesicherten Status.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Realistischer Zeitplan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über Arbeitgeber</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Auswahl bis Ende März, Petition ab 1. April, Start 1. Oktober; oft erst im zweiten oder dritten Lotteriejahr ein Treffer</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einige Monate ab der Entscheidung des Konzerns; kein Losverfahren, oft der schnellste Weg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 OPT → H-1B</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rund ein Jahr vorher, Studium 1–2 Jahre, danach OPT und STEM-OPT mit bis zu drei bis vier H-1B-Losrunden: realistisch 3–6 Jahre bis zum gesicherten Arbeitsstatus</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(Investition)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Geschäftsplan und Kapitalnachweis vorbereiten, dann Antrag: oft 6–12 Monate</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(Spitzenleistung)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Belegsammlung ist der Flaschenhals: oft 6–12 Monate Vorbereitung, danach zügige Bearbeitung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PERM</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PERM-Prüfung, I-140, dann I-485 oder Konsulat: rund 2,5–4,5 Jahre ab PERM-Start</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durch Heirat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plus Konsularverfahren: rund 20–24 Monate; bei Antrag im Inland oft etwas schneller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nicht den einen Weg in die USA, sondern für jede Lebenslage einen anderen. Die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gehen jeden im Detail durch; dieses Kapitel hilft dir nur, den passenden zu finden, bevor du dort weiterliest.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Regeln und Gebühren dieses Kapitels ändern sich 2026 besonders schnell. Mehrere Gerichtsverfahren zur H-1B-Zusatzgebühr und zur festen Aufenthaltsdauer bei F-1/J-1 laufen parallel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nennen den Stand). Verlass dich nie auf einen Zeitungsartikel von vor einem Jahr; prüfe uscis.gov und die Kanzlei deines Arbeitgebers vor jeder Entscheidung.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Weg über den Arbeitgeber (H-1B, L-1) verlagert einen Großteil von Kosten und Bürokratie auf die Firma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bist an den Sponsor gebunden, oft über Jahre</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Studienweg eröffnet mehrere Chancen auf die H-1B-Lotterie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 kostet zwei Jahre Studiengebühren und Lebenshaltung ohne Garantie auf ein Arbeitsvisum</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Wege wie E-2 oder O-1 machen dich unabhängig vom Arbeitgeber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 verlangen Kapital oder außergewöhnliche Nachweise, die nur wenige erfüllen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bei H-1B und L-1 erlaubt, früh an die Green Card zu denken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Reine Besuchs-, Studien- und Austauschvisa erlauben das ausdrücklich nicht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Wege parallel im Blick zu behalten erhöht die Erfolgschance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Mehrgleisigkeit kostet Zeit, Geld und zusätzliche Anwaltsstunden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 deine Situation grob in eine der sieben Zeilen des Entscheidungsbaums ein und lies das dort genannte Kapitel vollständig, bevor du eine Vorentscheidung triffst. Rechne parallel mit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durch, ob sich der Aufwand für dich finanziell und persönlich lohnt. Wenn du eine Familie mitnimmst, lies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zur Arbeitserlaubnis deines Partners, bevor du dich auf einen Weg festlegst – der Unterschied zwischen L-2 (Partner arbeitet sofort) und F-2 oder O-3 (Partner arbeitet gar nicht) verändert oft die ganze Rechnung.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zeigt danach, wie Antrag, Konsulat und Anwalt zusammenspielen, unabhängig davon, welchen Weg du wählst.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meine Situation im Entscheidungsbaum eingeordnet (Jobangebot, Studium, Investition, Spitzenleistung, Partner, Besuch).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das passende Detailkapitel (5 bis 9) vollständig gelesen.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verstehe den Unterschied zwischen Visum und Status.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weiß, ob mein Weg Dual Intent erlaubt oder ob ich eine Rückkehrabsicht nachweisen muss.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realistische Zeit- und Kostenrahmen für meinen Weg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geprüft, ob und wie mein Partner arbeiten darf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mit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 ob sich der Weg für mich lohnt.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geklärt, ob ich einen eigenen Anwalt brauche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Arbeitsvisa (</w:t>
      </w:r>
      <w:hyperlink r:id="rId51">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Green Card und Kategorien (</w:t>
      </w:r>
      <w:hyperlink r:id="rId52">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Visakategorien und Gebühren (</w:t>
      </w:r>
      <w:hyperlink r:id="rId53">
        <w:r>
          <w:rPr>
            <w:rStyle w:val="ListLabel113"/>
            <w:rFonts w:eastAsia="Cambria" w:cs="Cambria"/>
            <w:b w:val="false"/>
            <w:bCs w:val="false"/>
            <w:i w:val="false"/>
            <w:iCs w:val="false"/>
            <w:color w:val="0563C1"/>
            <w:sz w:val="22"/>
            <w:szCs w:val="22"/>
            <w:u w:val="single"/>
          </w:rPr>
          <w:t>travel.state.gov/visa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monatliche Stichtage für die Green Card (</w:t>
      </w:r>
      <w:hyperlink r:id="rId54">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und Studierendenstatus (</w:t>
      </w:r>
      <w:hyperlink r:id="rId55">
        <w:r>
          <w:rPr>
            <w:rStyle w:val="ListLabel113"/>
            <w:rFonts w:eastAsia="Cambria" w:cs="Cambria"/>
            <w:b w:val="false"/>
            <w:bCs w:val="false"/>
            <w:i w:val="false"/>
            <w:iCs w:val="false"/>
            <w:color w:val="0563C1"/>
            <w:sz w:val="22"/>
            <w:szCs w:val="22"/>
            <w:u w:val="single"/>
          </w:rPr>
          <w:t>ice.gov/sevis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56">
        <w:r>
          <w:rPr>
            <w:rStyle w:val="ListLabel113"/>
            <w:rFonts w:eastAsia="Cambria" w:cs="Cambria"/>
            <w:b w:val="false"/>
            <w:bCs w:val="false"/>
            <w:i w:val="false"/>
            <w:iCs w:val="false"/>
            <w:color w:val="0563C1"/>
            <w:sz w:val="22"/>
            <w:szCs w:val="22"/>
            <w:u w:val="single"/>
          </w:rPr>
          <w:t>cbp.gov/travel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Visumgebühren, Lotterie-Regeln und die Zusatzzahlung beim H-1B ändern sich derzeit besonders schnell; mehrere Gerichtsverfahren sind noch offen. Prüfe vor jeder Entscheidung die offiziellen Seiten und die Detailkapitel 5 bis 11.</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 w:name="__RefHeading___Toc56438_3457424410"/>
      <w:bookmarkStart w:id="20" w:name="k5"/>
      <w:bookmarkEnd w:id="19"/>
      <w:r>
        <w:rPr>
          <w:rFonts w:eastAsia="Amazon Ember" w:cs="Amazon Ember" w:ascii="Amazon Ember" w:hAnsi="Amazon Ember"/>
          <w:b/>
          <w:bCs/>
          <w:color w:val="0000FF"/>
          <w:sz w:val="36"/>
          <w:szCs w:val="36"/>
        </w:rPr>
        <w:t>Kapitel 5: Das H-1B-Visum</w:t>
      </w:r>
      <w:bookmarkEnd w:id="20"/>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zum 31. März erfährt dein künftiger Arbeitgeber in einem Online-Konto bei der Einwanderungsbehörde USCIS, ob die Registrierung für dich ausgewählt wurde. Im März 2026 standen 85.000 Plätzen 211.600 gültige Registrierungen gegenüber, und erstmals entschied nicht nur das Los, sondern auch das Gehalt mit. Der H-1B ist der klassische Weg für Fachkräfte in die USA und zugleich das Visum, dessen Regeln und Gebühren sich seit 2025 am schnellsten ändern. Dieses Kapitel trennt deshalb streng: Was gilt heute, was hat ein Gericht blockiert, und was ist nur vorgeschlagen?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H-1B ist ein befristetes Arbeitsvisum für Berufe, die ein Studium voraussetzen. Dein Arbeitgeber beantragt es, du bist an ihn gebunden. Die Laufzeit beträgt 3 + 3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Für neue Fälle gibt es pro Jahr nur 85.000 Plätze (65.000 reguläre, 20.000 für Abschlüsse einer US-Hochschule mit Master). Registrierung im März, Arbeitsbeginn frühestens am 1. Oktober. Seit 2026 gewichtet das Los nach Lohnstufe: Level IV bekommt vier Lose, Level I eines.</w:t>
            </w:r>
          </w:p>
          <w:p>
            <w:pPr>
              <w:pStyle w:val="ListParagraph"/>
              <w:numPr>
                <w:ilvl w:val="0"/>
                <w:numId w:val="1"/>
              </w:numPr>
              <w:spacing w:lineRule="exact" w:line="264" w:before="0" w:after="50"/>
              <w:rPr/>
            </w:pPr>
            <w:r>
              <w:rPr>
                <w:rFonts w:eastAsia="Cambria" w:cs="Cambria"/>
                <w:b w:val="false"/>
                <w:bCs w:val="false"/>
                <w:i w:val="false"/>
                <w:iCs w:val="false"/>
                <w:sz w:val="20"/>
                <w:szCs w:val="20"/>
              </w:rPr>
              <w:t>Die 100.000-$-Zahlung für Personen außerhalb der USA ist bis zum 21. September 2027 verlängert, aber gerichtlich blockiert und wird derzeit nicht erhoben (Stand 20. September 2026). Die Vorschläge zu 103.265 $ und zum Wegfall der 60-Tage-Frist sind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Behördengebühren des Arbeitgebers liegen bei Großbetrieben bei rund 3.400 $, ohne die optionale Beschleunigung (</w:t>
            </w:r>
            <w:r>
              <w:rPr>
                <w:rFonts w:eastAsia="Cambria" w:cs="Cambria"/>
                <w:b w:val="false"/>
                <w:bCs w:val="false"/>
                <w:i/>
                <w:iCs/>
                <w:sz w:val="20"/>
                <w:szCs w:val="20"/>
              </w:rPr>
              <w:t>Premium Processing</w:t>
            </w:r>
            <w:r>
              <w:rPr>
                <w:rFonts w:eastAsia="Cambria" w:cs="Cambria"/>
                <w:b w:val="false"/>
                <w:bCs w:val="false"/>
                <w:i w:val="false"/>
                <w:iCs w:val="false"/>
                <w:sz w:val="20"/>
                <w:szCs w:val="20"/>
              </w:rPr>
              <w:t>) und ohne Anwalt. Einen Teil davon darf er nicht von deinem Gehalt abziehen.</w:t>
            </w:r>
          </w:p>
          <w:p>
            <w:pPr>
              <w:pStyle w:val="ListParagraph"/>
              <w:numPr>
                <w:ilvl w:val="0"/>
                <w:numId w:val="1"/>
              </w:numPr>
              <w:spacing w:lineRule="exact" w:line="264" w:before="0" w:after="50"/>
              <w:rPr/>
            </w:pPr>
            <w:r>
              <w:rPr>
                <w:rFonts w:eastAsia="Cambria" w:cs="Cambria"/>
                <w:b w:val="false"/>
                <w:bCs w:val="false"/>
                <w:i w:val="false"/>
                <w:iCs w:val="false"/>
                <w:sz w:val="20"/>
                <w:szCs w:val="20"/>
              </w:rPr>
              <w:t>Hochschulen und Forschungseinrichtungen (</w:t>
            </w:r>
            <w:r>
              <w:rPr>
                <w:rFonts w:eastAsia="Cambria" w:cs="Cambria"/>
                <w:b w:val="false"/>
                <w:bCs w:val="false"/>
                <w:i/>
                <w:iCs/>
                <w:sz w:val="20"/>
                <w:szCs w:val="20"/>
              </w:rPr>
              <w:t>Cap-exempt</w:t>
            </w:r>
            <w:r>
              <w:rPr>
                <w:rFonts w:eastAsia="Cambria" w:cs="Cambria"/>
                <w:b w:val="false"/>
                <w:bCs w:val="false"/>
                <w:i w:val="false"/>
                <w:iCs w:val="false"/>
                <w:sz w:val="20"/>
                <w:szCs w:val="20"/>
              </w:rPr>
              <w:t>) brauchen keine 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Den aktuellen Stand prüfst du auf uscis.gov, federalregister.gov und bei der Kanzlei deines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H-1B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H-1B ist ein Arbeitsvisum auf Zeit für </w:t>
      </w:r>
      <w:r>
        <w:rPr>
          <w:rFonts w:eastAsia="Cambria" w:cs="Cambria"/>
          <w:b w:val="false"/>
          <w:bCs w:val="false"/>
          <w:i/>
          <w:iCs/>
          <w:sz w:val="22"/>
          <w:szCs w:val="22"/>
        </w:rPr>
        <w:t>Specialty Occupations</w:t>
      </w:r>
      <w:r>
        <w:rPr>
          <w:rFonts w:eastAsia="Cambria" w:cs="Cambria"/>
          <w:b w:val="false"/>
          <w:bCs w:val="false"/>
          <w:i w:val="false"/>
          <w:iCs w:val="false"/>
          <w:sz w:val="22"/>
          <w:szCs w:val="22"/>
        </w:rPr>
        <w:t xml:space="preserve"> – Tätigkeiten, die ein Studium voraussetzen – und umfasst umgangssprachlich zweierlei: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die Aufenthalts- und Arbeitserlaubnis nach der Einreise; sie steht im elektronischen Einreisenachweis I-94 (ausgestellt vom Grenzschutz CBP), und über sie wacht die Einwanderungsbehörde USCIS. Beides hängt an einem Antrag deines Arbeitgebers, der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Du kannst dich nicht selbst bewerben und darfst nur für den Arbeitgeber arbeiten, der sie gestellt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vielen anderen Visa: Der H-1B erlaubt </w:t>
      </w:r>
      <w:r>
        <w:rPr>
          <w:rFonts w:eastAsia="Cambria" w:cs="Cambria"/>
          <w:b w:val="false"/>
          <w:bCs w:val="false"/>
          <w:i/>
          <w:iCs/>
          <w:sz w:val="22"/>
          <w:szCs w:val="22"/>
        </w:rPr>
        <w:t>Dual Intent</w:t>
      </w:r>
      <w:r>
        <w:rPr>
          <w:rFonts w:eastAsia="Cambria" w:cs="Cambria"/>
          <w:b w:val="false"/>
          <w:bCs w:val="false"/>
          <w:i w:val="false"/>
          <w:iCs w:val="false"/>
          <w:sz w:val="22"/>
          <w:szCs w:val="22"/>
        </w:rPr>
        <w:t>, die gleichzeitige Absicht, später eine Green Card zu beantragen, ohne dass dir das schadet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Specialty Occupation und dein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prüft zuerst die Stelle, dann dich. Die Stelle muss hochspezialisiertes Wissen und mindestens einen US-Bachelor (oder Gleichwertiges) in einem direkt verwandten Fachgebiet verlangen. Es genügt, wenn eines von vier Kriterien erfüllt ist:</w:t>
      </w:r>
    </w:p>
    <w:p>
      <w:pPr>
        <w:pStyle w:val="ListParagraph"/>
        <w:numPr>
          <w:ilvl w:val="0"/>
          <w:numId w:val="1"/>
        </w:numPr>
        <w:spacing w:lineRule="exact" w:line="288" w:before="0" w:after="60"/>
        <w:rPr/>
      </w:pPr>
      <w:r>
        <w:rPr>
          <w:rFonts w:eastAsia="Cambria" w:cs="Cambria"/>
          <w:b w:val="false"/>
          <w:bCs w:val="false"/>
          <w:i w:val="false"/>
          <w:iCs w:val="false"/>
          <w:sz w:val="22"/>
          <w:szCs w:val="22"/>
        </w:rPr>
        <w:t>Der Abschluss ist der übliche Mindeststandard für den Beruf.</w:t>
      </w:r>
    </w:p>
    <w:p>
      <w:pPr>
        <w:pStyle w:val="ListParagraph"/>
        <w:numPr>
          <w:ilvl w:val="0"/>
          <w:numId w:val="1"/>
        </w:numPr>
        <w:spacing w:lineRule="exact" w:line="288" w:before="0" w:after="60"/>
        <w:rPr/>
      </w:pPr>
      <w:r>
        <w:rPr>
          <w:rFonts w:eastAsia="Cambria" w:cs="Cambria"/>
          <w:b w:val="false"/>
          <w:bCs w:val="false"/>
          <w:i w:val="false"/>
          <w:iCs w:val="false"/>
          <w:sz w:val="22"/>
          <w:szCs w:val="22"/>
        </w:rPr>
        <w:t>Er ist bei vergleichbaren Stellen in der Branche üblich.</w:t>
      </w:r>
    </w:p>
    <w:p>
      <w:pPr>
        <w:pStyle w:val="ListParagraph"/>
        <w:numPr>
          <w:ilvl w:val="0"/>
          <w:numId w:val="1"/>
        </w:numPr>
        <w:spacing w:lineRule="exact" w:line="288" w:before="0" w:after="60"/>
        <w:rPr/>
      </w:pPr>
      <w:r>
        <w:rPr>
          <w:rFonts w:eastAsia="Cambria" w:cs="Cambria"/>
          <w:b w:val="false"/>
          <w:bCs w:val="false"/>
          <w:i w:val="false"/>
          <w:iCs w:val="false"/>
          <w:sz w:val="22"/>
          <w:szCs w:val="22"/>
        </w:rPr>
        <w:t>Der Arbeitgeber verlangt ihn regelmäßig für diese Stelle.</w:t>
      </w:r>
    </w:p>
    <w:p>
      <w:pPr>
        <w:pStyle w:val="ListParagraph"/>
        <w:numPr>
          <w:ilvl w:val="0"/>
          <w:numId w:val="1"/>
        </w:numPr>
        <w:spacing w:lineRule="exact" w:line="288" w:before="0" w:after="60"/>
        <w:rPr/>
      </w:pPr>
      <w:r>
        <w:rPr>
          <w:rFonts w:eastAsia="Cambria" w:cs="Cambria"/>
          <w:b w:val="false"/>
          <w:bCs w:val="false"/>
          <w:i w:val="false"/>
          <w:iCs w:val="false"/>
          <w:sz w:val="22"/>
          <w:szCs w:val="22"/>
        </w:rPr>
        <w:t>Die Aufgaben sind so komplex, dass sie üblicherweise einen solchen Abschluss voraussetzen.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Abschluss muss einem US-Bachelor entsprechen. Für deutsche Bachelor-, Master- und Diplomabschlüsse belegt das in der Regel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mehr als die Hälfte der Anteile an der eigenen Firma hält, bekommt Erstgenehmigung und erste Verlängerung nur für je 18 Monate. Das betrifft Gründer (siehe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Quote und Registrierung: 85.000 Plätze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Höchstgrenze heißt </w:t>
      </w:r>
      <w:r>
        <w:rPr>
          <w:rFonts w:eastAsia="Cambria" w:cs="Cambria"/>
          <w:b w:val="false"/>
          <w:bCs w:val="false"/>
          <w:i/>
          <w:iCs/>
          <w:sz w:val="22"/>
          <w:szCs w:val="22"/>
        </w:rPr>
        <w:t>Cap</w:t>
      </w:r>
      <w:r>
        <w:rPr>
          <w:rFonts w:eastAsia="Cambria" w:cs="Cambria"/>
          <w:b w:val="false"/>
          <w:bCs w:val="false"/>
          <w:i w:val="false"/>
          <w:iCs w:val="false"/>
          <w:sz w:val="22"/>
          <w:szCs w:val="22"/>
        </w:rPr>
        <w:t>: 65.000 reguläre Plätze plus 20.000 im Master-Kontingent für Master- oder höhere Abschlüsse einer US-Hochschule, zusammen 85.000 neue Petitionen je Fiskaljahr. Das Fiskaljahr (</w:t>
      </w:r>
      <w:r>
        <w:rPr>
          <w:rFonts w:eastAsia="Cambria" w:cs="Cambria"/>
          <w:b w:val="false"/>
          <w:bCs w:val="false"/>
          <w:i/>
          <w:iCs/>
          <w:sz w:val="22"/>
          <w:szCs w:val="22"/>
        </w:rPr>
        <w:t>Fiscal Year</w:t>
      </w:r>
      <w:r>
        <w:rPr>
          <w:rFonts w:eastAsia="Cambria" w:cs="Cambria"/>
          <w:b w:val="false"/>
          <w:bCs w:val="false"/>
          <w:i w:val="false"/>
          <w:iCs w:val="false"/>
          <w:sz w:val="22"/>
          <w:szCs w:val="22"/>
        </w:rPr>
        <w:t>, FY) der US-Regierung läuft vom 1. Oktober bis 30. September; FY2027 reicht vom 1. Oktober 2026 bis 30. September 2027. Weil mehr Registrierungen eingehen als Plätze existieren, entscheidet ein Losverfahren. Wer in den USA einen Master gemacht hat, zählt für beide Kontingente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meldet dich im März online an (FY2027: 4. bis 19. März 2026) und zahlt 215 $ je Registrierung, nicht erstattbar. Registrieren mehrere Arbeitgeber dieselbe Person, zählt sie in der Auswahl nur einmal.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Lohngewichtete Auswahl: Chancen nach Lohnstufe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Runde für FY2027 ist die Auswahl lohngewichtet (Final Rule vom 29. Dezember 2025, gültig seit 27. Februar 2026). Der Arbeitgeber nennt die höchste der vier Lohnstufen (</w:t>
      </w:r>
      <w:r>
        <w:rPr>
          <w:rFonts w:eastAsia="Cambria" w:cs="Cambria"/>
          <w:b w:val="false"/>
          <w:bCs w:val="false"/>
          <w:i/>
          <w:iCs/>
          <w:sz w:val="22"/>
          <w:szCs w:val="22"/>
        </w:rPr>
        <w:t>Level</w:t>
      </w:r>
      <w:r>
        <w:rPr>
          <w:rFonts w:eastAsia="Cambria" w:cs="Cambria"/>
          <w:b w:val="false"/>
          <w:bCs w:val="false"/>
          <w:i w:val="false"/>
          <w:iCs w:val="false"/>
          <w:sz w:val="22"/>
          <w:szCs w:val="22"/>
        </w:rPr>
        <w:t xml:space="preserve"> I bis IV), die der angebotene Lohn für deine Berufsgruppe am Arbeitsort erreicht. Bei mehreren Arbeitsorten zählt das niedrigste Level, und ein Lohn unter Level I wird als Level I gemeldet. Je höher die Stufe, desto mehr Lose:</w:t>
      </w:r>
    </w:p>
    <w:tbl>
      <w:tblPr>
        <w:tblW w:w="6480" w:type="dxa"/>
        <w:jc w:val="left"/>
        <w:tblInd w:w="0" w:type="dxa"/>
        <w:tblLayout w:type="fixed"/>
        <w:tblCellMar>
          <w:top w:w="50" w:type="dxa"/>
          <w:left w:w="80" w:type="dxa"/>
          <w:bottom w:w="50" w:type="dxa"/>
          <w:right w:w="80" w:type="dxa"/>
        </w:tblCellMar>
      </w:tblPr>
      <w:tblGrid>
        <w:gridCol w:w="1244"/>
        <w:gridCol w:w="1721"/>
        <w:gridCol w:w="1245"/>
        <w:gridCol w:w="2269"/>
      </w:tblGrid>
      <w:tr>
        <w:trPr>
          <w:tblHeader w:val="true"/>
          <w:cantSplit w:val="true"/>
        </w:trPr>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Stufe</w:t>
            </w:r>
          </w:p>
        </w:tc>
        <w:tc>
          <w:tcPr>
            <w:tcW w:w="17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 ab Perzentil</w:t>
            </w:r>
          </w:p>
        </w:tc>
        <w:tc>
          <w:tcPr>
            <w:tcW w:w="12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Lose</w:t>
            </w:r>
          </w:p>
        </w:tc>
        <w:tc>
          <w:tcPr>
            <w:tcW w:w="22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Chance (DHS-Modell)</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15,3 %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30,6 %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45,9 %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IV</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61,2 %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Prozentwerte sind eine Modellrechnung des Heimatschutzministeriums DHS auf Basis der Jahre FY2020 bis FY2024, keine Prognose für ein bestimmtes Jahr. Bei reinem Zufall lag der Wert bei rund 29,6 %.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üblicherweise mehr aus, als Plätze da sind (FY2026: 120.141 Auswahlen).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Vor der Registrierung solltest du dir sagen lassen, welche Stufe der Arbeitgeber meldet: Falsche Angaben machen die Registrierung ungültig.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Maschinenbauingenieur, wird im ersten Anlauf nicht ausgewählt; die Registrierung (215 $) verfällt. Im zweiten Jahr meldet die Kanzlei des US-Unternehmens im Großraum Detroit seine Stelle als Level III an, also mit drei Losen statt einem. Ende März steht im Konto ein einziges Wort, das Markus noch ein zweites Mal nachliest, um sicherzugehen: ausgewählt. Anna, 36, und die Kinder Lena (9) und Jonas (5) reisen mit H-4-Visa nach; Anna darf zunächst nicht arbeiten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100.000-Dollar-Frage: gilt, blockiert, vorgeschlagen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Schlagzeilen Beschlüsse, Urteile und Entwürfe oft vermengen, ordnet die Übersicht die wichtigsten Regelungen nach ihrem Rechtsstatus (Stand 20. September 2026). Ein </w:t>
      </w:r>
      <w:r>
        <w:rPr>
          <w:rFonts w:eastAsia="Cambria" w:cs="Cambria"/>
          <w:b w:val="false"/>
          <w:bCs w:val="false"/>
          <w:i/>
          <w:iCs/>
          <w:sz w:val="22"/>
          <w:szCs w:val="22"/>
        </w:rPr>
        <w:t>NPRM</w:t>
      </w:r>
      <w:r>
        <w:rPr>
          <w:rFonts w:eastAsia="Cambria" w:cs="Cambria"/>
          <w:b w:val="false"/>
          <w:bCs w:val="false"/>
          <w:i w:val="false"/>
          <w:iCs w:val="false"/>
          <w:sz w:val="22"/>
          <w:szCs w:val="22"/>
        </w:rPr>
        <w:t xml:space="preserve"> (</w:t>
      </w:r>
      <w:r>
        <w:rPr>
          <w:rFonts w:eastAsia="Cambria" w:cs="Cambria"/>
          <w:b w:val="false"/>
          <w:bCs w:val="false"/>
          <w:i/>
          <w:iCs/>
          <w:sz w:val="22"/>
          <w:szCs w:val="22"/>
        </w:rPr>
        <w:t>Notice of Proposed Rulemaking</w:t>
      </w:r>
      <w:r>
        <w:rPr>
          <w:rFonts w:eastAsia="Cambria" w:cs="Cambria"/>
          <w:b w:val="false"/>
          <w:bCs w:val="false"/>
          <w:i w:val="false"/>
          <w:iCs w:val="false"/>
          <w:sz w:val="22"/>
          <w:szCs w:val="22"/>
        </w:rPr>
        <w:t>) ist der Entwurf einer Behörde, der nach einer Kommentarphase geändert oder verworfen werden kann.</w:t>
      </w:r>
    </w:p>
    <w:tbl>
      <w:tblPr>
        <w:tblW w:w="6480" w:type="dxa"/>
        <w:jc w:val="left"/>
        <w:tblInd w:w="0" w:type="dxa"/>
        <w:tblLayout w:type="fixed"/>
        <w:tblCellMar>
          <w:top w:w="50" w:type="dxa"/>
          <w:left w:w="80" w:type="dxa"/>
          <w:bottom w:w="50" w:type="dxa"/>
          <w:right w:w="80" w:type="dxa"/>
        </w:tblCellMar>
      </w:tblPr>
      <w:tblGrid>
        <w:gridCol w:w="2757"/>
        <w:gridCol w:w="1867"/>
        <w:gridCol w:w="1856"/>
      </w:tblGrid>
      <w:tr>
        <w:trPr>
          <w:tblHeader w:val="true"/>
          <w:cantSplit w:val="true"/>
        </w:trPr>
        <w:tc>
          <w:tcPr>
            <w:tcW w:w="27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Regelung</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Rechtsstatus</w:t>
            </w:r>
          </w:p>
        </w:tc>
        <w:tc>
          <w:tcPr>
            <w:tcW w:w="18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Betrifft dich, wenn …</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Lohngewichtete Auswahl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Geltendes Recht seit 27. Februar 2026</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für die Lotterie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100.000-$-Zahlung (Proklamation 10973)</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21. September 2027 verlängert, Umsetzung gerichtlich aufgehoben, Erhebung derzeit nicht möglich, Berufung anhängig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aus Deutschland über das Konsulat einreist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103.265-$-Gebühr</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25. August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ab FY2028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Wegfall der 60-Tage-Frist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11. September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deinen Job verlierst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Lohnstufen (Arbeitsministerium DOL)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Entwurf vom 27. März 2026, bis 20. September 2026 keine Endfassung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Lohnstufe deiner Stelle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Proklamation verlangt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Proklamation 10973 des Präsidenten vom 19. September 2025 (wirksam seit 21. September 2025) knüpft die Einreise von H-1B-Beschäftigten an eine Zahlung des Arbeitgebers von 100.000 $, vorab über die Plattform pay.gov. Nach der Leitlinie von USCIS vom 20. Oktober 2025 betrifft das neue Petitionen für Personen außerhalb der USA, also den typischen Weg aus Deutschland über das Konsulat, weil ESTA keine Arbeit erlaubt und der H-1B immer ein Visum braucht. Auch Cap-exempt-Arbeitgeber sind erfasst.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betroffen sind Petitionen von vor dem 21. September 2025, bereits erteilte Visa sowie im Inland genehmigte Statuswechsel, Verlängerungen und Arbeitgeberwechsel, etwa von F-1/OPT zu H-1B. Ausnahmen gewährt nur das DHS, laut USCIS in äußerst seltenen Fällen.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Gerichte daraus gemacht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8. Juni 2026 hob ein Bundesgericht in Massachusetts auf Klage von 20 Bundesstaaten die Umsetzungsrichtlinien auf (Begründung: eine Steuer ohne Ermächtigung durch den Kongress). Am 24. Juli 2026 lehnte der First Circuit ab, die Entscheidung bis zur Berufung auszusetzen. Damit kann die Zahlung derzeit nicht erhoben werden; nach Kanzleiberichten zur USCIS-FAQ vom 28. Juli 2026 dürfen Petitionen für Personen im Ausland ohne Zahlung eingereicht werden. USCIS erklärt zugleich, die Zahlung wieder zu verlangen, falls die Anordnung aufgehoben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Andere Gerichte urteilen anders: Die Klage der US-Handelskammer wies ein Bundesgericht in Washington am 23. Dezember 2025 ab, die Berufung liegt beim D.C. Circuit (Anhörung am 9. März 2026, keine Entscheidung bekannt). Eine weitere Klage in Kalifornien läuft. Am 18. September 2026 verlängerte der Präsident die Proklamation um zwölf Monate bis zum 21. September 2027; die Blockade der Erhebung ändert das nicht. Ein Verfahren, früher gezahlte Beträge zurückzuerhalten, ist nicht bekannt.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nur vorgeschlagen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25. August 2026 veröffentlichte das DHS einen Entwurf, nach dem für jede Cap-Petition 103.265 $ bei Einreichung fällig wären, zusätzlich zu allen anderen Gebühren und auch im Master-Kontingent. Mehrere Kanzleien lesen den Entwurf so, dass er auch Statuswechsel im Inland träfe, also F-1/OPT-Absolventen, die von der Proklamation ausgenommen sind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prüfe diese Lesart im Entwurfstext. Cap-exempt-Fälle, Verlängerungen, Änderungen und Arbeitgeberwechsel blieben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Kommentarfrist endet am 24. September 2026, ein Start wäre nach Kanzleiangaben frühestens in der Saison ab April 2027 (FY2028) denkbar, Klagen sind zu erwarten. Ob Arbeitgeber solche Beträge an dich weitergeben dürften, ist offen.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Blockiert heißt nicht abgeschafft. Die Gerichte können die Blockade aufheben, und dann verlangt USCIS die Zahlung wieder. Lass dir vom Arbeitgeber schriftlich sagen, wie er in diesem Fall vorgeht, und plane so, dass dein Jobangebot auch dann trägt.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So prüfst du den Stand</w:t>
      </w:r>
    </w:p>
    <w:p>
      <w:pPr>
        <w:pStyle w:val="ListParagraph"/>
        <w:numPr>
          <w:ilvl w:val="0"/>
          <w:numId w:val="74"/>
        </w:numPr>
        <w:spacing w:lineRule="exact" w:line="288" w:before="0" w:after="60"/>
        <w:rPr/>
      </w:pPr>
      <w:r>
        <w:rPr>
          <w:rFonts w:eastAsia="Cambria" w:cs="Cambria"/>
          <w:b/>
          <w:bCs/>
          <w:i w:val="false"/>
          <w:iCs w:val="false"/>
          <w:sz w:val="22"/>
          <w:szCs w:val="22"/>
        </w:rPr>
        <w:t>uscis.gov:</w:t>
      </w:r>
      <w:r>
        <w:rPr>
          <w:rFonts w:eastAsia="Cambria" w:cs="Cambria"/>
          <w:b w:val="false"/>
          <w:bCs w:val="false"/>
          <w:i w:val="false"/>
          <w:iCs w:val="false"/>
          <w:sz w:val="22"/>
          <w:szCs w:val="22"/>
        </w:rPr>
        <w:t xml:space="preserve"> Die H-1B-FAQ unter „Alerts“ nennt, ob die Zahlung derzeit erhoben wird.</w:t>
      </w:r>
    </w:p>
    <w:p>
      <w:pPr>
        <w:pStyle w:val="ListParagraph"/>
        <w:numPr>
          <w:ilvl w:val="0"/>
          <w:numId w:val="75"/>
        </w:numPr>
        <w:spacing w:lineRule="exact" w:line="288" w:before="0" w:after="60"/>
        <w:rPr/>
      </w:pPr>
      <w:r>
        <w:rPr>
          <w:rFonts w:eastAsia="Cambria" w:cs="Cambria"/>
          <w:b/>
          <w:bCs/>
          <w:i w:val="false"/>
          <w:iCs w:val="false"/>
          <w:sz w:val="22"/>
          <w:szCs w:val="22"/>
        </w:rPr>
        <w:t>federalregister.gov:</w:t>
      </w:r>
      <w:r>
        <w:rPr>
          <w:rFonts w:eastAsia="Cambria" w:cs="Cambria"/>
          <w:b w:val="false"/>
          <w:bCs w:val="false"/>
          <w:i w:val="false"/>
          <w:iCs w:val="false"/>
          <w:sz w:val="22"/>
          <w:szCs w:val="22"/>
        </w:rPr>
        <w:t xml:space="preserve"> Suche nach „H-1B“. „Proposed Rule“ ist ein Entwurf, „Rule“ gilt. Die Akten der beiden Entwürfe tragen die Nummern USCIS-2026-0298 (103.265 $) und USCIS-2026-0364 (60-Tage-Frist).</w:t>
      </w:r>
    </w:p>
    <w:p>
      <w:pPr>
        <w:pStyle w:val="ListParagraph"/>
        <w:numPr>
          <w:ilvl w:val="0"/>
          <w:numId w:val="76"/>
        </w:numPr>
        <w:spacing w:lineRule="exact" w:line="288" w:before="0" w:after="60"/>
        <w:rPr/>
      </w:pPr>
      <w:r>
        <w:rPr>
          <w:rFonts w:eastAsia="Cambria" w:cs="Cambria"/>
          <w:b/>
          <w:bCs/>
          <w:i w:val="false"/>
          <w:iCs w:val="false"/>
          <w:sz w:val="22"/>
          <w:szCs w:val="22"/>
        </w:rPr>
        <w:t>uscis.gov/g-1055:</w:t>
      </w:r>
      <w:r>
        <w:rPr>
          <w:rFonts w:eastAsia="Cambria" w:cs="Cambria"/>
          <w:b w:val="false"/>
          <w:bCs w:val="false"/>
          <w:i w:val="false"/>
          <w:iCs w:val="false"/>
          <w:sz w:val="22"/>
          <w:szCs w:val="22"/>
        </w:rPr>
        <w:t xml:space="preserve"> Das Gebührenblatt führt die 100.000 $ weiter auf, auch wenn sie blockiert sind. Das ist kein Beleg für eine Erhebung.</w:t>
      </w:r>
    </w:p>
    <w:p>
      <w:pPr>
        <w:pStyle w:val="ListParagraph"/>
        <w:numPr>
          <w:ilvl w:val="0"/>
          <w:numId w:val="77"/>
        </w:numPr>
        <w:spacing w:lineRule="exact" w:line="288" w:before="0" w:after="60"/>
        <w:rPr/>
      </w:pPr>
      <w:r>
        <w:rPr>
          <w:rFonts w:eastAsia="Cambria" w:cs="Cambria"/>
          <w:b/>
          <w:bCs/>
          <w:i w:val="false"/>
          <w:iCs w:val="false"/>
          <w:sz w:val="22"/>
          <w:szCs w:val="22"/>
        </w:rPr>
        <w:t>Kanzlei des Arbeitgebers:</w:t>
      </w:r>
      <w:r>
        <w:rPr>
          <w:rFonts w:eastAsia="Cambria" w:cs="Cambria"/>
          <w:b w:val="false"/>
          <w:bCs w:val="false"/>
          <w:i w:val="false"/>
          <w:iCs w:val="false"/>
          <w:sz w:val="22"/>
          <w:szCs w:val="22"/>
        </w:rPr>
        <w:t xml:space="preserve"> Die Kanzlei verfolgt jede Veröffentlichung und kennt die Details.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Entwurf bindet niemanden, ein Gerichtsbeschluss gilt bis zur nächsten Instanz, eine Final Rule ab ihrem Startdatum. Frage bei jeder Meldung, in welche der drei Schubladen sie gehört.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oder einen Einwanderungsanwalt.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und Zeitplan: von der Registrierung bis zur 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Registrierung und erstem Arbeitstag liegen mindestens sechs Monate, weil der Start frühestens am 1. Oktober erfolgt. Der Weg im Überblick (Termine nach FY2027, FY2028 voraussichtlich ähnlich):</w:t>
      </w:r>
    </w:p>
    <w:p>
      <w:pPr>
        <w:pStyle w:val="ListParagraph"/>
        <w:numPr>
          <w:ilvl w:val="0"/>
          <w:numId w:val="78"/>
        </w:numPr>
        <w:spacing w:lineRule="exact" w:line="288" w:before="0" w:after="60"/>
        <w:rPr/>
      </w:pPr>
      <w:r>
        <w:rPr>
          <w:rFonts w:eastAsia="Cambria" w:cs="Cambria"/>
          <w:b/>
          <w:bCs/>
          <w:i w:val="false"/>
          <w:iCs w:val="false"/>
          <w:sz w:val="22"/>
          <w:szCs w:val="22"/>
        </w:rPr>
        <w:t>Vorbereitung (bis Februar).</w:t>
      </w:r>
      <w:r>
        <w:rPr>
          <w:rFonts w:eastAsia="Cambria" w:cs="Cambria"/>
          <w:b w:val="false"/>
          <w:bCs w:val="false"/>
          <w:i w:val="false"/>
          <w:iCs w:val="false"/>
          <w:sz w:val="22"/>
          <w:szCs w:val="22"/>
        </w:rPr>
        <w:t xml:space="preserve"> Arbeitgeber und Kanzlei klären Stelle, Gehalt, Lohnstufe und Abschlussbewertung. Ohne verbindliche Jobzusage gibt es keine Registrierung.</w:t>
      </w:r>
    </w:p>
    <w:p>
      <w:pPr>
        <w:pStyle w:val="ListParagraph"/>
        <w:numPr>
          <w:ilvl w:val="0"/>
          <w:numId w:val="79"/>
        </w:numPr>
        <w:spacing w:lineRule="exact" w:line="288" w:before="0" w:after="60"/>
        <w:rPr/>
      </w:pPr>
      <w:r>
        <w:rPr>
          <w:rFonts w:eastAsia="Cambria" w:cs="Cambria"/>
          <w:b/>
          <w:bCs/>
          <w:i w:val="false"/>
          <w:iCs w:val="false"/>
          <w:sz w:val="22"/>
          <w:szCs w:val="22"/>
        </w:rPr>
        <w:t>Registrierung (März).</w:t>
      </w:r>
      <w:r>
        <w:rPr>
          <w:rFonts w:eastAsia="Cambria" w:cs="Cambria"/>
          <w:b w:val="false"/>
          <w:bCs w:val="false"/>
          <w:i w:val="false"/>
          <w:iCs w:val="false"/>
          <w:sz w:val="22"/>
          <w:szCs w:val="22"/>
        </w:rPr>
        <w:t xml:space="preserve"> Online, 215 $. Der Termin für 2027 steht offiziell noch nicht fest.</w:t>
      </w:r>
    </w:p>
    <w:p>
      <w:pPr>
        <w:pStyle w:val="ListParagraph"/>
        <w:numPr>
          <w:ilvl w:val="0"/>
          <w:numId w:val="80"/>
        </w:numPr>
        <w:spacing w:lineRule="exact" w:line="288" w:before="0" w:after="60"/>
        <w:rPr/>
      </w:pPr>
      <w:r>
        <w:rPr>
          <w:rFonts w:eastAsia="Cambria" w:cs="Cambria"/>
          <w:b/>
          <w:bCs/>
          <w:i w:val="false"/>
          <w:iCs w:val="false"/>
          <w:sz w:val="22"/>
          <w:szCs w:val="22"/>
        </w:rPr>
        <w:t>Auswahl (bis 31. März).</w:t>
      </w:r>
      <w:r>
        <w:rPr>
          <w:rFonts w:eastAsia="Cambria" w:cs="Cambria"/>
          <w:b w:val="false"/>
          <w:bCs w:val="false"/>
          <w:i w:val="false"/>
          <w:iCs w:val="false"/>
          <w:sz w:val="22"/>
          <w:szCs w:val="22"/>
        </w:rPr>
        <w:t xml:space="preserve"> USCIS benachrichtigt über das Konto des Arbeitgebers. Ohne Auswahl keine Cap-Petition.</w:t>
      </w:r>
    </w:p>
    <w:p>
      <w:pPr>
        <w:pStyle w:val="ListParagraph"/>
        <w:numPr>
          <w:ilvl w:val="0"/>
          <w:numId w:val="81"/>
        </w:numPr>
        <w:spacing w:lineRule="exact" w:line="288" w:before="0" w:after="60"/>
        <w:rPr/>
      </w:pPr>
      <w:r>
        <w:rPr>
          <w:rFonts w:eastAsia="Cambria" w:cs="Cambria"/>
          <w:b/>
          <w:bCs/>
          <w:i w:val="false"/>
          <w:iCs w:val="false"/>
          <w:sz w:val="22"/>
          <w:szCs w:val="22"/>
        </w:rPr>
        <w:t>LCA.</w:t>
      </w:r>
      <w:r>
        <w:rPr>
          <w:rFonts w:eastAsia="Cambria" w:cs="Cambria"/>
          <w:b w:val="false"/>
          <w:bCs w:val="false"/>
          <w:i w:val="false"/>
          <w:iCs w:val="false"/>
          <w:sz w:val="22"/>
          <w:szCs w:val="22"/>
        </w:rPr>
        <w:t xml:space="preserve"> Der Arbeitgeber reicht beim DOL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(Form ETA-9035E) ein, in der er Lohn und Arbeitsbedingungen versichert. Das DOL prüft binnen sieben Werktagen auf Vollständigkeit; die LCA ist frühestens sechs Monate vor Beginn möglich.</w:t>
      </w:r>
    </w:p>
    <w:p>
      <w:pPr>
        <w:pStyle w:val="ListParagraph"/>
        <w:numPr>
          <w:ilvl w:val="0"/>
          <w:numId w:val="82"/>
        </w:numPr>
        <w:spacing w:lineRule="exact" w:line="288" w:before="0" w:after="60"/>
        <w:rPr/>
      </w:pPr>
      <w:r>
        <w:rPr>
          <w:rFonts w:eastAsia="Cambria" w:cs="Cambria"/>
          <w:b/>
          <w:bCs/>
          <w:i w:val="false"/>
          <w:iCs w:val="false"/>
          <w:sz w:val="22"/>
          <w:szCs w:val="22"/>
        </w:rPr>
        <w:t>Petition (ab 1. April).</w:t>
      </w:r>
      <w:r>
        <w:rPr>
          <w:rFonts w:eastAsia="Cambria" w:cs="Cambria"/>
          <w:b w:val="false"/>
          <w:bCs w:val="false"/>
          <w:i w:val="false"/>
          <w:iCs w:val="false"/>
          <w:sz w:val="22"/>
          <w:szCs w:val="22"/>
        </w:rPr>
        <w:t xml:space="preserve"> Form I-129 mit Kopie der Auswahlbenachrichtigung, im Fenster von mindestens 90 Tagen. Startdatum ist der 1. Oktober oder später, die Einreichung frühestens sechs Monate davor.</w:t>
      </w:r>
    </w:p>
    <w:p>
      <w:pPr>
        <w:pStyle w:val="ListParagraph"/>
        <w:numPr>
          <w:ilvl w:val="0"/>
          <w:numId w:val="83"/>
        </w:numPr>
        <w:spacing w:lineRule="exact" w:line="288" w:before="0" w:after="60"/>
        <w:rPr/>
      </w:pPr>
      <w:r>
        <w:rPr>
          <w:rFonts w:eastAsia="Cambria" w:cs="Cambria"/>
          <w:b/>
          <w:bCs/>
          <w:i w:val="false"/>
          <w:iCs w:val="false"/>
          <w:sz w:val="22"/>
          <w:szCs w:val="22"/>
        </w:rPr>
        <w:t>Entscheidung.</w:t>
      </w:r>
      <w:r>
        <w:rPr>
          <w:rFonts w:eastAsia="Cambria" w:cs="Cambria"/>
          <w:b w:val="false"/>
          <w:bCs w:val="false"/>
          <w:i w:val="false"/>
          <w:iCs w:val="false"/>
          <w:sz w:val="22"/>
          <w:szCs w:val="22"/>
        </w:rPr>
        <w:t xml:space="preserve"> Die reguläre Bearbeitungszeit schwankt; die aktuelle zeigt USCIS auf der Seite „Processing Times“. Mit Premium Processing (Form I-907, 2.965 $) entscheidet USCIS binnen 15 Werktagen und erstattet die Gebühr bei Fristverfehlung. Eine Nachforderung von Unterlagen (</w:t>
      </w:r>
      <w:r>
        <w:rPr>
          <w:rFonts w:eastAsia="Cambria" w:cs="Cambria"/>
          <w:b w:val="false"/>
          <w:bCs w:val="false"/>
          <w:i/>
          <w:iCs/>
          <w:sz w:val="22"/>
          <w:szCs w:val="22"/>
        </w:rPr>
        <w:t>Request for Evidence</w:t>
      </w:r>
      <w:r>
        <w:rPr>
          <w:rFonts w:eastAsia="Cambria" w:cs="Cambria"/>
          <w:b w:val="false"/>
          <w:bCs w:val="false"/>
          <w:i w:val="false"/>
          <w:iCs w:val="false"/>
          <w:sz w:val="22"/>
          <w:szCs w:val="22"/>
        </w:rPr>
        <w:t>, RFE) stoppt die Frist.</w:t>
      </w:r>
    </w:p>
    <w:p>
      <w:pPr>
        <w:pStyle w:val="ListParagraph"/>
        <w:numPr>
          <w:ilvl w:val="0"/>
          <w:numId w:val="84"/>
        </w:numPr>
        <w:spacing w:lineRule="exact" w:line="288" w:before="0" w:after="60"/>
        <w:rPr/>
      </w:pPr>
      <w:r>
        <w:rPr>
          <w:rFonts w:eastAsia="Cambria" w:cs="Cambria"/>
          <w:b/>
          <w:bCs/>
          <w:i w:val="false"/>
          <w:iCs w:val="false"/>
          <w:sz w:val="22"/>
          <w:szCs w:val="22"/>
        </w:rPr>
        <w:t>Visum oder Statuswechsel.</w:t>
      </w:r>
      <w:r>
        <w:rPr>
          <w:rFonts w:eastAsia="Cambria" w:cs="Cambria"/>
          <w:b w:val="false"/>
          <w:bCs w:val="false"/>
          <w:i w:val="false"/>
          <w:iCs w:val="false"/>
          <w:sz w:val="22"/>
          <w:szCs w:val="22"/>
        </w:rPr>
        <w:t xml:space="preserve"> Aus Deutschland: DS-160 (Online-Visumantrag), Gebühr, Termin, Interview, Visum. Im Inland (F-1/OPT): Statuswechsel (</w:t>
      </w:r>
      <w:r>
        <w:rPr>
          <w:rFonts w:eastAsia="Cambria" w:cs="Cambria"/>
          <w:b w:val="false"/>
          <w:bCs w:val="false"/>
          <w:i/>
          <w:iCs/>
          <w:sz w:val="22"/>
          <w:szCs w:val="22"/>
        </w:rPr>
        <w:t>Change of Status</w:t>
      </w:r>
      <w:r>
        <w:rPr>
          <w:rFonts w:eastAsia="Cambria" w:cs="Cambria"/>
          <w:b w:val="false"/>
          <w:bCs w:val="false"/>
          <w:i w:val="false"/>
          <w:iCs w:val="false"/>
          <w:sz w:val="22"/>
          <w:szCs w:val="22"/>
        </w:rPr>
        <w:t xml:space="preserve">) bei USCIS ohne Konsulat; die Lücke bis zum 1. Oktober überbrückt die </w:t>
      </w:r>
      <w:r>
        <w:rPr>
          <w:rFonts w:eastAsia="Cambria" w:cs="Cambria"/>
          <w:b w:val="false"/>
          <w:bCs w:val="false"/>
          <w:i/>
          <w:iCs/>
          <w:sz w:val="22"/>
          <w:szCs w:val="22"/>
        </w:rPr>
        <w:t>Cap-Gap</w:t>
      </w:r>
      <w:r>
        <w:rPr>
          <w:rFonts w:eastAsia="Cambria" w:cs="Cambria"/>
          <w:b w:val="false"/>
          <w:bCs w:val="false"/>
          <w:i w:val="false"/>
          <w:iCs w:val="false"/>
          <w:sz w:val="22"/>
          <w:szCs w:val="22"/>
        </w:rPr>
        <w:t>-Regelung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85"/>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Frühestens zehn Tage vor Beginn der Gültigkeit; CBP stellt den I-94 aus. Arbeiten darfst du erst ab dem Startdatum.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Konsulat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Zuständig sind die Botschaft Berlin und die Generalkonsulate Frankfurt und München. Seit dem 2. September 2025 müssen fast alle Antragstellenden persönlich zum Interview. Das Verfahren ohne Termin (</w:t>
      </w:r>
      <w:r>
        <w:rPr>
          <w:rFonts w:eastAsia="Cambria" w:cs="Cambria"/>
          <w:b w:val="false"/>
          <w:bCs w:val="false"/>
          <w:i/>
          <w:iCs/>
          <w:sz w:val="22"/>
          <w:szCs w:val="22"/>
        </w:rPr>
        <w:t>Interview Waiver</w:t>
      </w:r>
      <w:r>
        <w:rPr>
          <w:rFonts w:eastAsia="Cambria" w:cs="Cambria"/>
          <w:b w:val="false"/>
          <w:bCs w:val="false"/>
          <w:i w:val="false"/>
          <w:iCs w:val="false"/>
          <w:sz w:val="22"/>
          <w:szCs w:val="22"/>
        </w:rPr>
        <w:t>, „Dropbox“) gilt für H-1B nicht mehr, und laut Kanzleiberichten entfällt auch die frühere Ausnahme für Kinder unter 14 und Personen über 79. Den Antrag stellst du im Land deiner Staatsangehörigkeit oder deines Wohnsitzes.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Wartezeit nannten Terminportale mit Daten des Außenministeriums (</w:t>
      </w:r>
      <w:r>
        <w:rPr>
          <w:rFonts w:eastAsia="Cambria" w:cs="Cambria"/>
          <w:b w:val="false"/>
          <w:bCs w:val="false"/>
          <w:i/>
          <w:iCs/>
          <w:sz w:val="22"/>
          <w:szCs w:val="22"/>
        </w:rPr>
        <w:t>State Department</w:t>
      </w:r>
      <w:r>
        <w:rPr>
          <w:rFonts w:eastAsia="Cambria" w:cs="Cambria"/>
          <w:b w:val="false"/>
          <w:bCs w:val="false"/>
          <w:i w:val="false"/>
          <w:iCs w:val="false"/>
          <w:sz w:val="22"/>
          <w:szCs w:val="22"/>
        </w:rPr>
        <w:t>) am 20. September 2026 für H-Visa etwa zwei Monate in Frankfurt, etwa einen Monat in Berlin und weniger als zwei Wochen in München. Das ist nur der nächste freie Termin, nicht die Bearbeitungsdauer, und enthält keine zusätzlichen Prüfungen (</w:t>
      </w:r>
      <w:r>
        <w:rPr>
          <w:rFonts w:eastAsia="Cambria" w:cs="Cambria"/>
          <w:b w:val="false"/>
          <w:bCs w:val="false"/>
          <w:i/>
          <w:iCs/>
          <w:sz w:val="22"/>
          <w:szCs w:val="22"/>
        </w:rPr>
        <w:t>Administrative Processing</w:t>
      </w:r>
      <w:r>
        <w:rPr>
          <w:rFonts w:eastAsia="Cambria" w:cs="Cambria"/>
          <w:b w:val="false"/>
          <w:bCs w:val="false"/>
          <w:i w:val="false"/>
          <w:iCs w:val="false"/>
          <w:sz w:val="22"/>
          <w:szCs w:val="22"/>
        </w:rP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Konsulat zahlst du die Antragsgebühr (MRV) von derzeit 205 $ für Petitionsvisa; der Betrag stammt aus Kanzleiübersichten 2026, die verbindliche Höhe steht unter travel.state.gov. Dazu kann die Visa Integrity Fee von 250 $ kommen, fällig bei Ausstellung. Die Erhebung ist nach den vorliegenden Berichten uneinheitlich; ob dein Konsulat sie verlangt, steht auf dessen Webseite.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Flug, Umzugsfirma und die Kündigung deiner Wohnung erst, wenn das Visum im Pass ist, und wähle stornierbare Tarife. Ein „Temporary Refusal“ (Prüfung nach Section 221(g)) kann die Erteilung verzögern und laut Kanzleien später die ESTA-Nutzung sperren (siehe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in München, hat im Januar ein Angebot aus Seattle. Die Kanzlei ihres Arbeitgebers meldet sie im März als Level III an. Am 31. März steht im Konto: ausgewählt – die Nachricht erreicht sie zwischen zwei Terminen, und sie liest die Zeile zweimal. Im April geht die Petition mit Premium Processing hinaus (2.965 $), binnen 15 Werktagen liegt die Entscheidung vor. Sabine füllt das DS-160 aus, stellt ihre Profile auf öffentlich, zahlt 205 $ Konsulargebühr und bekommt einen Termin in München. Einreisen darf sie ab dem 21. September, arbeiten ab dem 1. Oktober. Alle Behördengebühren trägt der Arbeitgeber.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Mindestlohn: Prevailing Wage und geplante Änderungen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LCA sichert der Arbeitgeber zu, dass er dir mindestens den höheren von zwei Beträgen zahlt: den Lohn vergleichbarer Beschäftigter im eigenen Betrieb oder den ortsüblichen Mindestlohn für den Beruf (</w:t>
      </w:r>
      <w:r>
        <w:rPr>
          <w:rFonts w:eastAsia="Cambria" w:cs="Cambria"/>
          <w:b w:val="false"/>
          <w:bCs w:val="false"/>
          <w:i/>
          <w:iCs/>
          <w:sz w:val="22"/>
          <w:szCs w:val="22"/>
        </w:rPr>
        <w:t>Prevailing Wage</w:t>
      </w:r>
      <w:r>
        <w:rPr>
          <w:rFonts w:eastAsia="Cambria" w:cs="Cambria"/>
          <w:b w:val="false"/>
          <w:bCs w:val="false"/>
          <w:i w:val="false"/>
          <w:iCs w:val="false"/>
          <w:sz w:val="22"/>
          <w:szCs w:val="22"/>
        </w:rPr>
        <w:t>). Diesen Wert liefert das DOL aus seiner Lohnstatistik OEWS (</w:t>
      </w:r>
      <w:r>
        <w:rPr>
          <w:rFonts w:eastAsia="Cambria" w:cs="Cambria"/>
          <w:b w:val="false"/>
          <w:bCs w:val="false"/>
          <w:i/>
          <w:iCs/>
          <w:sz w:val="22"/>
          <w:szCs w:val="22"/>
        </w:rPr>
        <w:t>Occupational Employment and Wage Statistics</w:t>
      </w:r>
      <w:r>
        <w:rPr>
          <w:rFonts w:eastAsia="Cambria" w:cs="Cambria"/>
          <w:b w:val="false"/>
          <w:bCs w:val="false"/>
          <w:i w:val="false"/>
          <w:iCs w:val="false"/>
          <w:sz w:val="22"/>
          <w:szCs w:val="22"/>
        </w:rPr>
        <w:t>), gestaffelt nach Beruf, Ort und Stufe. Die Stufen entsprechen den Perzentilen aus der Tabelle oben: Level I heißt, dass 17 % der Beschäftigten des Berufs am Ort weniger verdienen, bei Level IV sind es 67 %.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Einen einheitlichen Mindestbetrag gibt es deshalb nicht; die Kanzlei nennt dir den Wert für deine Stelle. Die Lohnpflicht besteht auch bei Nichtbeschäftigung, bis der Arbeitgeber das Arbeitsverhältnis ordnungsgemäß beendet und gemeldet hat.</w:t>
      </w:r>
    </w:p>
    <w:p>
      <w:pPr>
        <w:pStyle w:val="Normal"/>
        <w:keepNext w:val="false"/>
        <w:keepLines w:val="false"/>
        <w:spacing w:lineRule="exact" w:line="288" w:before="0" w:after="140"/>
        <w:jc w:val="left"/>
        <w:rPr/>
      </w:pPr>
      <w:r>
        <w:rPr>
          <w:rFonts w:eastAsia="Cambria" w:cs="Cambria"/>
          <w:b/>
          <w:bCs/>
          <w:i w:val="false"/>
          <w:iCs w:val="false"/>
          <w:sz w:val="22"/>
          <w:szCs w:val="22"/>
        </w:rPr>
        <w:t>Geplante Änderung (nur Entwurf).</w:t>
      </w:r>
      <w:r>
        <w:rPr>
          <w:rFonts w:eastAsia="Cambria" w:cs="Cambria"/>
          <w:b w:val="false"/>
          <w:bCs w:val="false"/>
          <w:i w:val="false"/>
          <w:iCs w:val="false"/>
          <w:sz w:val="22"/>
          <w:szCs w:val="22"/>
        </w:rPr>
        <w:t xml:space="preserve"> Das DOL hat am 27. März 2026 vorgeschlagen, die Perzentile anzuheben: Level I von 17 auf 34, Level II von 34 auf 52, Level III von 50 auf 70 und Level IV von 67 auf 88. Nach DOL-Schätzung stiege der durchschnittliche Pflichtlohn um rund 14.000 $ im Jahr, bei Level I um mehr als 30 %. Der Entwurf würde auch für Green-Card-Verfahren (PERM) gelten und ab Wirksamkeit auch für anhängige Anträge. Die Kommentarfrist endete am 26. Mai 2026; bis zum 20. September 2026 gibt es keine Endfassung.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heißt das: Ein Angebot, das heute Level III erreicht, könnte danach nur noch Level II erreichen, also weniger Lose bringen. Frage nach dem Abstand deines Gehalts zur nächsten Stufe.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alles kostet: wer zahlt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Posten mit Stand September 2026 (Quelle: USCIS-Gebührenblatt G-1055, Ausgabe 9. September 2026, sowie Kanzleiangaben). Als Kleinbetrieb gilt ein Arbeitgeber mit bis zu 25 Beschäftigten.</w:t>
      </w:r>
    </w:p>
    <w:tbl>
      <w:tblPr>
        <w:tblW w:w="6480" w:type="dxa"/>
        <w:jc w:val="left"/>
        <w:tblInd w:w="0" w:type="dxa"/>
        <w:tblLayout w:type="fixed"/>
        <w:tblCellMar>
          <w:top w:w="50" w:type="dxa"/>
          <w:left w:w="80" w:type="dxa"/>
          <w:bottom w:w="50" w:type="dxa"/>
          <w:right w:w="80" w:type="dxa"/>
        </w:tblCellMar>
      </w:tblPr>
      <w:tblGrid>
        <w:gridCol w:w="2192"/>
        <w:gridCol w:w="1399"/>
        <w:gridCol w:w="1136"/>
        <w:gridCol w:w="1752"/>
      </w:tblGrid>
      <w:tr>
        <w:trPr>
          <w:tblHeader w:val="true"/>
          <w:cantSplit w:val="true"/>
        </w:trPr>
        <w:tc>
          <w:tcPr>
            <w:tcW w:w="21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11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und Non-Profit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Petitionsgebühr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 (Ausbildungsabgabe)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 750 $ (bis 25)</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vom Lohn abziehbar; Hochschulen befreit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Fraud-Prevention-Gebühr</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Erstpetition und Arbeitgeberwechsel</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Abgabe (Pub. L. 119-21)</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du darfst dich beteiligen</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Anwaltskosten</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 RFE-Antwort 1.000–3.000 $ und mehr</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einer Kanzlei-Quelle 2026</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Konsulargebühr (MRV)</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Integrity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Ausstellung; Erhebung uneinheitlich</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im Inland</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 470 $ Papier, 420 $ online; H-4-EAD (I-765): 520 $ Papier, 470 $ online</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(siehe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100.000 $ / 103.265 $</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siehe oben</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blockiert bzw. nur Entwurf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Großbetrieb summieren sich die Behördengebühren auf 3.380 $ bei Papiereinreichung (3.330 $ online), für einen Kleinbetrieb auf 2.010 $, jeweils plus 215 $ Registrierung (eigene Summe aus dem Gebührenblatt). Mit einem Anwaltshonorar von 1.500–4.000 $ sind das für einen Großbetrieb grob 5.100–7.600 $, mit Premium Processing 8.100–10.600 $.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9-11 Response and Biometric Entry-Exit Fee von 4.000 $ trifft nur Arbeitgeber mit mindestens 50 Beschäftigten, von denen mehr als die Hälfte H-1B oder L-1 haben, also vor allem Outsourcing-Firmen. Seit dem 9. September 2026 gilt sie auch bei Verlängerungen.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Arbeitgeber darf die ACWIA-Gebühr nicht von dir zurückfordern, ebenso wenig Anwalts- und Petitionskosten, die zum H-1B-Programm gehören (20 CFR 655.731). Vertragsstrafen für vorzeitiges Ausscheiden sind unzulässig; Klauseln über echten pauschalierten Schadensersatz (</w:t>
            </w:r>
            <w:r>
              <w:rPr>
                <w:rFonts w:eastAsia="Cambria" w:cs="Cambria"/>
                <w:b w:val="false"/>
                <w:bCs w:val="false"/>
                <w:i/>
                <w:iCs/>
                <w:sz w:val="20"/>
                <w:szCs w:val="20"/>
              </w:rPr>
              <w:t>Liquidated Damages</w:t>
            </w:r>
            <w:r>
              <w:rPr>
                <w:rFonts w:eastAsia="Cambria" w:cs="Cambria"/>
                <w:b w:val="false"/>
                <w:bCs w:val="false"/>
                <w:i w:val="false"/>
                <w:iCs w:val="false"/>
                <w:sz w:val="20"/>
                <w:szCs w:val="20"/>
              </w:rPr>
              <w:t>) können nach Landesrecht dagegen erlaubt sein. Lass Rückzahlungsklauseln im Jobangebot (</w:t>
            </w:r>
            <w:r>
              <w:rPr>
                <w:rFonts w:eastAsia="Cambria" w:cs="Cambria"/>
                <w:b w:val="false"/>
                <w:bCs w:val="false"/>
                <w:i/>
                <w:iCs/>
                <w:sz w:val="20"/>
                <w:szCs w:val="20"/>
              </w:rPr>
              <w:t>Offer Letter</w:t>
            </w:r>
            <w:r>
              <w:rPr>
                <w:rFonts w:eastAsia="Cambria" w:cs="Cambria"/>
                <w:b w:val="false"/>
                <w:bCs w:val="false"/>
                <w:i w:val="false"/>
                <w:iCs w:val="false"/>
                <w:sz w:val="20"/>
                <w:szCs w:val="20"/>
              </w:rPr>
              <w:t>) prüfen,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die Kosten, die bei dir landen, vor der Unterschrift: Konsulargebühren für dich und deine Familie, Visa Integrity Fee, H-4-Anträge und Umzug. Allein die Familienanträge im Inland kosten mehrere Hundert Dollar.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Dauer: 3 + 3 Jahre und was danach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Erstgenehmigung gilt bis zu drei Jahre, die Verlängerung um bis zu weitere drei: zusammen höchstens sechs Jahre. Darüber hinaus gibt es nur Verlängerungen im Zuge eines Green-Card-Verfahrens (nach den Regeln des Gesetzes </w:t>
      </w:r>
      <w:r>
        <w:rPr>
          <w:rFonts w:eastAsia="Cambria" w:cs="Cambria"/>
          <w:b w:val="false"/>
          <w:bCs w:val="false"/>
          <w:i/>
          <w:iCs/>
          <w:sz w:val="22"/>
          <w:szCs w:val="22"/>
        </w:rPr>
        <w:t>AC21</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Drei-Jahres-Schritte,</w:t>
      </w:r>
      <w:r>
        <w:rPr>
          <w:rFonts w:eastAsia="Cambria" w:cs="Cambria"/>
          <w:b w:val="false"/>
          <w:bCs w:val="false"/>
          <w:i w:val="false"/>
          <w:iCs w:val="false"/>
          <w:sz w:val="22"/>
          <w:szCs w:val="22"/>
        </w:rPr>
        <w:t xml:space="preserve"> wenn für dich eine I-140 (Einwanderungspetition des Arbeitgebers) genehmigt ist, aber noch kein Visum verfügbar ist. Das betrifft vor allem lange Warteschlangen wie bei Indien und China.</w:t>
      </w:r>
    </w:p>
    <w:p>
      <w:pPr>
        <w:pStyle w:val="ListParagraph"/>
        <w:numPr>
          <w:ilvl w:val="0"/>
          <w:numId w:val="1"/>
        </w:numPr>
        <w:spacing w:lineRule="exact" w:line="288" w:before="0" w:after="60"/>
        <w:rPr/>
      </w:pPr>
      <w:r>
        <w:rPr>
          <w:rFonts w:eastAsia="Cambria" w:cs="Cambria"/>
          <w:b/>
          <w:bCs/>
          <w:i w:val="false"/>
          <w:iCs w:val="false"/>
          <w:sz w:val="22"/>
          <w:szCs w:val="22"/>
        </w:rPr>
        <w:t>Ein-Jahres-Schritte,</w:t>
      </w:r>
      <w:r>
        <w:rPr>
          <w:rFonts w:eastAsia="Cambria" w:cs="Cambria"/>
          <w:b w:val="false"/>
          <w:bCs w:val="false"/>
          <w:i w:val="false"/>
          <w:iCs w:val="false"/>
          <w:sz w:val="22"/>
          <w:szCs w:val="22"/>
        </w:rPr>
        <w:t xml:space="preserve"> wenn das Arbeitsmarktverfahren PERM oder die I-140 seit mindestens 365 Tagen anhängig ist.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Zeiten außerhalb der USA von mehr als 24 Stunden zählen nicht zu den sechs Jahren und lassen sich später zurückholen (</w:t>
      </w:r>
      <w:r>
        <w:rPr>
          <w:rFonts w:eastAsia="Cambria" w:cs="Cambria"/>
          <w:b w:val="false"/>
          <w:bCs w:val="false"/>
          <w:i/>
          <w:iCs/>
          <w:sz w:val="22"/>
          <w:szCs w:val="22"/>
        </w:rPr>
        <w:t>Recapture</w:t>
      </w:r>
      <w:r>
        <w:rPr>
          <w:rFonts w:eastAsia="Cambria" w:cs="Cambria"/>
          <w:b w:val="false"/>
          <w:bCs w:val="false"/>
          <w:i w:val="false"/>
          <w:iCs w:val="false"/>
          <w:sz w:val="22"/>
          <w:szCs w:val="22"/>
        </w:rPr>
        <w:t>). Den Nachweis (Pässe, I-94, Tickets) führt der Arbeitgeber – sammle also deine Reiseunterlagen. Sind die sechs Jahre ausgeschöpft, ist ein neuer H- oder L-Aufenthalt erst nach einem Jahr außerhalb der USA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ist die Green-Card-Warteschlange in der Regel deutlich kürzer als für Indien oder China. Den Ablauf (PERM, I-140, I-485) erklärt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den Vergleich mit dem H-1B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Sechs-Jahres-Uhr läuft, solange du im H-1B-Status in den USA bist. Wann du das Green-Card-Verfahren starten solltest und wie du es vertraglich absicherst, klärt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Cap-exempt-Arbeitgeber: der Weg ohne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Arbeitgeber unterliegen der Quote nicht (</w:t>
      </w:r>
      <w:r>
        <w:rPr>
          <w:rFonts w:eastAsia="Cambria" w:cs="Cambria"/>
          <w:b w:val="false"/>
          <w:bCs w:val="false"/>
          <w:i/>
          <w:iCs/>
          <w:sz w:val="22"/>
          <w:szCs w:val="22"/>
        </w:rPr>
        <w:t>Cap-exempt</w:t>
      </w:r>
      <w:r>
        <w:rPr>
          <w:rFonts w:eastAsia="Cambria" w:cs="Cambria"/>
          <w:b w:val="false"/>
          <w:bCs w:val="false"/>
          <w:i w:val="false"/>
          <w:iCs w:val="false"/>
          <w:sz w:val="22"/>
          <w:szCs w:val="22"/>
        </w:rPr>
        <w: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zudem weniger (I-129: 460 $, Asylum Program Fee: 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Grenzen. Die 100.000-$-Proklamation erfasst nach der USCIS-Leitlinie auch Cap-exempt-Arbeitgeber, wenn die Person aus dem Ausland kommt (derzeit blockiert); der Entwurf über 103.265 $ nimmt sie nach Kanzleiangaben aus. Wer später zu einem Arbeitgeber wechselt, der der Quote unterliegt (</w:t>
      </w:r>
      <w:r>
        <w:rPr>
          <w:rFonts w:eastAsia="Cambria" w:cs="Cambria"/>
          <w:b w:val="false"/>
          <w:bCs w:val="false"/>
          <w:i/>
          <w:iCs/>
          <w:sz w:val="22"/>
          <w:szCs w:val="22"/>
        </w:rPr>
        <w:t>Cap-subject</w:t>
      </w:r>
      <w:r>
        <w:rPr>
          <w:rFonts w:eastAsia="Cambria" w:cs="Cambria"/>
          <w:b w:val="false"/>
          <w:bCs w:val="false"/>
          <w:i w:val="false"/>
          <w:iCs w:val="false"/>
          <w:sz w:val="22"/>
          <w:szCs w:val="22"/>
        </w:rPr>
        <w:t>), etwa in die Industrie, braucht eine Registrierung im März und startet frühestens am 1. Oktober. Bis dahin ist Parallelbeschäftigung möglich, solange die Cap-exempt-Stelle besteht.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Das steht dir zu:</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 beim Arbeitgeber der Petition, in der beschriebenen Stelle und am Ort der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Mindestens der zugesicherte Lohn (siehe oben) und Zusatzleistungen wie Krankenversicherung zu den Bedingungen, die vergleichbare US-Beschäftigte erhalten.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Arbeitgeberwechsel ohne neue Lotterie (</w:t>
      </w:r>
      <w:r>
        <w:rPr>
          <w:rFonts w:eastAsia="Cambria" w:cs="Cambria"/>
          <w:b w:val="false"/>
          <w:bCs w:val="false"/>
          <w:i/>
          <w:iCs/>
          <w:sz w:val="22"/>
          <w:szCs w:val="22"/>
        </w:rPr>
        <w:t>Portabilität</w:t>
      </w:r>
      <w:r>
        <w:rPr>
          <w:rFonts w:eastAsia="Cambria" w:cs="Cambria"/>
          <w:b w:val="false"/>
          <w:bCs w:val="false"/>
          <w:i w:val="false"/>
          <w:iCs w:val="false"/>
          <w:sz w:val="22"/>
          <w:szCs w:val="22"/>
        </w:rPr>
        <w:t>): Du darfst beim neuen Arbeitgeber arbeiten, sobald dessen Petition eingereicht ist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Mitreise von Ehepartner und unverheirateten Kindern unter 21 mit H-4. Der Partner darf nur mit eigener Arbeitserlaubnis (</w:t>
      </w:r>
      <w:r>
        <w:rPr>
          <w:rFonts w:eastAsia="Cambria" w:cs="Cambria"/>
          <w:b w:val="false"/>
          <w:bCs w:val="false"/>
          <w:i/>
          <w:iCs/>
          <w:sz w:val="22"/>
          <w:szCs w:val="22"/>
        </w:rPr>
        <w:t>H-4-EAD</w:t>
      </w:r>
      <w:r>
        <w:rPr>
          <w:rFonts w:eastAsia="Cambria" w:cs="Cambria"/>
          <w:b w:val="false"/>
          <w:bCs w:val="false"/>
          <w:i w:val="false"/>
          <w:iCs w:val="false"/>
          <w:sz w:val="22"/>
          <w:szCs w:val="22"/>
        </w:rPr>
        <w:t>) arbeiten; die gibt es erst, wenn für dich eine I-140 genehmigt oder der H-1B über sechs Jahre hinaus verlängert ist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Beschwerde bei der Wage and Hour Division des DOL bei Lohn- oder Bedingungsverstößen. Das DOL kontrolliert seit „Project Firewall“ (September 2025) verstärkt, mit über 175 Ermittlungen.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Das musst du:</w:t>
      </w:r>
    </w:p>
    <w:p>
      <w:pPr>
        <w:pStyle w:val="ListParagraph"/>
        <w:numPr>
          <w:ilvl w:val="0"/>
          <w:numId w:val="1"/>
        </w:numPr>
        <w:spacing w:lineRule="exact" w:line="288" w:before="0" w:after="60"/>
        <w:rPr/>
      </w:pPr>
      <w:r>
        <w:rPr>
          <w:rFonts w:eastAsia="Cambria" w:cs="Cambria"/>
          <w:b w:val="false"/>
          <w:bCs w:val="false"/>
          <w:i w:val="false"/>
          <w:iCs w:val="false"/>
          <w:sz w:val="22"/>
          <w:szCs w:val="22"/>
        </w:rPr>
        <w:t>Nur für den Sponsor arbeiten. Nebenjob oder Freiberuflichkeit brauchen eine zweite Petition mit eigener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Wesentliche Änderungen (Umzug außerhalb des Beschäftigungsgebiets, neue Aufgaben) nur mit neuer LCA und geänderter Petition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Eine neue Adresse binnen zehn Tagen mit Formular AR-11 melden.</w:t>
      </w:r>
    </w:p>
    <w:p>
      <w:pPr>
        <w:pStyle w:val="ListParagraph"/>
        <w:numPr>
          <w:ilvl w:val="0"/>
          <w:numId w:val="1"/>
        </w:numPr>
        <w:spacing w:lineRule="exact" w:line="288" w:before="0" w:after="60"/>
        <w:rPr/>
      </w:pPr>
      <w:r>
        <w:rPr>
          <w:rFonts w:eastAsia="Cambria" w:cs="Cambria"/>
          <w:b w:val="false"/>
          <w:bCs w:val="false"/>
          <w:i w:val="false"/>
          <w:iCs w:val="false"/>
          <w:sz w:val="22"/>
          <w:szCs w:val="22"/>
        </w:rPr>
        <w:t>Auf das I-94-Datum achten: Es entscheidet über deinen erlaubten Aufenthalt, nicht das Visum.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Wenn der Job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11. September 2026 hat das DHS vorgeschlagen, die Frist zu streichen: Der Statusverstoß träte dann mit dem Ende der Beschäftigung ein, die Ausreise wäre sofort fällig. Die Kommentarfrist endet am 10. November 2026, bis zu einer Endfassung gilt die 60-Tage-Regel.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gibt es keinen allgemeinen Kündigungsschutz (</w:t>
      </w:r>
      <w:r>
        <w:rPr>
          <w:rFonts w:eastAsia="Cambria" w:cs="Cambria"/>
          <w:b w:val="false"/>
          <w:bCs w:val="false"/>
          <w:i/>
          <w:iCs/>
          <w:sz w:val="22"/>
          <w:szCs w:val="22"/>
        </w:rPr>
        <w:t>At-will Employment</w:t>
      </w:r>
      <w:r>
        <w:rPr>
          <w:rFonts w:eastAsia="Cambria" w:cs="Cambria"/>
          <w:b w:val="false"/>
          <w:bCs w:val="false"/>
          <w:i w:val="false"/>
          <w:iCs w:val="false"/>
          <w:sz w:val="22"/>
          <w:szCs w:val="22"/>
        </w:rPr>
        <w:t>, Kündigung ohne Grund möglich) – und am Job hängt dein Status. Notfallplan, WARN Act, COBRA und Abfindung stehen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das Arbeitsrecht in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erst, wenn die Petition des neuen Arbeitgebers eingereicht ist. Die Portabilität greift mit der Einreichung einer nicht offensichtlich aussichtslosen Petition, nicht mit dem Angebot. Wechselst du von einem Cap-exempt-Arbeitgeber in einen Cap-subject-Job, brauchst du zuerst eine Registrierung im März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18. September 2026 sollen US-Behörden nach einer Präsidialverfügung (</w:t>
      </w:r>
      <w:r>
        <w:rPr>
          <w:rFonts w:eastAsia="Cambria" w:cs="Cambria"/>
          <w:b w:val="false"/>
          <w:bCs w:val="false"/>
          <w:i/>
          <w:iCs/>
          <w:sz w:val="22"/>
          <w:szCs w:val="22"/>
        </w:rPr>
        <w:t>Executive Order</w:t>
      </w:r>
      <w:r>
        <w:rPr>
          <w:rFonts w:eastAsia="Cambria" w:cs="Cambria"/>
          <w:b w:val="false"/>
          <w:bCs w:val="false"/>
          <w:i w:val="false"/>
          <w:iCs w:val="false"/>
          <w:sz w:val="22"/>
          <w:szCs w:val="22"/>
        </w:rPr>
        <w:t>) bei LCA, Petition und Visum auch frühere Entlassungen ähnlich qualifizierter US-Beschäftigter beim Arbeitgeber berücksichtigen; die Umsetzung ist offen. Kanzleien raten, im Bewerbungsprozess nach Stellenabbau in den letzten zwölf Monaten zu fragen.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Sozialabgaben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H-1B-Beschäftigter bist du Arbeitnehmer im normalen US-Steuersystem. Vom Bruttogehalt gehen, noch bevor du es siehst, Bundessteuer, meist Bundesstaatssteuer und die Sozialabgaben </w:t>
      </w:r>
      <w:r>
        <w:rPr>
          <w:rFonts w:eastAsia="Cambria" w:cs="Cambria"/>
          <w:b w:val="false"/>
          <w:bCs w:val="false"/>
          <w:i/>
          <w:iCs/>
          <w:sz w:val="22"/>
          <w:szCs w:val="22"/>
        </w:rPr>
        <w:t>FICA</w:t>
      </w:r>
      <w:r>
        <w:rPr>
          <w:rFonts w:eastAsia="Cambria" w:cs="Cambria"/>
          <w:b w:val="false"/>
          <w:bCs w:val="false"/>
          <w:i w:val="false"/>
          <w:iCs w:val="false"/>
          <w:sz w:val="22"/>
          <w:szCs w:val="22"/>
        </w:rPr>
        <w:t xml:space="preserve"> ab: 2026 sind das 6,2 % </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(bis 184.500 $ Jahreslohn) plus 1,45 %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ohne Grenze. Der Arbeitgeber zahlt dieselben Sätze noch einmal. Anders als F-1-Studierende bist du nicht befreit. Eine Doppelversicherung bei Entsendungen vermeidet das Sozialversicherungsabkommen zwischen Deutschland und den USA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Ab wann dein weltweites Einkommen in den USA steuerpflichtig ist und wie sich die Bundesstaaten unterscheiden, steht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57"/>
        <w:gridCol w:w="3122"/>
      </w:tblGrid>
      <w:tr>
        <w:trPr>
          <w:tblHeader w:val="true"/>
          <w:cantSplit w:val="true"/>
        </w:trPr>
        <w:tc>
          <w:tcPr>
            <w:tcW w:w="3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Der Weg zur Green Card bleibt offen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Ohne Auswahl gibt es in diesem Jahr keinen H-1B</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fast alle Behördengebühren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und Kosten ändern sich schnell (100.000 $, 103.265 $, Lohnstufen)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Arbeitgeberwechsel ohne neue Lotterie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 an den Sponsor; bei Jobverlust 60 Tage, deren Wegfall vorgeschlagen ist</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dürfen mitkommen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meist nicht arbeiten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Cap-exempt-Arbeitgeber (Hochschulen) ohne Lotterie</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Konsulat: Interviewpflicht, Online-Prüfung, Wartezeiten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gültigem Visum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sechs Jahre, danach nur mit Green-Card-Verfahren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ob der H-1B dein Weg ist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und sprich früh mit Arbeitgebern über Sponsoring und Gehalt. Lass die Kanzlei prüfen, ob dein Abschluss zur Stelle passt und welche Lohnstufe erreicht wird. Alles zu Konsulat, Kanzlei und Kosten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Studienfach und Stelle abgleichen: Passt dein Abschluss direkt zu den Aufgaben? Bewertungsgutachten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ob er H-1B sponsert, welche Lohnstufe er meldet und wer welche Gebühren trägt; alles schriftlich im Offer Letter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wie der Arbeitgeber mit 100.000 $ oder 103.265 $ umgeht, falls sie zurückkehren.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Stellenabbau in den letzten zwölf Monaten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Zeitplan rückwärts vom 1. Oktober aufstellen; Registrierungstermin für 2027 auf uscis.gov beobachten.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(Kündigung, Flug, Umzug) uscis.gov, federalregister.gov und die Kanzlei zum Stand befragen.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Genehmigung Kopien der Auswahlbenachrichtigung und des Genehmigungsbescheids (</w:t>
            </w:r>
            <w:r>
              <w:rPr>
                <w:rFonts w:eastAsia="Cambria" w:cs="Cambria"/>
                <w:b w:val="false"/>
                <w:bCs w:val="false"/>
                <w:i/>
                <w:iCs/>
                <w:sz w:val="20"/>
                <w:szCs w:val="20"/>
              </w:rPr>
              <w:t>Approval Notice</w:t>
            </w:r>
            <w:r>
              <w:rPr>
                <w:rFonts w:eastAsia="Cambria" w:cs="Cambria"/>
                <w:b w:val="false"/>
                <w:bCs w:val="false"/>
                <w:i w:val="false"/>
                <w:iCs w:val="false"/>
                <w:sz w:val="20"/>
                <w:szCs w:val="20"/>
              </w:rPr>
              <w:t>)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Konsulattermin buchen und Wartezeit auf travel.state.gov prüfen; Social-Media-Profile vorher auf öffentlich 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Flüge und Wohnungskündigung erst nach Visumerteilung verbindlich machen.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Reiseunterlagen für die Sechs-Jahres-Zählung aufbewahren und die Green-Card-Planung mit dem Arbeitgeber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H-4-Anträge und Kosten für Partner und Kinder klären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H-1B und Specialty Occupations (</w:t>
      </w:r>
      <w:hyperlink r:id="rId57">
        <w:r>
          <w:rPr>
            <w:rStyle w:val="ListLabel113"/>
            <w:rFonts w:eastAsia="Cambria" w:cs="Cambria"/>
            <w:b w:val="false"/>
            <w:bCs w:val="false"/>
            <w:i w:val="false"/>
            <w:iCs w:val="false"/>
            <w:color w:val="0563C1"/>
            <w:sz w:val="22"/>
            <w:szCs w:val="22"/>
            <w:u w:val="single"/>
          </w:rPr>
          <w:t>uscis.gov/working-in-the-united-states/h-1b-specialty-occupations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aktuelle H-1B-FAQ zur 100.000-$-Zahlung (</w:t>
      </w:r>
      <w:hyperlink r:id="rId58">
        <w:r>
          <w:rPr>
            <w:rStyle w:val="ListLabel113"/>
            <w:rFonts w:eastAsia="Cambria" w:cs="Cambria"/>
            <w:b w:val="false"/>
            <w:bCs w:val="false"/>
            <w:i w:val="false"/>
            <w:iCs w:val="false"/>
            <w:color w:val="0563C1"/>
            <w:sz w:val="22"/>
            <w:szCs w:val="22"/>
            <w:u w:val="single"/>
          </w:rPr>
          <w:t>uscis.gov/newsroom/alerts/h-1b-faq</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5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Entwürfe und Final Rules, Suche nach „H-1B“ (</w:t>
      </w:r>
      <w:hyperlink r:id="rId6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 H-1B, LCA und Prevailing Wage (</w:t>
      </w:r>
      <w:hyperlink r:id="rId61">
        <w:r>
          <w:rPr>
            <w:rStyle w:val="ListLabel113"/>
            <w:rFonts w:eastAsia="Cambria" w:cs="Cambria"/>
            <w:b w:val="false"/>
            <w:bCs w:val="false"/>
            <w:i w:val="false"/>
            <w:iCs w:val="false"/>
            <w:color w:val="0563C1"/>
            <w:sz w:val="22"/>
            <w:szCs w:val="22"/>
            <w:u w:val="single"/>
          </w:rPr>
          <w:t>dol.gov/agencies/eta/foreign-labor/programs/h-1b</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Wage and Hour Division — Project Firewall (</w:t>
      </w:r>
      <w:hyperlink r:id="rId62">
        <w:r>
          <w:rPr>
            <w:rStyle w:val="ListLabel113"/>
            <w:rFonts w:eastAsia="Cambria" w:cs="Cambria"/>
            <w:b w:val="false"/>
            <w:bCs w:val="false"/>
            <w:i w:val="false"/>
            <w:iCs w:val="false"/>
            <w:color w:val="0563C1"/>
            <w:sz w:val="22"/>
            <w:szCs w:val="22"/>
            <w:u w:val="single"/>
          </w:rPr>
          <w:t>dol.gov/agencies/whd/immigration/h1b/projectfirewall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Visagebühren und Wartezeiten (</w:t>
      </w:r>
      <w:hyperlink r:id="rId6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Botschaft und Konsulate in Deutschland — Visaverfahren (</w:t>
      </w:r>
      <w:hyperlink r:id="rId64">
        <w:r>
          <w:rPr>
            <w:rStyle w:val="ListLabel113"/>
            <w:rFonts w:eastAsia="Cambria" w:cs="Cambria"/>
            <w:b w:val="false"/>
            <w:bCs w:val="false"/>
            <w:i w:val="false"/>
            <w:iCs w:val="false"/>
            <w:color w:val="0563C1"/>
            <w:sz w:val="22"/>
            <w:szCs w:val="22"/>
            <w:u w:val="single"/>
          </w:rPr>
          <w:t>de.usembassy.gov/visas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86"/>
              </w:numPr>
              <w:spacing w:lineRule="exact" w:line="264" w:before="0" w:after="50"/>
              <w:rPr/>
            </w:pPr>
            <w:r>
              <w:rPr>
                <w:rFonts w:eastAsia="Cambria" w:cs="Cambria"/>
                <w:b w:val="false"/>
                <w:bCs w:val="false"/>
                <w:i w:val="false"/>
                <w:iCs w:val="false"/>
                <w:sz w:val="20"/>
                <w:szCs w:val="20"/>
              </w:rPr>
              <w:t>September 2026. Diese Angaben ändern sich besonders schnell: ob die 100.000-$-Zahlung wieder erhoben wird (Berufungen beim First Circuit und D.C. Circuit), ob der Vorschlag über 103.265 $ (Kommentarfrist bis 24. September 2026) und der Wegfall der 60-Tage-Frist (Kommentarfrist bis 10. November 2026) in Kraft treten, ob das DOL höhere Lohnstufen beschließt, dazu die USCIS-Gebühren, die Regeln der Registrierung im März 2027, die Konsulatswartezeiten und die Visagebühren. Prüfe vor jeder Entscheidung uscis.gov und federalregister.gov und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 w:name="__RefHeading___Toc56440_3457424410"/>
      <w:bookmarkStart w:id="22" w:name="k6"/>
      <w:bookmarkEnd w:id="21"/>
      <w:r>
        <w:rPr>
          <w:rFonts w:eastAsia="Amazon Ember" w:cs="Amazon Ember" w:ascii="Amazon Ember" w:hAnsi="Amazon Ember"/>
          <w:b/>
          <w:bCs/>
          <w:color w:val="0000FF"/>
          <w:sz w:val="36"/>
          <w:szCs w:val="36"/>
        </w:rPr>
        <w:t>Kapitel 6: Die Green Card</w:t>
      </w:r>
      <w:bookmarkEnd w:id="2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Visa Bulletin für September 2026, der monatlichen Stichtagsliste des State Department, steht bei der zweiten Arbeitskategorie (EB-2) in der Spalte „Rest der Welt“ ein einziger Buchstabe: C,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also ohne Wartezeit. In der Spalte für Indien steht dagegen ein U: </w:t>
      </w:r>
      <w:r>
        <w:rPr>
          <w:rFonts w:eastAsia="Cambria" w:cs="Cambria"/>
          <w:b w:val="false"/>
          <w:bCs w:val="false"/>
          <w:i/>
          <w:iCs/>
          <w:sz w:val="22"/>
          <w:szCs w:val="22"/>
        </w:rPr>
        <w:t>unavailable</w:t>
      </w:r>
      <w:r>
        <w:rPr>
          <w:rFonts w:eastAsia="Cambria" w:cs="Cambria"/>
          <w:b w:val="false"/>
          <w:bCs w:val="false"/>
          <w:i w:val="false"/>
          <w:iCs w:val="false"/>
          <w:sz w:val="22"/>
          <w:szCs w:val="22"/>
        </w:rPr>
        <w:t>, derzeit keine Visa. Gleicher Beruf, gleiche Qualifikation, anderes Geburtsland, und aus Monaten werden Jahre, bei Indien mehr als ein Jahrzehnt. Für Deutsche ist die Green Card deshalb weniger eine Frage der Warteschlange als der Vorbereitung: Wer früh, schriftlich abgesichert und mit der passenden Kategorie startet, kommt in der Regel gut durch.</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Card (</w:t>
            </w:r>
            <w:r>
              <w:rPr>
                <w:rFonts w:eastAsia="Cambria" w:cs="Cambria"/>
                <w:b w:val="false"/>
                <w:bCs w:val="false"/>
                <w:i/>
                <w:iCs/>
                <w:sz w:val="20"/>
                <w:szCs w:val="20"/>
              </w:rPr>
              <w:t>Lawful Permanent Residence</w:t>
            </w:r>
            <w:r>
              <w:rPr>
                <w:rFonts w:eastAsia="Cambria" w:cs="Cambria"/>
                <w:b w:val="false"/>
                <w:bCs w:val="false"/>
                <w:i w:val="false"/>
                <w:iCs w:val="false"/>
                <w:sz w:val="20"/>
                <w:szCs w:val="20"/>
              </w:rPr>
              <w:t>, LPR) ist ein unbefristetes Aufenthaltsrecht mit freier Arbeitswahl. Die Plastikkarte gilt zehn Jahre und wird erneuert, der Status bleibt, solange die USA dein Lebensmittelpunkt sind.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Regelweg für Fachkräfte führt über den Arbeitgeber: Arbeitsmarktprüfung (</w:t>
            </w:r>
            <w:r>
              <w:rPr>
                <w:rFonts w:eastAsia="Cambria" w:cs="Cambria"/>
                <w:b w:val="false"/>
                <w:bCs w:val="false"/>
                <w:i/>
                <w:iCs/>
                <w:sz w:val="20"/>
                <w:szCs w:val="20"/>
              </w:rPr>
              <w:t>PERM</w:t>
            </w:r>
            <w:r>
              <w:rPr>
                <w:rFonts w:eastAsia="Cambria" w:cs="Cambria"/>
                <w:b w:val="false"/>
                <w:bCs w:val="false"/>
                <w:i w:val="false"/>
                <w:iCs w:val="false"/>
                <w:sz w:val="20"/>
                <w:szCs w:val="20"/>
              </w:rPr>
              <w:t>), Petition I-140, dann Statusanpassung I-485 im Inland oder Einwanderungsvisum über das Konsulat.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 September 2026: EB-1 und EB-2 sind für „Rest der Welt“ (also die meisten Deutschen) ohne Wartezeit, EB-3 nur für Priority Dates vor dem 1. September 2024. Das Oktober-Bulletin lag am 20. September 2026 noch nicht vor.</w:t>
            </w:r>
          </w:p>
          <w:p>
            <w:pPr>
              <w:pStyle w:val="ListParagraph"/>
              <w:numPr>
                <w:ilvl w:val="0"/>
                <w:numId w:val="1"/>
              </w:numPr>
              <w:spacing w:lineRule="exact" w:line="264" w:before="0" w:after="50"/>
              <w:rPr/>
            </w:pPr>
            <w:r>
              <w:rPr>
                <w:rFonts w:eastAsia="Cambria" w:cs="Cambria"/>
                <w:b w:val="false"/>
                <w:bCs w:val="false"/>
                <w:i w:val="false"/>
                <w:iCs w:val="false"/>
                <w:sz w:val="20"/>
                <w:szCs w:val="20"/>
              </w:rPr>
              <w:t>Die Zeit steckt im Verfahren, nicht im Stichtag: bei PERM rund 2,5–4,5 Jahre ab Start. Selbstpetitionen (NIW, EB-1A) gehen schneller, wurden 2026 aber nur zu etwa 49 % bzw. 41 % genehmigt.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der Arbeitsmarktprüfung trägt der Arbeitgeber, du zahlst die I-485-Gebühren für dich und deine Familie: 1.440 $ je Erwachsenem, 950 $ je Kind unter 14 (Papierantrag).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Als Green-Card-Inhaber wirst du weltweit in den USA besteuert, und Auslandsaufenthalte von mehr als 180 Tagen gefährden den 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Green Card ist und was sie nicht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Begriff lohnt Genauigkeit: Ein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die Green Card dagegen ein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eine unbefristete Aufenthaltserlaubnis im Land. Nur die Plastikkarte hat ein Ablaufdatum, denn sie gilt zehn Jahre und wird in den letzten sechs Monaten davor erneuert (Form I-90, 465 $ Papier, 415 $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sie dir gibt: Leben in jedem Bundesstaat, Arbeit für jeden Arbeitgeber oder Selbständigkeit, das Nachholen von Ehepartner und unverheirateten Kindern per Familienpetition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und nach fünf Jahren die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Was sie nicht gibt: Wahlrecht, Stellen mit Staatsbürgerschaftserfordernis, ein unbegrenztes Recht auf Abwesenheit. Am nächsten kommt ihr die deutsche Niederlassungserlaubnis: unbefristet, freier Arbeitsmarkt, kein Wahlrecht. Und sie löst die enge Arbeitgeberbindung des H-1B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allerdings erst spät im Verfahren; der Vergleich beider Wege steht in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fünf Türen: Arbeit, Familie, Investition, Lotterie und die 2025 eingeführte Gold Card – für die meisten Leser dieses Buchs die Arbeit. Die arbeitsbasierten Kategorien EB-1 bis EB-3 (</w:t>
      </w:r>
      <w:r>
        <w:rPr>
          <w:rFonts w:eastAsia="Cambria" w:cs="Cambria"/>
          <w:b w:val="false"/>
          <w:bCs w:val="false"/>
          <w:i/>
          <w:iCs/>
          <w:sz w:val="22"/>
          <w:szCs w:val="22"/>
        </w:rPr>
        <w:t>Employment-Based</w:t>
      </w:r>
      <w:r>
        <w:rPr>
          <w:rFonts w:eastAsia="Cambria" w:cs="Cambria"/>
          <w:b w:val="false"/>
          <w:bCs w:val="false"/>
          <w:i w:val="false"/>
          <w:iCs w:val="false"/>
          <w:sz w:val="22"/>
          <w:szCs w:val="22"/>
        </w:rPr>
        <w:t xml:space="preserve">) teilen sich ein Jahreslimit von 186.317 Visa fürs Fiskaljahr 2026 (EB-1 bis EB-5 zusammen). Ehepartner und unverheiratete Kinder unter 21 sind als </w:t>
      </w:r>
      <w:r>
        <w:rPr>
          <w:rFonts w:eastAsia="Cambria" w:cs="Cambria"/>
          <w:b w:val="false"/>
          <w:bCs w:val="false"/>
          <w:i/>
          <w:iCs/>
          <w:sz w:val="22"/>
          <w:szCs w:val="22"/>
        </w:rPr>
        <w:t>Derivate</w:t>
      </w:r>
      <w:r>
        <w:rPr>
          <w:rFonts w:eastAsia="Cambria" w:cs="Cambria"/>
          <w:b w:val="false"/>
          <w:bCs w:val="false"/>
          <w:i w:val="false"/>
          <w:iCs w:val="false"/>
          <w:sz w:val="22"/>
          <w:szCs w:val="22"/>
        </w:rPr>
        <w:t xml:space="preserve"> mitgeschützt und teilen Kategorie und Priority Date.</w:t>
      </w:r>
    </w:p>
    <w:tbl>
      <w:tblPr>
        <w:tblW w:w="6480" w:type="dxa"/>
        <w:jc w:val="left"/>
        <w:tblInd w:w="0" w:type="dxa"/>
        <w:tblLayout w:type="fixed"/>
        <w:tblCellMar>
          <w:top w:w="50" w:type="dxa"/>
          <w:left w:w="80" w:type="dxa"/>
          <w:bottom w:w="50" w:type="dxa"/>
          <w:right w:w="80" w:type="dxa"/>
        </w:tblCellMar>
      </w:tblPr>
      <w:tblGrid>
        <w:gridCol w:w="1432"/>
        <w:gridCol w:w="2389"/>
        <w:gridCol w:w="963"/>
        <w:gridCol w:w="1695"/>
      </w:tblGrid>
      <w:tr>
        <w:trPr>
          <w:tblHeader w:val="true"/>
          <w:cantSplit w:val="true"/>
        </w:trPr>
        <w:tc>
          <w:tcPr>
            <w:tcW w:w="14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3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PERM?</w:t>
            </w:r>
          </w:p>
        </w:tc>
        <w:tc>
          <w:tcPr>
            <w:tcW w:w="16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I-140-Quote 2026</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EB-1A</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Fähigkeiten,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41 %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EB-1B</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 mit unbefristetem Angebot</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94 %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Führungskräfte mit Konzernbezug (z. B. nach L-1A)</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 oder Bachelor plus fünf Jahre Erfahrung</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 NIW</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Vorhaben von nationalem Interesse,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49 %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Fachkräfte und Bachelor-Berufe</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97–98 %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Quote ist der Anteil genehmigter an den entschiedenen I-140-Petitionen in den ersten drei Quartalen des Fiskaljahres 2026 (eigene Rechnung aus USCIS-Quartalsdaten). Sonderfälle wie die </w:t>
      </w:r>
      <w:r>
        <w:rPr>
          <w:rFonts w:eastAsia="Cambria" w:cs="Cambria"/>
          <w:b w:val="false"/>
          <w:bCs w:val="false"/>
          <w:i/>
          <w:iCs/>
          <w:sz w:val="22"/>
          <w:szCs w:val="22"/>
        </w:rPr>
        <w:t>Schedule A</w:t>
      </w:r>
      <w:r>
        <w:rPr>
          <w:rFonts w:eastAsia="Cambria" w:cs="Cambria"/>
          <w:b w:val="false"/>
          <w:bCs w:val="false"/>
          <w:i w:val="false"/>
          <w:iCs w:val="false"/>
          <w:sz w:val="22"/>
          <w:szCs w:val="22"/>
        </w:rPr>
        <w:t>, eine Liste von Mangelberufen (u. a. Pflegekräfte, Physiotherapeuten), kommen ohne PERM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Selbstpetition: NIW und EB-1A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Wege kommen ohne Arbeitgeber und PERM aus. Beim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(NIW, Verzicht auf Jobangebot und Arbeitsmarktprüfung) beantragst du die Green Card in EB-2 selbst, nach der Entscheidung </w:t>
      </w:r>
      <w:r>
        <w:rPr>
          <w:rFonts w:eastAsia="Cambria" w:cs="Cambria"/>
          <w:b w:val="false"/>
          <w:bCs w:val="false"/>
          <w:i/>
          <w:iCs/>
          <w:sz w:val="22"/>
          <w:szCs w:val="22"/>
        </w:rPr>
        <w:t>Matter of Dhanasar</w:t>
      </w:r>
      <w:r>
        <w:rPr>
          <w:rFonts w:eastAsia="Cambria" w:cs="Cambria"/>
          <w:b w:val="false"/>
          <w:bCs w:val="false"/>
          <w:i w:val="false"/>
          <w:iCs w:val="false"/>
          <w:sz w:val="22"/>
          <w:szCs w:val="22"/>
        </w:rPr>
        <w:t xml:space="preserve">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Gut jede zweite NIW-Petition und rund sechs von zehn EB-1A-Petitionen wurden in den ersten drei Quartalen des Fiskaljahres 2026 abgelehnt. Die Quoten sagen nichts über deinen Einzelfall, sprechen aber gegen eine Selbstpetition ohne anwaltliche Vorprüfung – halte einen Plan B bereit: den Arbeitgeberweg mit PERM, parallel oder als Rückfall.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über den Arbeitgeber: PERM, I-140, I-485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Nach ein paar Jahren im H-1B kommt die Green Card irgendwann von selbst. Tatsächlich passiert nichts automatisch – ohne einen Arbeitgeber, der die Arbeitsmarktprüfung PERM anstößt, oder eine eigene Selbstpetition bleibst du auf Dauer im befristeten Status, auch nach zehn Jahren. Die meisten Fachkräfte gehen deshalb aktiv den folgenden Weg, oft aus dem H-1B oder L-1 heraus; beide Status erlauben </w:t>
      </w:r>
      <w:r>
        <w:rPr>
          <w:rFonts w:eastAsia="Cambria" w:cs="Cambria"/>
          <w:b w:val="false"/>
          <w:bCs w:val="false"/>
          <w:i/>
          <w:iCs/>
          <w:sz w:val="22"/>
          <w:szCs w:val="22"/>
        </w:rPr>
        <w:t>Dual Intent</w:t>
      </w:r>
      <w:r>
        <w:rPr>
          <w:rFonts w:eastAsia="Cambria" w:cs="Cambria"/>
          <w:b w:val="false"/>
          <w:bCs w:val="false"/>
          <w:i w:val="false"/>
          <w:iCs w:val="false"/>
          <w:sz w:val="22"/>
          <w:szCs w:val="22"/>
        </w:rPr>
        <w:t>, also die gleichzeitige Green-Card-Absicht. Er hat sechs Stationen:</w:t>
      </w:r>
    </w:p>
    <w:p>
      <w:pPr>
        <w:pStyle w:val="ListParagraph"/>
        <w:numPr>
          <w:ilvl w:val="0"/>
          <w:numId w:val="87"/>
        </w:numPr>
        <w:spacing w:lineRule="exact" w:line="288" w:before="0" w:after="60"/>
        <w:rPr/>
      </w:pPr>
      <w:r>
        <w:rPr>
          <w:rFonts w:eastAsia="Cambria" w:cs="Cambria"/>
          <w:b/>
          <w:bCs/>
          <w:i w:val="false"/>
          <w:iCs w:val="false"/>
          <w:sz w:val="22"/>
          <w:szCs w:val="22"/>
        </w:rPr>
        <w:t>Lohnbescheid</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 Determination</w:t>
      </w:r>
      <w:r>
        <w:rPr>
          <w:rFonts w:eastAsia="Cambria" w:cs="Cambria"/>
          <w:b w:val="false"/>
          <w:bCs w:val="false"/>
          <w:i w:val="false"/>
          <w:iCs w:val="false"/>
          <w:sz w:val="22"/>
          <w:szCs w:val="22"/>
        </w:rPr>
        <w:t>, PWD): Das Arbeitsministerium DOL legt den Mindestlohn für Stelle und Arbeitsort fest (Form ETA-9141).</w:t>
      </w:r>
    </w:p>
    <w:p>
      <w:pPr>
        <w:pStyle w:val="ListParagraph"/>
        <w:numPr>
          <w:ilvl w:val="0"/>
          <w:numId w:val="88"/>
        </w:numPr>
        <w:spacing w:lineRule="exact" w:line="288" w:before="0" w:after="60"/>
        <w:rPr/>
      </w:pPr>
      <w:r>
        <w:rPr>
          <w:rFonts w:eastAsia="Cambria" w:cs="Cambria"/>
          <w:b/>
          <w:bCs/>
          <w:i w:val="false"/>
          <w:iCs w:val="false"/>
          <w:sz w:val="22"/>
          <w:szCs w:val="22"/>
        </w:rPr>
        <w:t>Stellensuche</w:t>
      </w:r>
      <w:r>
        <w:rPr>
          <w:rFonts w:eastAsia="Cambria" w:cs="Cambria"/>
          <w:b w:val="false"/>
          <w:bCs w:val="false"/>
          <w:i w:val="false"/>
          <w:iCs w:val="false"/>
          <w:sz w:val="22"/>
          <w:szCs w:val="22"/>
        </w:rPr>
        <w:t xml:space="preserve"> (</w:t>
      </w:r>
      <w:r>
        <w:rPr>
          <w:rFonts w:eastAsia="Cambria" w:cs="Cambria"/>
          <w:b w:val="false"/>
          <w:bCs w:val="false"/>
          <w:i/>
          <w:iCs/>
          <w:sz w:val="22"/>
          <w:szCs w:val="22"/>
        </w:rPr>
        <w:t>Recruitment</w:t>
      </w:r>
      <w:r>
        <w:rPr>
          <w:rFonts w:eastAsia="Cambria" w:cs="Cambria"/>
          <w:b w:val="false"/>
          <w:bCs w:val="false"/>
          <w:i w:val="false"/>
          <w:iCs w:val="false"/>
          <w:sz w:val="22"/>
          <w:szCs w:val="22"/>
        </w:rP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pPr>
        <w:pStyle w:val="ListParagraph"/>
        <w:numPr>
          <w:ilvl w:val="0"/>
          <w:numId w:val="89"/>
        </w:numPr>
        <w:spacing w:lineRule="exact" w:line="288" w:before="0" w:after="60"/>
        <w:rPr/>
      </w:pPr>
      <w:r>
        <w:rPr>
          <w:rFonts w:eastAsia="Cambria" w:cs="Cambria"/>
          <w:b/>
          <w:bCs/>
          <w:i w:val="false"/>
          <w:iCs w:val="false"/>
          <w:sz w:val="22"/>
          <w:szCs w:val="22"/>
        </w:rPr>
        <w:t>Antrag ETA-9089</w:t>
      </w:r>
      <w:r>
        <w:rPr>
          <w:rFonts w:eastAsia="Cambria" w:cs="Cambria"/>
          <w:b w:val="false"/>
          <w:bCs w:val="false"/>
          <w:i w:val="false"/>
          <w:iCs w:val="false"/>
          <w:sz w:val="22"/>
          <w:szCs w:val="22"/>
        </w:rPr>
        <w:t xml:space="preserve"> über das Portal FLAG des DOL. Mit der Einreichung entsteht dein </w:t>
      </w:r>
      <w:r>
        <w:rPr>
          <w:rFonts w:eastAsia="Cambria" w:cs="Cambria"/>
          <w:b w:val="false"/>
          <w:bCs w:val="false"/>
          <w:i/>
          <w:iCs/>
          <w:sz w:val="22"/>
          <w:szCs w:val="22"/>
        </w:rPr>
        <w:t>Priority Date</w:t>
      </w:r>
      <w:r>
        <w:rPr>
          <w:rFonts w:eastAsia="Cambria" w:cs="Cambria"/>
          <w:b w:val="false"/>
          <w:bCs w:val="false"/>
          <w:i w:val="false"/>
          <w:iCs w:val="false"/>
          <w:sz w:val="22"/>
          <w:szCs w:val="22"/>
        </w:rPr>
        <w:t>, dein Platz in der Warteschlange.</w:t>
      </w:r>
    </w:p>
    <w:p>
      <w:pPr>
        <w:pStyle w:val="ListParagraph"/>
        <w:numPr>
          <w:ilvl w:val="0"/>
          <w:numId w:val="90"/>
        </w:numPr>
        <w:spacing w:lineRule="exact" w:line="288" w:before="0" w:after="60"/>
        <w:rPr/>
      </w:pPr>
      <w:r>
        <w:rPr>
          <w:rFonts w:eastAsia="Cambria" w:cs="Cambria"/>
          <w:b/>
          <w:bCs/>
          <w:i w:val="false"/>
          <w:iCs w:val="false"/>
          <w:sz w:val="22"/>
          <w:szCs w:val="22"/>
        </w:rPr>
        <w:t>Prüfung und Zertifizierung:</w:t>
      </w:r>
      <w:r>
        <w:rPr>
          <w:rFonts w:eastAsia="Cambria" w:cs="Cambria"/>
          <w:b w:val="false"/>
          <w:bCs w:val="false"/>
          <w:i w:val="false"/>
          <w:iCs w:val="false"/>
          <w:sz w:val="22"/>
          <w:szCs w:val="22"/>
        </w:rPr>
        <w:t xml:space="preserve"> Nach der Analystenprüfung bestätigt das DOL die PERM (</w:t>
      </w:r>
      <w:r>
        <w:rPr>
          <w:rFonts w:eastAsia="Cambria" w:cs="Cambria"/>
          <w:b w:val="false"/>
          <w:bCs w:val="false"/>
          <w:i/>
          <w:iCs/>
          <w:sz w:val="22"/>
          <w:szCs w:val="22"/>
        </w:rPr>
        <w:t>Labor Certification</w:t>
      </w:r>
      <w:r>
        <w:rPr>
          <w:rFonts w:eastAsia="Cambria" w:cs="Cambria"/>
          <w:b w:val="false"/>
          <w:bCs w:val="false"/>
          <w:i w:val="false"/>
          <w:iCs w:val="false"/>
          <w:sz w:val="22"/>
          <w:szCs w:val="22"/>
        </w:rPr>
        <w:t>), gültig 180 Tage für die nächste Station.</w:t>
      </w:r>
    </w:p>
    <w:p>
      <w:pPr>
        <w:pStyle w:val="ListParagraph"/>
        <w:numPr>
          <w:ilvl w:val="0"/>
          <w:numId w:val="91"/>
        </w:numPr>
        <w:spacing w:lineRule="exact" w:line="288" w:before="0" w:after="60"/>
        <w:rPr/>
      </w:pPr>
      <w:r>
        <w:rPr>
          <w:rFonts w:eastAsia="Cambria" w:cs="Cambria"/>
          <w:b/>
          <w:bCs/>
          <w:i w:val="false"/>
          <w:iCs w:val="false"/>
          <w:sz w:val="22"/>
          <w:szCs w:val="22"/>
        </w:rPr>
        <w:t>Petition I-140</w:t>
      </w:r>
      <w:r>
        <w:rPr>
          <w:rFonts w:eastAsia="Cambria" w:cs="Cambria"/>
          <w:b w:val="false"/>
          <w:bCs w:val="false"/>
          <w:i w:val="false"/>
          <w:iCs w:val="false"/>
          <w:sz w:val="22"/>
          <w:szCs w:val="22"/>
        </w:rPr>
        <w:t xml:space="preserve"> bei USCIS: Der Arbeitgeber weist Bedarf, Zahlungsfähigkeit und deine Qualifikation nach.</w:t>
      </w:r>
    </w:p>
    <w:p>
      <w:pPr>
        <w:pStyle w:val="ListParagraph"/>
        <w:numPr>
          <w:ilvl w:val="0"/>
          <w:numId w:val="92"/>
        </w:numPr>
        <w:spacing w:lineRule="exact" w:line="288" w:before="0" w:after="60"/>
        <w:rPr/>
      </w:pPr>
      <w:r>
        <w:rPr>
          <w:rFonts w:eastAsia="Cambria" w:cs="Cambria"/>
          <w:b/>
          <w:bCs/>
          <w:i w:val="false"/>
          <w:iCs w:val="false"/>
          <w:sz w:val="22"/>
          <w:szCs w:val="22"/>
        </w:rPr>
        <w:t>I-485 oder Konsulat:</w:t>
      </w:r>
      <w:r>
        <w:rPr>
          <w:rFonts w:eastAsia="Cambria" w:cs="Cambria"/>
          <w:b w:val="false"/>
          <w:bCs w:val="false"/>
          <w:i w:val="false"/>
          <w:iCs w:val="false"/>
          <w:sz w:val="22"/>
          <w:szCs w:val="22"/>
        </w:rPr>
        <w:t xml:space="preserve"> Sobald dein Priority Date erreicht ist, folgt die Statusanpassung im Inland oder das Einwanderungsvisum (nächster Abschnitt).</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776"/>
        <w:gridCol w:w="2927"/>
        <w:gridCol w:w="1777"/>
      </w:tblGrid>
      <w:tr>
        <w:trPr>
          <w:tblHeader w:val="true"/>
          <w:cantSplit w:val="true"/>
        </w:trPr>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9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(Stand September 2026)</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und wer zahlt</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Lohnbescheid (PWD)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3,5–4 Monate; DOL bearbeitet Anträge von Mai 2026</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Stellensuche</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2–3 Monate (Schätzung)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 Kanzlei: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(ETA-9089)</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im Schnitt 336 Tage; Audit dauert länger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Reguläre Dauer schwankt; mit </w:t>
            </w:r>
            <w:r>
              <w:rPr>
                <w:rFonts w:eastAsia="Cambria" w:cs="Cambria"/>
                <w:b w:val="false"/>
                <w:bCs w:val="false"/>
                <w:i/>
                <w:iCs/>
                <w:sz w:val="18"/>
                <w:szCs w:val="18"/>
              </w:rPr>
              <w:t>Premium Processing</w:t>
            </w:r>
            <w:r>
              <w:rPr>
                <w:rFonts w:eastAsia="Cambria" w:cs="Cambria"/>
                <w:b w:val="false"/>
                <w:bCs w:val="false"/>
                <w:i w:val="false"/>
                <w:iCs w:val="false"/>
                <w:sz w:val="18"/>
                <w:szCs w:val="18"/>
              </w:rPr>
              <w:t xml:space="preserve"> (Form I-907) 15 Werktage (45 bei EB-1C und NIW)</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715 $ (online 665 $) plus 600 $ Asylum Program Fee; Premium 2.965 $</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 im Inland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 (Aggregatorenangaben)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je Erwachsenem: 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Tempo: Ende August 2026 prüfte das DOL PERM-Anträge vom November 2025 –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das Sponsoring vor der Vertragsunterschrift schriftlich: Wann startet der Arbeitgeber die PERM, wer zahlt was, was gilt bei einer Kündigung? Die Kosten der Arbeitsmarktprüfung (Anzeigen, Kanzlei) trägt der Arbeitgeber –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I-140: I-485, Arbeitserlaubnis, Jobwechsel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 Priority Date nach der USCIS-Tabelle bereits erreicht, kannst du I-140 und I-485 zusammen einreichen (</w:t>
      </w:r>
      <w:r>
        <w:rPr>
          <w:rFonts w:eastAsia="Cambria" w:cs="Cambria"/>
          <w:b w:val="false"/>
          <w:bCs w:val="false"/>
          <w:i/>
          <w:iCs/>
          <w:sz w:val="22"/>
          <w:szCs w:val="22"/>
        </w:rPr>
        <w:t>Concurrent Filing</w:t>
      </w:r>
      <w:r>
        <w:rPr>
          <w:rFonts w:eastAsia="Cambria" w:cs="Cambria"/>
          <w:b w:val="false"/>
          <w:bCs w:val="false"/>
          <w:i w:val="false"/>
          <w:iCs w:val="false"/>
          <w:sz w:val="22"/>
          <w:szCs w:val="22"/>
        </w:rPr>
        <w:t>) – im September 2026 gilt das für EB-1 und EB-2 (Rest der Welt), bei EB-3 nur für Priority Dates vor dem 1. September 2024. Mit dem I-485 beantragst du auf Wunsch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Form I-765, 260 $) und ein Reisedokument (</w:t>
      </w:r>
      <w:r>
        <w:rPr>
          <w:rFonts w:eastAsia="Cambria" w:cs="Cambria"/>
          <w:b w:val="false"/>
          <w:bCs w:val="false"/>
          <w:i/>
          <w:iCs/>
          <w:sz w:val="22"/>
          <w:szCs w:val="22"/>
        </w:rPr>
        <w:t>Advance Parole</w:t>
      </w:r>
      <w:r>
        <w:rPr>
          <w:rFonts w:eastAsia="Cambria" w:cs="Cambria"/>
          <w:b w:val="false"/>
          <w:bCs w:val="false"/>
          <w:i w:val="false"/>
          <w:iCs w:val="false"/>
          <w:sz w:val="22"/>
          <w:szCs w:val="22"/>
        </w:rPr>
        <w:t>;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selbst zahlst: die I-485-Gebühr je Antragsteller, dazu je nach Bedarf EAD und Advance Parole, den Arzt (für das Formular I-693 verlangt USCIS keine Gebühr, die Praxis schon) und Übersetzungen.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Reichst du den I-485 online ein, sparst du 50 $ je Antrag. Bei zwei Erwachsenen und zwei Kindern unter 14 sind das 200 $.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180 Tagen mit anhängigem I-485 darfst du den Arbeitgeber wechseln, wenn die I-140 genehmigt oder genehmigungsfähig ist und das neue Angebot in derselben oder einer ähnlichen Tätigkeit liegt (</w:t>
      </w:r>
      <w:r>
        <w:rPr>
          <w:rFonts w:eastAsia="Cambria" w:cs="Cambria"/>
          <w:b w:val="false"/>
          <w:bCs w:val="false"/>
          <w:i/>
          <w:iCs/>
          <w:sz w:val="22"/>
          <w:szCs w:val="22"/>
        </w:rPr>
        <w:t>AC21</w:t>
      </w:r>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Verlängerungen des H-1B über sechs Jahre hinaus erklärt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arbeitet im Großraum Detroit im H-1B-Status. Im Arbeitsvertrag steht, dass der Arbeitgeber das Green-Card-Verfahren im ersten Jahr startet und die PERM-Kosten trägt. Die Kanzlei stuft die Stelle als EB-2 ein, weil sie einen Master verlangt. Lohnbescheid (4 Monate), Ausschreibung (3 Monate) und Analystenprüfung (rund 11 Monate) ergeben eine zertifizierte PERM nach gut anderthalb Jahren; die I-140 folgt mit Premium Processing. Ist EB-2 dann noch current, reicht die Kanzlei den I-485 für alle vier ein: 1.440 $ für Markus und Anna, 950 $ für Lena (9) und Jonas (5), zusammen 4.780 $ bei Papieranträgen. Anna beantragt zusätzlich eine eigene EAD (260 $) – die Arbeitserlaubnis, auf die sie seit der Ankunft gewartet hat. Gut drei Jahre nach dem Start rechnet die Kanzlei mit den Green Cards.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Inland oder über das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deine Kategorie current oder dein Priority Date erreicht, führen zwei Türen zur Karte: Bei der Statusanpassung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Form I-485) bleibst du in den USA und wechselst bei USCIS in den LPR-Status; beim </w:t>
      </w:r>
      <w:r>
        <w:rPr>
          <w:rFonts w:eastAsia="Cambria" w:cs="Cambria"/>
          <w:b w:val="false"/>
          <w:bCs w:val="false"/>
          <w:i/>
          <w:iCs/>
          <w:sz w:val="22"/>
          <w:szCs w:val="22"/>
        </w:rPr>
        <w:t>Consular Processing</w:t>
      </w:r>
      <w:r>
        <w:rPr>
          <w:rFonts w:eastAsia="Cambria" w:cs="Cambria"/>
          <w:b w:val="false"/>
          <w:bCs w:val="false"/>
          <w:i w:val="false"/>
          <w:iCs w:val="false"/>
          <w:sz w:val="22"/>
          <w:szCs w:val="22"/>
        </w:rPr>
        <w:t xml:space="preserve"> reist du mit einem Einwanderungsvisum ein – das Verfahren läuft über das Nationale Visumzentrum (</w:t>
      </w:r>
      <w:r>
        <w:rPr>
          <w:rFonts w:eastAsia="Cambria" w:cs="Cambria"/>
          <w:b w:val="false"/>
          <w:bCs w:val="false"/>
          <w:i/>
          <w:iCs/>
          <w:sz w:val="22"/>
          <w:szCs w:val="22"/>
        </w:rPr>
        <w:t>National Visa Center</w:t>
      </w:r>
      <w:r>
        <w:rPr>
          <w:rFonts w:eastAsia="Cambria" w:cs="Cambria"/>
          <w:b w:val="false"/>
          <w:bCs w:val="false"/>
          <w:i w:val="false"/>
          <w:iCs w:val="false"/>
          <w:sz w:val="22"/>
          <w:szCs w:val="22"/>
        </w:rPr>
        <w:t>, NVC) und das Generalkonsulat Frankfurt, das laut Kanzleiangaben alle Einwanderungsvisa für Deutschland bearbeitet.</w:t>
      </w:r>
    </w:p>
    <w:tbl>
      <w:tblPr>
        <w:tblW w:w="6480" w:type="dxa"/>
        <w:jc w:val="left"/>
        <w:tblInd w:w="0" w:type="dxa"/>
        <w:tblLayout w:type="fixed"/>
        <w:tblCellMar>
          <w:top w:w="50" w:type="dxa"/>
          <w:left w:w="80" w:type="dxa"/>
          <w:bottom w:w="50" w:type="dxa"/>
          <w:right w:w="80" w:type="dxa"/>
        </w:tblCellMar>
      </w:tblPr>
      <w:tblGrid>
        <w:gridCol w:w="2396"/>
        <w:gridCol w:w="1777"/>
        <w:gridCol w:w="2307"/>
      </w:tblGrid>
      <w:tr>
        <w:trPr>
          <w:tblHeader w:val="true"/>
          <w:cantSplit w:val="true"/>
        </w:trPr>
        <w:tc>
          <w:tcPr>
            <w:tcW w:w="2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I-485 im Inland</w:t>
            </w:r>
          </w:p>
        </w:tc>
        <w:tc>
          <w:tcPr>
            <w:tcW w:w="23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Frankfurt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Geeignet für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schon in H-1B oder L-1 im Land ist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in Deutschland lebt oder ausreist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 Monate nach I-140 (Schätzung)</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Behördengebühren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Kind unter 14 mit Elternteil 950 $ (900 $)</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Visumantrag DS-260 rund 345 $ je Person (Familienfälle 325 $); USCIS Immigrant Fee 235 $</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Prüfung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Formular I-693 bei einem </w:t>
            </w:r>
            <w:r>
              <w:rPr>
                <w:rFonts w:eastAsia="Cambria" w:cs="Cambria"/>
                <w:b w:val="false"/>
                <w:bCs w:val="false"/>
                <w:i/>
                <w:iCs/>
                <w:sz w:val="18"/>
                <w:szCs w:val="18"/>
              </w:rPr>
              <w:t>Civil Surgeon</w:t>
            </w:r>
            <w:r>
              <w:rPr>
                <w:rFonts w:eastAsia="Cambria" w:cs="Cambria"/>
                <w:b w:val="false"/>
                <w:bCs w:val="false"/>
                <w:i w:val="false"/>
                <w:iCs w:val="false"/>
                <w:sz w:val="18"/>
                <w:szCs w:val="18"/>
              </w:rPr>
              <w:t xml:space="preserve"> in den USA</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Arzt (</w:t>
            </w:r>
            <w:r>
              <w:rPr>
                <w:rFonts w:eastAsia="Cambria" w:cs="Cambria"/>
                <w:b w:val="false"/>
                <w:bCs w:val="false"/>
                <w:i/>
                <w:iCs/>
                <w:sz w:val="18"/>
                <w:szCs w:val="18"/>
              </w:rPr>
              <w:t>Panel Physician</w:t>
            </w:r>
            <w:r>
              <w:rPr>
                <w:rFonts w:eastAsia="Cambria" w:cs="Cambria"/>
                <w:b w:val="false"/>
                <w:bCs w:val="false"/>
                <w:i w:val="false"/>
                <w:iCs w:val="false"/>
                <w:sz w:val="18"/>
                <w:szCs w:val="18"/>
              </w:rPr>
              <w:t>) in Deutschland</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Ergebnis</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per Post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nach der Einreise Green Card per Post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Beträge des Konsulats stammen aus Kanzleiangaben, die aktuelle Gebühr steht auf travel.state.gov. Das Einwanderungsvisum gilt meist sechs Monate; in dieser Zeit musst du einreisen. Fürs Interview brauchst du unter anderem Pass, Geburts-, gegebenenfalls 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Bei gut belegten arbeitsbasierten Fällen entscheidet USCIS im Inland häufig ohne Interview.</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wählen Beschäftigte, die schon im Land sind, meist den I-485. Das Konsulat passt, wenn du noch in Deutschland lebst, etwa nach einem genehmigten NIW. Bei current-Kategorie kann es nach der I-140 schneller gehen, verlangt aber die Ausreise.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Wer im Ausland lebt, geht das Konsularverfahren.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Visa Bulletin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Zahl der Green Cards ist pro Kategorie gedeckelt, kein Land darf mehr als rund sieben Prozent aller Visa erhalten (FY2026: 28.862 je Land) – deshalb veröffentlicht das State Department monatlich das </w:t>
      </w:r>
      <w:r>
        <w:rPr>
          <w:rFonts w:eastAsia="Cambria" w:cs="Cambria"/>
          <w:b w:val="false"/>
          <w:bCs w:val="false"/>
          <w:i/>
          <w:iCs/>
          <w:sz w:val="22"/>
          <w:szCs w:val="22"/>
        </w:rPr>
        <w:t>Visa Bulletin</w:t>
      </w:r>
      <w:r>
        <w:rPr>
          <w:rFonts w:eastAsia="Cambria" w:cs="Cambria"/>
          <w:b w:val="false"/>
          <w:bCs w:val="false"/>
          <w:i w:val="false"/>
          <w:iCs w:val="false"/>
          <w:sz w:val="22"/>
          <w:szCs w:val="22"/>
        </w:rPr>
        <w:t>. Drei Begriffe erklären es:</w:t>
      </w:r>
    </w:p>
    <w:p>
      <w:pPr>
        <w:pStyle w:val="ListParagraph"/>
        <w:numPr>
          <w:ilvl w:val="0"/>
          <w:numId w:val="1"/>
        </w:numPr>
        <w:spacing w:lineRule="exact" w:line="288" w:before="0" w:after="60"/>
        <w:rPr/>
      </w:pPr>
      <w:r>
        <w:rPr>
          <w:rFonts w:eastAsia="Cambria" w:cs="Cambria"/>
          <w:b/>
          <w:bCs/>
          <w:i w:val="false"/>
          <w:iCs w:val="false"/>
          <w:sz w:val="22"/>
          <w:szCs w:val="22"/>
        </w:rPr>
        <w:t>Priority Date (PD):</w:t>
      </w:r>
      <w:r>
        <w:rPr>
          <w:rFonts w:eastAsia="Cambria" w:cs="Cambria"/>
          <w:b w:val="false"/>
          <w:bCs w:val="false"/>
          <w:i w:val="false"/>
          <w:iCs w:val="false"/>
          <w:sz w:val="22"/>
          <w:szCs w:val="22"/>
        </w:rPr>
        <w:t xml:space="preserve"> dein Platz in der Warteschlange – bei PERM-Fällen der Tag der ETA-9089-Einreichung, sonst (EB-1, NIW) der Tag der I-140-Einreichung. Ein genehmigtes I-140 behält das PD in der Regel auch beim Arbeitgeberwechsel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Stichtag</w:t>
      </w:r>
      <w:r>
        <w:rPr>
          <w:rFonts w:eastAsia="Cambria" w:cs="Cambria"/>
          <w:b w:val="false"/>
          <w:bCs w:val="false"/>
          <w:i w:val="false"/>
          <w:iCs w:val="false"/>
          <w:sz w:val="22"/>
          <w:szCs w:val="22"/>
        </w:rPr>
        <w:t xml:space="preserve"> (</w:t>
      </w:r>
      <w:r>
        <w:rPr>
          <w:rFonts w:eastAsia="Cambria" w:cs="Cambria"/>
          <w:b w:val="false"/>
          <w:bCs w:val="false"/>
          <w:i/>
          <w:iCs/>
          <w:sz w:val="22"/>
          <w:szCs w:val="22"/>
        </w:rPr>
        <w:t>Cutoff Date</w:t>
      </w:r>
      <w:r>
        <w:rPr>
          <w:rFonts w:eastAsia="Cambria" w:cs="Cambria"/>
          <w:b w:val="false"/>
          <w:bCs w:val="false"/>
          <w:i w:val="false"/>
          <w:iCs w:val="false"/>
          <w:sz w:val="22"/>
          <w:szCs w:val="22"/>
        </w:rPr>
        <w:t xml:space="preserve">): Nur wer ein PD davor hat, ist an der Reihe: C steht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(alle dran), U für </w:t>
      </w:r>
      <w:r>
        <w:rPr>
          <w:rFonts w:eastAsia="Cambria" w:cs="Cambria"/>
          <w:b w:val="false"/>
          <w:bCs w:val="false"/>
          <w:i/>
          <w:iCs/>
          <w:sz w:val="22"/>
          <w:szCs w:val="22"/>
        </w:rPr>
        <w:t>unavailable</w:t>
      </w:r>
      <w:r>
        <w:rPr>
          <w:rFonts w:eastAsia="Cambria" w:cs="Cambria"/>
          <w:b w:val="false"/>
          <w:bCs w:val="false"/>
          <w:i w:val="false"/>
          <w:iCs w:val="false"/>
          <w:sz w:val="22"/>
          <w:szCs w:val="22"/>
        </w:rPr>
        <w:t xml:space="preserve"> (keine Visa).</w:t>
      </w:r>
    </w:p>
    <w:p>
      <w:pPr>
        <w:pStyle w:val="ListParagraph"/>
        <w:numPr>
          <w:ilvl w:val="0"/>
          <w:numId w:val="1"/>
        </w:numPr>
        <w:spacing w:lineRule="exact" w:line="288" w:before="0" w:after="60"/>
        <w:rPr/>
      </w:pPr>
      <w:r>
        <w:rPr>
          <w:rFonts w:eastAsia="Cambria" w:cs="Cambria"/>
          <w:b/>
          <w:bCs/>
          <w:i w:val="false"/>
          <w:iCs w:val="false"/>
          <w:sz w:val="22"/>
          <w:szCs w:val="22"/>
        </w:rPr>
        <w:t>Zwei Tabellen:</w:t>
      </w:r>
      <w:r>
        <w:rPr>
          <w:rFonts w:eastAsia="Cambria" w:cs="Cambria"/>
          <w:b w:val="false"/>
          <w:bCs w:val="false"/>
          <w:i w:val="false"/>
          <w:iCs w:val="false"/>
          <w:sz w:val="22"/>
          <w:szCs w:val="22"/>
        </w:rPr>
        <w:t xml:space="preserve">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zeigen, ab wann genehmigt werden darf, </w:t>
      </w:r>
      <w:r>
        <w:rPr>
          <w:rFonts w:eastAsia="Cambria" w:cs="Cambria"/>
          <w:b w:val="false"/>
          <w:bCs w:val="false"/>
          <w:i/>
          <w:iCs/>
          <w:sz w:val="22"/>
          <w:szCs w:val="22"/>
        </w:rPr>
        <w:t>Dates for Filing</w:t>
      </w:r>
      <w:r>
        <w:rPr>
          <w:rFonts w:eastAsia="Cambria" w:cs="Cambria"/>
          <w:b w:val="false"/>
          <w:bCs w:val="false"/>
          <w:i w:val="false"/>
          <w:iCs w:val="false"/>
          <w:sz w:val="22"/>
          <w:szCs w:val="22"/>
        </w:rPr>
        <w:t>, ab wann du einreichen darfst. Welche Tabelle für den I-485 zählt, legt USCIS monatlich fest: Stand 1. September 2026 gilt bei arbeitsbasierten Anträgen die Final-Action-, bei familienbasierten die Dates-for-Filing-Tabelle (uscis.gov/green-card).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geltende Spalte bestimmt dein Geburtsland (</w:t>
      </w:r>
      <w:r>
        <w:rPr>
          <w:rFonts w:eastAsia="Cambria" w:cs="Cambria"/>
          <w:b w:val="false"/>
          <w:bCs w:val="false"/>
          <w:i/>
          <w:iCs/>
          <w:sz w:val="22"/>
          <w:szCs w:val="22"/>
        </w:rPr>
        <w:t>Country of Chargeability</w:t>
      </w:r>
      <w:r>
        <w:rPr>
          <w:rFonts w:eastAsia="Cambria" w:cs="Cambria"/>
          <w:b w:val="false"/>
          <w:bCs w:val="false"/>
          <w:i w:val="false"/>
          <w:iCs w:val="false"/>
          <w:sz w:val="22"/>
          <w:szCs w:val="22"/>
        </w:rPr>
        <w:t>), nicht dein Pass – eine in Indien geborene Deutsche zählt zur Spalte Indien; die Zurechnung über den Ehepartner klärt im Zweifel die Kanzlei. „Rest der Welt“ ist die Spalte „All Chargeability Areas Except Those Listed“.</w:t>
      </w:r>
    </w:p>
    <w:tbl>
      <w:tblPr>
        <w:tblW w:w="6480" w:type="dxa"/>
        <w:jc w:val="left"/>
        <w:tblInd w:w="0" w:type="dxa"/>
        <w:tblLayout w:type="fixed"/>
        <w:tblCellMar>
          <w:top w:w="50" w:type="dxa"/>
          <w:left w:w="80" w:type="dxa"/>
          <w:bottom w:w="50" w:type="dxa"/>
          <w:right w:w="80" w:type="dxa"/>
        </w:tblCellMar>
      </w:tblPr>
      <w:tblGrid>
        <w:gridCol w:w="1658"/>
        <w:gridCol w:w="1605"/>
        <w:gridCol w:w="1597"/>
        <w:gridCol w:w="1619"/>
      </w:tblGrid>
      <w:tr>
        <w:trPr>
          <w:tblHeader w:val="true"/>
          <w:cantSplit w:val="true"/>
        </w:trPr>
        <w:tc>
          <w:tcPr>
            <w:tcW w:w="16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Final Action Dates, September 2026</w:t>
            </w:r>
          </w:p>
        </w:tc>
        <w:tc>
          <w:tcPr>
            <w:tcW w:w="16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Rest der Welt</w:t>
            </w:r>
          </w:p>
        </w:tc>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China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Indien</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Juli 2023</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Oktober 2022</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2021</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verfügbar (U)</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2024</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2022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Ein PERM-Antrag vom Oktober 2025 hat das Priority Date Oktober 2025. In EB-3 liegt das hinter dem Stichtag vom 1. September 2024 – noch keine Visa-Nummer; in EB-2 ist die Kategorie current, es geht sofort weiter. Eine in Indien geborene Kollegin mit demselben Datum wartet in EB-3 hinter dem Stichtag vom 1. Januar 2014 Jahre auf den Aufruf. Nach der Dates-for-Filing-Tabelle sind im September 2026 zwar alle drei arbeitsbasierten Kategorien für den Rest der Welt current, für den I-485 zählt aber die Final-Action-Tabelle.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zeigt das Tempo: EB-2 (Rest der Welt) stand im Oktober 2025 bei 1. Dezember 2023, im März 2026 bei 15. Oktober 2024, seit dem Bulletin für April 2026 ist es current. EB-3 rückte von 1. April 2023 auf 1. September 2024. Grund laut Bulletin: eine gesunkene Zahl ausgestellter Visa, begründet mit der Politik seit Januar 2025 – kein Dauerzustand.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September-Bulletin warnt selbst, dass EB-2 vor Ende des Fiskaljahres am 30. September 2026 zurückgestuft oder unverfügbar werden kann. Am 1. Oktober beginnt das Fiskaljahr 2027 mit neuen Nummern; die Oktober-Werte lagen bei Redaktionsschluss (20. September 2026) noch nicht vor – prüfe sie auf travel.state.gov/visabulletin. Ist dein PD current und die I-140 genehmigt, reiche den I-485 sofort ein: Ein eingereichter Antrag bleibt bei einer späteren Rückstufung anhängig und wird entschieden, sobald dein PD wieder vor dem Stichtag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Wartezeit ergibt sich aus Geburtsland, Kategorie und Priority Date. Der Beruf allein entscheidet nichts.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wirklich?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Bulletin nennt Stichtage, aber nicht die Verfahrenszeit davor und danach. Die folgenden Spannen sind eigene Schätzungen aus den DOL- und USCIS-Daten (Stand Ende August 2026); im Einzelfall können sie deutlich abweichen.</w:t>
      </w:r>
    </w:p>
    <w:tbl>
      <w:tblPr>
        <w:tblW w:w="6480" w:type="dxa"/>
        <w:jc w:val="left"/>
        <w:tblInd w:w="0" w:type="dxa"/>
        <w:tblLayout w:type="fixed"/>
        <w:tblCellMar>
          <w:top w:w="50" w:type="dxa"/>
          <w:left w:w="80" w:type="dxa"/>
          <w:bottom w:w="50" w:type="dxa"/>
          <w:right w:w="80" w:type="dxa"/>
        </w:tblCellMar>
      </w:tblPr>
      <w:tblGrid>
        <w:gridCol w:w="2048"/>
        <w:gridCol w:w="1823"/>
        <w:gridCol w:w="2609"/>
      </w:tblGrid>
      <w:tr>
        <w:trPr>
          <w:tblHeader w:val="true"/>
          <w:cantSplit w:val="true"/>
        </w:trPr>
        <w:tc>
          <w:tcPr>
            <w:tcW w:w="2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(Deutschland)</w:t>
            </w:r>
          </w:p>
        </w:tc>
        <w:tc>
          <w:tcPr>
            <w:tcW w:w="18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Gesamtdauer ab Start</w:t>
            </w:r>
          </w:p>
        </w:tc>
        <w:tc>
          <w:tcPr>
            <w:tcW w:w="26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den Ausschlag gibt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EB-2</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2,5–4,5 Jahre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I-485</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EB-2, plus Wartezeit</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1. September 2024</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 EB-1A, NIW</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1–2,5 Jahre bei Genehmigung</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Ablehnungsrisiko</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eines US-Bürgers</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20–24 Monate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 ca. 17 Monate, dann Konsulat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Indien,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12–13 Jahre Rückstand</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EB-2/EB-3 addieren sich Lohnbescheid (rund vier Monate), Stellensuche (zwei bis drei), Analystenprüfung (rund elf bis zwölf), I-140 (mit Premium etwa ein Monat) und I-485 (8–24) beziehungsweise Konsulat (vier bis acht) – gut zwei bis knapp vier Jahre in Einzelposten. Die Schätzung von 2,5–4,5 Jahren enthält zusätzlich einen Puffer für Nachforderungen (</w:t>
      </w:r>
      <w:r>
        <w:rPr>
          <w:rFonts w:eastAsia="Cambria" w:cs="Cambria"/>
          <w:b w:val="false"/>
          <w:bCs w:val="false"/>
          <w:i/>
          <w:iCs/>
          <w:sz w:val="22"/>
          <w:szCs w:val="22"/>
        </w:rPr>
        <w:t>Requests for Evidence</w:t>
      </w:r>
      <w:r>
        <w:rPr>
          <w:rFonts w:eastAsia="Cambria" w:cs="Cambria"/>
          <w:b w:val="false"/>
          <w:bCs w:val="false"/>
          <w:i w:val="false"/>
          <w:iCs w:val="false"/>
          <w:sz w:val="22"/>
          <w:szCs w:val="22"/>
        </w:rPr>
        <w:t>), Audits und Leerlauf zwischen den Schritten. Bei EB-1C, EB-1A und NIW entfällt der Arbeitsmarkttest – der Zeitgewinn. Wer mit H-1B startet, hat sechs Jahre Zeit, das reicht für Deutsche meist 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Investor, Lotterie, Gold Card</w:t>
      </w:r>
    </w:p>
    <w:p>
      <w:pPr>
        <w:pStyle w:val="ListParagraph"/>
        <w:numPr>
          <w:ilvl w:val="0"/>
          <w:numId w:val="1"/>
        </w:numPr>
        <w:spacing w:lineRule="exact" w:line="288" w:before="0" w:after="60"/>
        <w:rPr/>
      </w:pPr>
      <w:r>
        <w:rPr>
          <w:rFonts w:eastAsia="Cambria" w:cs="Cambria"/>
          <w:b/>
          <w:bCs/>
          <w:i w:val="false"/>
          <w:iCs w:val="false"/>
          <w:sz w:val="22"/>
          <w:szCs w:val="22"/>
        </w:rPr>
        <w:t>Ehepartner eines US-Bürgers:</w:t>
      </w:r>
      <w:r>
        <w:rPr>
          <w:rFonts w:eastAsia="Cambria" w:cs="Cambria"/>
          <w:b w:val="false"/>
          <w:bCs w:val="false"/>
          <w:i w:val="false"/>
          <w:iCs w:val="false"/>
          <w:sz w:val="22"/>
          <w:szCs w:val="22"/>
        </w:rPr>
        <w:t xml:space="preserve"> Als </w:t>
      </w:r>
      <w:r>
        <w:rPr>
          <w:rFonts w:eastAsia="Cambria" w:cs="Cambria"/>
          <w:b w:val="false"/>
          <w:bCs w:val="false"/>
          <w:i/>
          <w:iCs/>
          <w:sz w:val="22"/>
          <w:szCs w:val="22"/>
        </w:rPr>
        <w:t>Immediate Relatives</w:t>
      </w:r>
      <w:r>
        <w:rPr>
          <w:rFonts w:eastAsia="Cambria" w:cs="Cambria"/>
          <w:b w:val="false"/>
          <w:bCs w:val="false"/>
          <w:i w:val="false"/>
          <w:iCs w:val="false"/>
          <w:sz w:val="22"/>
          <w:szCs w:val="22"/>
        </w:rPr>
        <w:t xml:space="preserve"> (unmittelbare Angehörige) unterliegen sie keiner Quote, keinem Stichtag. Ablauf: Petition I-130 (675 $ Papier, 625 $ online), NVC (DS-260 325 $, Verpflichtungserklärung I-864 mit 120 $ Prüfgebühr), Interview in Frankfurt, Immigrant Fee 235 $ – laut Kanzleien 2026 rund 17 Monate für die I-130, dann drei bis sechs beim Konsulat; bei rechtmäßiger Einreise geht auch der I-485 im Inland. Ehepartner eines Green-Card-Inhabers (Kategorie F2A) haben im September 2026 den Stichtag 22. August 2026, praktisch current – Engpass ist die I-130-Bearbeitung (mehr 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Investor (EB-5):</w:t>
      </w:r>
      <w:r>
        <w:rPr>
          <w:rFonts w:eastAsia="Cambria" w:cs="Cambria"/>
          <w:b w:val="false"/>
          <w:bCs w:val="false"/>
          <w:i w:val="false"/>
          <w:iCs w:val="false"/>
          <w:sz w:val="22"/>
          <w:szCs w:val="22"/>
        </w:rP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Lotterie (Diversity Visa):</w:t>
      </w:r>
      <w:r>
        <w:rPr>
          <w:rFonts w:eastAsia="Cambria" w:cs="Cambria"/>
          <w:b w:val="false"/>
          <w:bCs w:val="false"/>
          <w:i w:val="false"/>
          <w:iCs w:val="false"/>
          <w:sz w:val="22"/>
          <w:szCs w:val="22"/>
        </w:rPr>
        <w:t xml:space="preserve"> 55.000 Green Cards pro Jahr. Die Vergabe war seit Dezember 2025 ausgesetzt und läuft nach einem Gerichtsbeschluss vom 28. August 2026 wieder; das Programmjahr 2026 endet am 30. September, die Registrierung für 2027 ist nicht eröffnet. Als Plan taugt sie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Gold Card:</w:t>
      </w:r>
      <w:r>
        <w:rPr>
          <w:rFonts w:eastAsia="Cambria" w:cs="Cambria"/>
          <w:b w:val="false"/>
          <w:bCs w:val="false"/>
          <w:i w:val="false"/>
          <w:iCs w:val="false"/>
          <w:sz w:val="22"/>
          <w:szCs w:val="22"/>
        </w:rPr>
        <w:t xml:space="preserve"> Nur als Randnotiz: 1 Million $ „Geschenk“ (Firmen: 2 Millionen $ je Angestelltem) plus 15.000 $ Gebühr, eingeordnet in EB-1 oder EB-2. Bis Mitte 2026 war nur eine Genehmigung bekannt, eine Klage ist anhängig. Für Deutsche ist die Wartezeit ohnehin kein Argument, weil EB-1 und EB-2 derzeit current sind – wer eine Million Dollar übrig hat, braucht für die Green Card eher einen Steuerberater als einen Ratgeber.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Was du darfst.</w:t>
      </w:r>
      <w:r>
        <w:rPr>
          <w:rFonts w:eastAsia="Cambria" w:cs="Cambria"/>
          <w:b w:val="false"/>
          <w:bCs w:val="false"/>
          <w:i w:val="false"/>
          <w:iCs w:val="false"/>
          <w:sz w:val="22"/>
          <w:szCs w:val="22"/>
        </w:rP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Ein früh vermiedenes Missverständnis: Bei Bundeswahlen darfst du als Green-Card-Inhaber nicht abstimmen – wer es trotzdem tut, riskiert Strafverfahren und Statusverlust. Beim Führerscheinantrag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taucht oft die Frage nach der Wählerregistrierung auf; als Nichtbürger lässt du sie aus.</w:t>
      </w:r>
    </w:p>
    <w:p>
      <w:pPr>
        <w:pStyle w:val="Normal"/>
        <w:keepNext w:val="false"/>
        <w:keepLines w:val="false"/>
        <w:spacing w:lineRule="exact" w:line="288" w:before="0" w:after="140"/>
        <w:jc w:val="left"/>
        <w:rPr/>
      </w:pPr>
      <w:r>
        <w:rPr>
          <w:rFonts w:eastAsia="Cambria" w:cs="Cambria"/>
          <w:b/>
          <w:bCs/>
          <w:i w:val="false"/>
          <w:iCs w:val="false"/>
          <w:sz w:val="22"/>
          <w:szCs w:val="22"/>
        </w:rPr>
        <w:t>Was du musst:</w:t>
      </w:r>
    </w:p>
    <w:p>
      <w:pPr>
        <w:pStyle w:val="ListParagraph"/>
        <w:numPr>
          <w:ilvl w:val="0"/>
          <w:numId w:val="1"/>
        </w:numPr>
        <w:spacing w:lineRule="exact" w:line="288" w:before="0" w:after="60"/>
        <w:rPr/>
      </w:pPr>
      <w:r>
        <w:rPr>
          <w:rFonts w:eastAsia="Cambria" w:cs="Cambria"/>
          <w:b/>
          <w:bCs/>
          <w:i w:val="false"/>
          <w:iCs w:val="false"/>
          <w:sz w:val="22"/>
          <w:szCs w:val="22"/>
        </w:rPr>
        <w:t>Adresse melden:</w:t>
      </w:r>
      <w:r>
        <w:rPr>
          <w:rFonts w:eastAsia="Cambria" w:cs="Cambria"/>
          <w:b w:val="false"/>
          <w:bCs w:val="false"/>
          <w:i w:val="false"/>
          <w:iCs w:val="false"/>
          <w:sz w:val="22"/>
          <w:szCs w:val="22"/>
        </w:rPr>
        <w:t xml:space="preserve"> Jeder Umzug ist binnen zehn Tagen USCIS zu melden (Form AR-11).</w:t>
      </w:r>
    </w:p>
    <w:p>
      <w:pPr>
        <w:pStyle w:val="ListParagraph"/>
        <w:numPr>
          <w:ilvl w:val="0"/>
          <w:numId w:val="1"/>
        </w:numPr>
        <w:spacing w:lineRule="exact" w:line="288" w:before="0" w:after="60"/>
        <w:rPr/>
      </w:pPr>
      <w:r>
        <w:rPr>
          <w:rFonts w:eastAsia="Cambria" w:cs="Cambria"/>
          <w:b/>
          <w:bCs/>
          <w:i w:val="false"/>
          <w:iCs w:val="false"/>
          <w:sz w:val="22"/>
          <w:szCs w:val="22"/>
        </w:rPr>
        <w:t>Karte mitführen:</w:t>
      </w:r>
      <w:r>
        <w:rPr>
          <w:rFonts w:eastAsia="Cambria" w:cs="Cambria"/>
          <w:b w:val="false"/>
          <w:bCs w:val="false"/>
          <w:i w:val="false"/>
          <w:iCs w:val="false"/>
          <w:sz w:val="22"/>
          <w:szCs w:val="22"/>
        </w:rPr>
        <w:t xml:space="preserve"> Die Green Card gehört zu den Dokumenten, die du bei dir trägst.</w:t>
      </w:r>
    </w:p>
    <w:p>
      <w:pPr>
        <w:pStyle w:val="ListParagraph"/>
        <w:numPr>
          <w:ilvl w:val="0"/>
          <w:numId w:val="1"/>
        </w:numPr>
        <w:spacing w:lineRule="exact" w:line="288" w:before="0" w:after="60"/>
        <w:rPr/>
      </w:pPr>
      <w:r>
        <w:rPr>
          <w:rFonts w:eastAsia="Cambria" w:cs="Cambria"/>
          <w:b/>
          <w:bCs/>
          <w:i w:val="false"/>
          <w:iCs w:val="false"/>
          <w:sz w:val="22"/>
          <w:szCs w:val="22"/>
        </w:rPr>
        <w:t>Steuern:</w:t>
      </w:r>
      <w:r>
        <w:rPr>
          <w:rFonts w:eastAsia="Cambria" w:cs="Cambria"/>
          <w:b w:val="false"/>
          <w:bCs w:val="false"/>
          <w:i w:val="false"/>
          <w:iCs w:val="false"/>
          <w:sz w:val="22"/>
          <w:szCs w:val="22"/>
        </w:rPr>
        <w:t xml:space="preserve"> Steuererklärung als US-Resident mit weltweitem Einkommen und Meldung ausländischer Konten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Männliche Einwanderer zwischen 18 und 25 müssen sich binnen 30 Tagen nach der Einreise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registrieren, Jugendliche zu ihrem 18. Geburtstag. Das ist eine Erfassung, kein Wehrdienst.</w:t>
      </w:r>
    </w:p>
    <w:p>
      <w:pPr>
        <w:pStyle w:val="ListParagraph"/>
        <w:numPr>
          <w:ilvl w:val="0"/>
          <w:numId w:val="1"/>
        </w:numPr>
        <w:spacing w:lineRule="exact" w:line="288" w:before="0" w:after="60"/>
        <w:rPr/>
      </w:pPr>
      <w:r>
        <w:rPr>
          <w:rFonts w:eastAsia="Cambria" w:cs="Cambria"/>
          <w:b/>
          <w:bCs/>
          <w:i w:val="false"/>
          <w:iCs w:val="false"/>
          <w:sz w:val="22"/>
          <w:szCs w:val="22"/>
        </w:rPr>
        <w:t>Lebensmittelpunkt in den USA:</w:t>
      </w:r>
      <w:r>
        <w:rPr>
          <w:rFonts w:eastAsia="Cambria" w:cs="Cambria"/>
          <w:b w:val="false"/>
          <w:bCs w:val="false"/>
          <w:i w:val="false"/>
          <w:iCs w:val="false"/>
          <w:sz w:val="22"/>
          <w:szCs w:val="22"/>
        </w:rPr>
        <w:t xml:space="preserve"> Alles Weitere hängt daran.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Reisen, Abwesenheit und der Verlust 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erlaubt Reisen, bleibt aber nur gültig, solange die USA dein Lebensmittelpunkt sind – eine feste Tagesgrenze gibt es nicht, wohl aber Schwellen, an denen die Grenzschutzbehörde CBP hinsieht:</w:t>
      </w:r>
    </w:p>
    <w:tbl>
      <w:tblPr>
        <w:tblW w:w="6480" w:type="dxa"/>
        <w:jc w:val="left"/>
        <w:tblInd w:w="0" w:type="dxa"/>
        <w:tblLayout w:type="fixed"/>
        <w:tblCellMar>
          <w:top w:w="50" w:type="dxa"/>
          <w:left w:w="80" w:type="dxa"/>
          <w:bottom w:w="50" w:type="dxa"/>
          <w:right w:w="80" w:type="dxa"/>
        </w:tblCellMar>
      </w:tblPr>
      <w:tblGrid>
        <w:gridCol w:w="2356"/>
        <w:gridCol w:w="2358"/>
        <w:gridCol w:w="1766"/>
      </w:tblGrid>
      <w:tr>
        <w:trPr>
          <w:tblHeader w:val="true"/>
          <w:cantSplit w:val="true"/>
        </w:trPr>
        <w:tc>
          <w:tcPr>
            <w:tcW w:w="23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Auslandsaufenthalt</w:t>
            </w:r>
          </w:p>
        </w:tc>
        <w:tc>
          <w:tcPr>
            <w:tcW w:w="23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7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sechs Monaten</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unproblematisch</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Karte und Pass mitführen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als 180 Tage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prüft, ob du erneut zugelassen wirst (INA 101(a)(13)(C)(ii))</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Bindungen belegen (Wohnung, Job, Steuern)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bis zwölf Monate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Erhöhte Vermutung der Aufgabe; für die Einbürgerung gilt der Aufenthalt als unterbrochen (widerlegbar)</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Reentry Permit</w:t>
            </w:r>
            <w:r>
              <w:rPr>
                <w:rFonts w:eastAsia="Cambria" w:cs="Cambria"/>
                <w:b w:val="false"/>
                <w:bCs w:val="false"/>
                <w:i w:val="false"/>
                <w:iCs w:val="false"/>
                <w:sz w:val="18"/>
                <w:szCs w:val="18"/>
              </w:rPr>
              <w:t xml:space="preserve"> vorher beantragen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einem Jahr</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allein reicht nicht zur Wiedereinreise</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 oder Rückkehrvisum SB-1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Reentry Permit</w:t>
      </w:r>
      <w:r>
        <w:rPr>
          <w:rFonts w:eastAsia="Cambria" w:cs="Cambria"/>
          <w:b w:val="false"/>
          <w:bCs w:val="false"/>
          <w:i w:val="false"/>
          <w:iCs w:val="false"/>
          <w:sz w:val="22"/>
          <w:szCs w:val="22"/>
        </w:rPr>
        <w:t xml:space="preserve"> (Form I-131, 630 $, nur auf Papier) gilt bis zu zwei Jahre; du beantragst es in den USA, mit Fingerabdrucktermin (Biometrie) vor der Ausreise. Es schützt vor dem Argument, dein Aufenthalt sei nicht mehr vorübergehend – nicht aber vor dem Vorwurf, du hättest deinen Wohnsitz längst verlegt. Das Rückkehrvisum SB-1 gibt es nur bei Verzögerung außerhalb deiner Kontrolle. Wer dem Grenzbeamten nach sieben Monaten in Deutschland erklärt, er sei nur kurz weg gewesen, hat ein Beweisproblem.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Aufgabe (</w:t>
      </w:r>
      <w:r>
        <w:rPr>
          <w:rFonts w:eastAsia="Cambria" w:cs="Cambria"/>
          <w:b w:val="false"/>
          <w:bCs w:val="false"/>
          <w:i/>
          <w:iCs/>
          <w:sz w:val="22"/>
          <w:szCs w:val="22"/>
        </w:rPr>
        <w:t>Abandonment</w:t>
      </w:r>
      <w:r>
        <w:rPr>
          <w:rFonts w:eastAsia="Cambria" w:cs="Cambria"/>
          <w:b w:val="false"/>
          <w:bCs w:val="false"/>
          <w:i w:val="false"/>
          <w:iCs w:val="false"/>
          <w:sz w:val="22"/>
          <w:szCs w:val="22"/>
        </w:rPr>
        <w:t xml:space="preserve">): Du ziehst mit der Absicht weg, dauerhaft im Ausland zu leben. Indizien: lange Abwesenheit, ausländischer Wohnsitz, Steuererklärung als </w:t>
      </w:r>
      <w:r>
        <w:rPr>
          <w:rFonts w:eastAsia="Cambria" w:cs="Cambria"/>
          <w:b w:val="false"/>
          <w:bCs w:val="false"/>
          <w:i/>
          <w:iCs/>
          <w:sz w:val="22"/>
          <w:szCs w:val="22"/>
        </w:rPr>
        <w:t>Nonresident</w:t>
      </w:r>
      <w:r>
        <w:rPr>
          <w:rFonts w:eastAsia="Cambria" w:cs="Cambria"/>
          <w:b w:val="false"/>
          <w:bCs w:val="false"/>
          <w:i w:val="false"/>
          <w:iCs w:val="false"/>
          <w:sz w:val="22"/>
          <w:szCs w:val="22"/>
        </w:rPr>
        <w:t>. Kanzleien berichten 2025 und 2026 von häufigerer Zweitkontrolle (</w:t>
      </w:r>
      <w:r>
        <w:rPr>
          <w:rFonts w:eastAsia="Cambria" w:cs="Cambria"/>
          <w:b w:val="false"/>
          <w:bCs w:val="false"/>
          <w:i/>
          <w:iCs/>
          <w:sz w:val="22"/>
          <w:szCs w:val="22"/>
        </w:rPr>
        <w:t>Secondary Inspection</w:t>
      </w:r>
      <w:r>
        <w:rPr>
          <w:rFonts w:eastAsia="Cambria" w:cs="Cambria"/>
          <w:b w:val="false"/>
          <w:bCs w:val="false"/>
          <w:i w:val="false"/>
          <w:iCs w:val="false"/>
          <w:sz w:val="22"/>
          <w:szCs w:val="22"/>
        </w:rPr>
        <w:t>) bei der Wiedereinreise; halte Karte, Steuerbescheide und Mietvertrag griffbereit im Handgepäck, nicht erst zu Hause im Aktenordner.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ein Grenzbeamter, das Formular I-407 (freiwillige Aufgabe der Green Card, kostenlos) zu unterschreiben, bist du dazu nicht verpflichtet. Kanzleien raten, nichts zu unterschreiben und ein Verfahren vor dem Einwanderungsrichter zu verlangen – bei Streit entscheidet nicht der Beamte am Schalter über den Statusverlust. Wer länger als sechs Monate weg sein will, beantragt das Reentry Permit vor der Ausreise.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bleibt, solange die USA dein Lebensmittelpunkt sind. Nicht die Tage im Reisepass allein entscheiden, sondern das Gesamtbild aus Wohnung, Arbeit, Steuern und Absicht.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bedingte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 versäumst du die Frist, droht der Verlust des Status. EB-5-Investoren erhalten ebenfalls zunächst eine bedingte Karte (Aufhebung mit I-829, 3.750 $).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Ab der Green Card weltweit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Mit der Green Card giltst du für die US-Steuer als </w:t>
      </w:r>
      <w:r>
        <w:rPr>
          <w:rFonts w:eastAsia="Cambria" w:cs="Cambria"/>
          <w:b w:val="false"/>
          <w:bCs w:val="false"/>
          <w:i/>
          <w:iCs/>
          <w:sz w:val="22"/>
          <w:szCs w:val="22"/>
        </w:rPr>
        <w:t>Resident</w:t>
      </w:r>
      <w:r>
        <w:rPr>
          <w:rFonts w:eastAsia="Cambria" w:cs="Cambria"/>
          <w:b w:val="false"/>
          <w:bCs w:val="false"/>
          <w:i w:val="false"/>
          <w:iCs w:val="false"/>
          <w:sz w:val="22"/>
          <w:szCs w:val="22"/>
        </w:rPr>
        <w:t>: Die USA besteuern dein weltweites Einkommen – auch Mieten, Zinsen und Renten aus Deutschland – und verlangen Meldungen über Auslandskonten (</w:t>
      </w:r>
      <w:r>
        <w:rPr>
          <w:rFonts w:eastAsia="Cambria" w:cs="Cambria"/>
          <w:b w:val="false"/>
          <w:bCs w:val="false"/>
          <w:i/>
          <w:iCs/>
          <w:sz w:val="22"/>
          <w:szCs w:val="22"/>
        </w:rPr>
        <w:t>FBAR</w:t>
      </w:r>
      <w:r>
        <w:rPr>
          <w:rFonts w:eastAsia="Cambria" w:cs="Cambria"/>
          <w:b w:val="false"/>
          <w:bCs w:val="false"/>
          <w:i w:val="false"/>
          <w:iCs w:val="false"/>
          <w:sz w:val="22"/>
          <w:szCs w:val="22"/>
        </w:rPr>
        <w:t>, der Bericht über ausländische Bankkonten, und Form 8938). Das Doppelbesteuerungsabkommen Deutschland–USA mildert die doppelte Belastung, hebt sie aber nicht immer auf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für die USA,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für die deutsche Seite). Kern ist die Dauer: Wer nach Deutschland zurückgeht und die Karte behält, bleibt steuerlich US-Resident, bis er sie formell aufgibt.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trifft, wer die Green Card nach mindestens acht der letzten 15 Jahre aufgibt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und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gilt –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Gib keine Steuererklärung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ab, solange du die Green Card besitzt, ohne dich vorher beraten zu lassen. USCIS wertet das als Indiz für die Aufgabe des Status.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einen Einwanderungsanwalt oder einen Steuerberater.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seit 2025 geändert hat</w:t>
      </w:r>
    </w:p>
    <w:p>
      <w:pPr>
        <w:pStyle w:val="ListParagraph"/>
        <w:numPr>
          <w:ilvl w:val="0"/>
          <w:numId w:val="1"/>
        </w:numPr>
        <w:spacing w:lineRule="exact" w:line="288" w:before="0" w:after="60"/>
        <w:rPr/>
      </w:pPr>
      <w:r>
        <w:rPr>
          <w:rFonts w:eastAsia="Cambria" w:cs="Cambria"/>
          <w:b/>
          <w:bCs/>
          <w:i w:val="false"/>
          <w:iCs w:val="false"/>
          <w:sz w:val="22"/>
          <w:szCs w:val="22"/>
        </w:rPr>
        <w:t>Kinder (CSPA):</w:t>
      </w:r>
      <w:r>
        <w:rPr>
          <w:rFonts w:eastAsia="Cambria" w:cs="Cambria"/>
          <w:b w:val="false"/>
          <w:bCs w:val="false"/>
          <w:i w:val="false"/>
          <w:iCs w:val="false"/>
          <w:sz w:val="22"/>
          <w:szCs w:val="22"/>
        </w:rPr>
        <w:t xml:space="preserve"> Für Anträge ab dem 15. August 2025 gilt für die Altersberechnung die Final-Action-Dates-Tabelle; bei EB-1 und EB-2 (Rest der Welt, derzeit current) besteht kaum Risiko. H-4-Kinder verlieren den H-4-Status mit 21 unabhängig davon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Public Charge:</w:t>
      </w:r>
      <w:r>
        <w:rPr>
          <w:rFonts w:eastAsia="Cambria" w:cs="Cambria"/>
          <w:b w:val="false"/>
          <w:bCs w:val="false"/>
          <w:i w:val="false"/>
          <w:iCs w:val="false"/>
          <w:sz w:val="22"/>
          <w:szCs w:val="22"/>
        </w:rPr>
        <w:t xml:space="preserve"> Die Endregel vom 20. Juli 2026 (91 FR 45324) gilt für I-485-Anträge ab dem 18. September 2026 und ersetzt die Regel von 2022. Officer würdigen alle relevanten Umstände im Einzelfall; Bezug von Medicaid, SNAP oder Wohngeld nach diesem Datum kann berücksichtigt werden, bei gesichertem Einkommen gilt das Risiko als gering (Einschätzung, keine Garantie). Frage vor Leistungsbezug während des Verfahrens die Kanzlei, nutze stets die aktuelle Formularausgabe.</w:t>
      </w:r>
    </w:p>
    <w:p>
      <w:pPr>
        <w:pStyle w:val="ListParagraph"/>
        <w:numPr>
          <w:ilvl w:val="0"/>
          <w:numId w:val="1"/>
        </w:numPr>
        <w:spacing w:lineRule="exact" w:line="288" w:before="0" w:after="60"/>
        <w:rPr/>
      </w:pPr>
      <w:r>
        <w:rPr>
          <w:rFonts w:eastAsia="Cambria" w:cs="Cambria"/>
          <w:b/>
          <w:bCs/>
          <w:i w:val="false"/>
          <w:iCs w:val="false"/>
          <w:sz w:val="22"/>
          <w:szCs w:val="22"/>
        </w:rPr>
        <w:t>Länderspezifische Sperren:</w:t>
      </w:r>
      <w:r>
        <w:rPr>
          <w:rFonts w:eastAsia="Cambria" w:cs="Cambria"/>
          <w:b w:val="false"/>
          <w:bCs w:val="false"/>
          <w:i w:val="false"/>
          <w:iCs w:val="false"/>
          <w:sz w:val="22"/>
          <w:szCs w:val="22"/>
        </w:rPr>
        <w:t xml:space="preserve">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pPr>
        <w:pStyle w:val="ListParagraph"/>
        <w:numPr>
          <w:ilvl w:val="0"/>
          <w:numId w:val="1"/>
        </w:numPr>
        <w:spacing w:lineRule="exact" w:line="288" w:before="0" w:after="60"/>
        <w:rPr/>
      </w:pPr>
      <w:r>
        <w:rPr>
          <w:rFonts w:eastAsia="Cambria" w:cs="Cambria"/>
          <w:b/>
          <w:bCs/>
          <w:i w:val="false"/>
          <w:iCs w:val="false"/>
          <w:sz w:val="22"/>
          <w:szCs w:val="22"/>
        </w:rPr>
        <w:t>Gebühren:</w:t>
      </w:r>
      <w:r>
        <w:rPr>
          <w:rFonts w:eastAsia="Cambria" w:cs="Cambria"/>
          <w:b w:val="false"/>
          <w:bCs w:val="false"/>
          <w:i w:val="false"/>
          <w:iCs w:val="false"/>
          <w:sz w:val="22"/>
          <w:szCs w:val="22"/>
        </w:rPr>
        <w:t xml:space="preserve"> Die Zusatzgebühren aus dem Gesetz H.R. 1 (Pub. L. 119-21) betreffen I-140 und I-485 nicht (Gebührenblatt G-1055, Stand 9. September 2026).</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freie Arbeits- und Ortswahl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 bei PERM: 2,5–4,5 Jahre, bis zum I-485 an den Arbeitgeber gebunden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derzeit EB-1 und EB-2 ohne Stichtag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Kategorien schwanken: Rückstufung möglich, EB-3 mit Stichtag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ziehen mit; Partner kann per EAD arbeiten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zahlt selbst: z. B. 4.780 $ I-485-Gebühren bei zwei Erwachsenen und zwei Kindern unter 14, plus Arzt und Übersetzungen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Sponsor mehr nötig, stabile Grundlage für Hypothek und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Meldepflichten, Exit Tax nach acht Jahren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Einbürgerung und zum Doppelpass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Auslandsaufenthalte über 180 Tage gefährden den Status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Selbstpetition ohne Arbeitgeber möglich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NIW und EB-1A wurden im Fiskaljahr 2026 nur rund 49 % bzw. 41 % genehmigt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Ist dein Priority Date erreicht, handle zügig: Rund um den Fiskaljahreswechsel am 1. Oktober kann sich der Stichtag deiner Kategorie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Geburtsland prüfen: Welche Spalte des Visa Bulletin gilt für dich?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Vertragsunterschrift schriftlich klären: Startzeitpunkt der PERM, Kostenübernahme, Rückzahlungsklauseln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Kategorie mit der Kanzlei festlegen (EB-2, EB-3, EB-1C, NIW oder EB-1A) und einen Plan B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Visa Bulletin monatlich prüfen (travel.state.gov/visabulletin), USCIS-Tabelle für den I-485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Priority Date notieren, Bescheide (I-797) und PERM-Zertifikat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die I-485-Gebühren der ganzen Familie und den Civil-Surgeon-Termin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Konsularverfahren früh Führungszeugnis, Geburts- und Heiratsurkunden besorgen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Auslandsreisen mit Datum in einer Liste führen; vor Reisen über sechs Monate das Reentry Permit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lückenlos als Resident abgeben, keine Nonresident-Erklärung ohne Beratung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Adressänderungen binnen zehn Tagen melden (Form AR-11)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Bezug von Medicaid, SNAP oder Wohngeld während des Verfahrens die Kanzlei fragen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5">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 xml:space="preserve"> — Visa Bulletin (Stichtage) und Konsulargebühren</w:t>
      </w:r>
    </w:p>
    <w:p>
      <w:pPr>
        <w:pStyle w:val="ListParagraph"/>
        <w:numPr>
          <w:ilvl w:val="0"/>
          <w:numId w:val="1"/>
        </w:numPr>
        <w:spacing w:lineRule="exact" w:line="288" w:before="0" w:after="60"/>
        <w:rPr/>
      </w:pPr>
      <w:hyperlink r:id="rId66">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 xml:space="preserve"> — Wege, Verfahren, Tabellen für den I-485</w:t>
      </w:r>
    </w:p>
    <w:p>
      <w:pPr>
        <w:pStyle w:val="ListParagraph"/>
        <w:numPr>
          <w:ilvl w:val="0"/>
          <w:numId w:val="1"/>
        </w:numPr>
        <w:spacing w:lineRule="exact" w:line="288" w:before="0" w:after="60"/>
        <w:rPr/>
      </w:pPr>
      <w:hyperlink r:id="rId67">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 xml:space="preserve"> — Gebührenverzeichnis von USCIS</w:t>
      </w:r>
    </w:p>
    <w:p>
      <w:pPr>
        <w:pStyle w:val="ListParagraph"/>
        <w:numPr>
          <w:ilvl w:val="0"/>
          <w:numId w:val="1"/>
        </w:numPr>
        <w:spacing w:lineRule="exact" w:line="288" w:before="0" w:after="60"/>
        <w:rPr/>
      </w:pPr>
      <w:hyperlink r:id="rId68">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 xml:space="preserve"> — Bearbeitungszeiten für Lohnbescheid und PERM</w:t>
      </w:r>
    </w:p>
    <w:p>
      <w:pPr>
        <w:pStyle w:val="ListParagraph"/>
        <w:numPr>
          <w:ilvl w:val="0"/>
          <w:numId w:val="1"/>
        </w:numPr>
        <w:spacing w:lineRule="exact" w:line="288" w:before="0" w:after="60"/>
        <w:rPr/>
      </w:pPr>
      <w:hyperlink r:id="rId69">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 xml:space="preserve"> — Botschaft und Konsulate in Deutschland (Einwanderungsvisa)</w:t>
      </w:r>
    </w:p>
    <w:p>
      <w:pPr>
        <w:pStyle w:val="ListParagraph"/>
        <w:numPr>
          <w:ilvl w:val="0"/>
          <w:numId w:val="1"/>
        </w:numPr>
        <w:spacing w:lineRule="exact" w:line="288" w:before="0" w:after="60"/>
        <w:rPr/>
      </w:pPr>
      <w:hyperlink r:id="rId7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 Suche „Public Charge Ground of Inadmissibility“ (91 FR 45324)</w:t>
      </w:r>
    </w:p>
    <w:p>
      <w:pPr>
        <w:pStyle w:val="ListParagraph"/>
        <w:numPr>
          <w:ilvl w:val="0"/>
          <w:numId w:val="1"/>
        </w:numPr>
        <w:spacing w:lineRule="exact" w:line="288" w:before="0" w:after="60"/>
        <w:rPr/>
      </w:pPr>
      <w:hyperlink r:id="rId71">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 xml:space="preserve"> — Steuerpflicht und Exit Tax</w:t>
      </w:r>
    </w:p>
    <w:p>
      <w:pPr>
        <w:pStyle w:val="ListParagraph"/>
        <w:numPr>
          <w:ilvl w:val="0"/>
          <w:numId w:val="1"/>
        </w:numPr>
        <w:spacing w:lineRule="exact" w:line="288" w:before="0" w:after="60"/>
        <w:rPr/>
      </w:pPr>
      <w:hyperlink r:id="rId72">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 xml:space="preserve"> — Selective Service: Registrierungspflicht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3"/>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(das Oktober-Bulletin mit den Werten für das Fiskaljahr 2027 lag bei Redaktionsschluss nicht vor), die Bearbeitungszeiten von DOL und USCIS, die Genehmigungsquoten bei NIW und EB-1A, Gebühren (G-1055), die Public-Charge-Regeln, Gold Card und Diversity Visa sowie Gerichtsentscheidungen. Prüfe vor jeder Entscheidung die offiziellen Seiten und die Kanzlei.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 w:name="__RefHeading___Toc56442_3457424410"/>
      <w:bookmarkStart w:id="24" w:name="k7"/>
      <w:bookmarkEnd w:id="23"/>
      <w:r>
        <w:rPr>
          <w:rFonts w:eastAsia="Amazon Ember" w:cs="Amazon Ember" w:ascii="Amazon Ember" w:hAnsi="Amazon Ember"/>
          <w:b/>
          <w:bCs/>
          <w:color w:val="0000FF"/>
          <w:sz w:val="36"/>
          <w:szCs w:val="36"/>
        </w:rPr>
        <w:t>Kapitel 7: H-1B oder Green Card? Der direkte Vergleich</w:t>
      </w:r>
      <w:bookmarkEnd w:id="2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Jobangebot aus Detroit steht ein Satz, der nach Zusage klingt: </w:t>
      </w:r>
      <w:r>
        <w:rPr>
          <w:rFonts w:eastAsia="Cambria" w:cs="Cambria"/>
          <w:b w:val="false"/>
          <w:bCs w:val="false"/>
          <w:i/>
          <w:iCs/>
          <w:sz w:val="22"/>
          <w:szCs w:val="22"/>
        </w:rPr>
        <w:t>The Company may sponsor you for permanent residence.</w:t>
      </w:r>
      <w:r>
        <w:rPr>
          <w:rFonts w:eastAsia="Cambria" w:cs="Cambria"/>
          <w:b w:val="false"/>
          <w:bCs w:val="false"/>
          <w:i w:val="false"/>
          <w:iCs w:val="false"/>
          <w:sz w:val="22"/>
          <w:szCs w:val="22"/>
        </w:rPr>
        <w:t xml:space="preserv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gegenüber, zeichnet den klassischen Weg vom einen zum anderen nach und sagt ehrlich, wer die Green Card wirklich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H-1B und Green Card sind zwei Etappen, keine Konkurrenten: Der H-1B erlaubt bis zu sechs Jahre Arbeit, gebunden an einen Arbeitgeber; die Green Card gilt unbefristet, erlaubt jeden Arbeitgeber und gibt dem Partner die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gilt im September 2026: EB-1 und EB-2 sind ohne Warteschlange („current“), EB-3 hat einen Stichtag (1. September 2024); das Verfahren über den Arbeitgeber dauert grob 2,5–4,5 Jahre, und das State Department warnt vor einer Rückstufung.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Starte früh: Das Priority Date entsteht erst mit der PERM-Einreichung, während die Sechs-Jahres-Uhr des H-1B läuft. Lass Zeitpunkt, Kosten und Fortführung schriftlich zusagen – die PERM-Kosten trägt der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Klappt die Lotterie nicht: Plan A ist der nächste Anlauf oder ein quotenfreier Arbeitgeber, Plan B ein anderes Visum oder das Studium, Plan C die Green Card direkt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und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jeder braucht eine Green Card. Sie bringt Freiheit, aber auch weltweite Steuerpflicht und Pflichten beim Wohnsitz.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Etappen, kein Entweder-oder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fragt „H-1B oder Green Card?“, stellt die Frage schief. Verbreiteter Irrtum: Man müsse sich für eines von beidem entscheiden. Tatsächlich ist der H-1B ein befristeter Status: Du arbeitest für den sponsernden Arbeitgeber, insgesamt höchstens sechs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Die Green Card (offiziell </w:t>
      </w:r>
      <w:r>
        <w:rPr>
          <w:rFonts w:eastAsia="Cambria" w:cs="Cambria"/>
          <w:b w:val="false"/>
          <w:bCs w:val="false"/>
          <w:i/>
          <w:iCs/>
          <w:sz w:val="22"/>
          <w:szCs w:val="22"/>
        </w:rPr>
        <w:t>Lawful Permanent Residence</w:t>
      </w:r>
      <w:r>
        <w:rPr>
          <w:rFonts w:eastAsia="Cambria" w:cs="Cambria"/>
          <w:b w:val="false"/>
          <w:bCs w:val="false"/>
          <w:i w:val="false"/>
          <w:iCs w:val="false"/>
          <w:sz w:val="22"/>
          <w:szCs w:val="22"/>
        </w:rPr>
        <w:t>, kurz LPR: unbefristetes Aufenthaltsrecht) ist das Ziel, das du meist über den Arbeitgeber erreichst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H-1B erlaubt das ausdrücklich: Die Absicht, später die Green Card zu beantragen, schadet dir nicht (</w:t>
      </w:r>
      <w:r>
        <w:rPr>
          <w:rFonts w:eastAsia="Cambria" w:cs="Cambria"/>
          <w:b w:val="false"/>
          <w:bCs w:val="false"/>
          <w:i/>
          <w:iCs/>
          <w:sz w:val="22"/>
          <w:szCs w:val="22"/>
        </w:rPr>
        <w:t>Dual Intent</w:t>
      </w:r>
      <w:r>
        <w:rPr>
          <w:rFonts w:eastAsia="Cambria" w:cs="Cambria"/>
          <w:b w:val="false"/>
          <w:bCs w:val="false"/>
          <w:i w:val="false"/>
          <w:iCs w:val="false"/>
          <w:sz w:val="22"/>
          <w:szCs w:val="22"/>
        </w:rPr>
        <w:t>). Die eigentliche Entscheidung ist deshalb nicht das Ob, sondern der Zeitpunkt des Übergangs.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 ein Gedanke, der deutschen Ohren mit ihrer Vorliebe für feste Fristen erst einmal tröstlich vorkommt. In den USA liegt der Übergang zum unbefristeten Recht dagegen in der Hand des Arbeitgebers, dauert meist länger und beginnt erst mit dessen erstem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große Vergleich: 20 Kriterien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drei Tabellen stellen H-1B und erteilte Green Card gegenüber. Zwischen Antrag und Erteilung bleibst du meist im H-1B-Status; was du beim Jobwechsel darfst, steht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 und Bindung</w:t>
      </w:r>
    </w:p>
    <w:tbl>
      <w:tblPr>
        <w:tblW w:w="6480" w:type="dxa"/>
        <w:jc w:val="left"/>
        <w:tblInd w:w="0" w:type="dxa"/>
        <w:tblLayout w:type="fixed"/>
        <w:tblCellMar>
          <w:top w:w="50" w:type="dxa"/>
          <w:left w:w="80" w:type="dxa"/>
          <w:bottom w:w="50" w:type="dxa"/>
          <w:right w:w="80" w:type="dxa"/>
        </w:tblCellMar>
      </w:tblPr>
      <w:tblGrid>
        <w:gridCol w:w="2089"/>
        <w:gridCol w:w="2406"/>
        <w:gridCol w:w="1985"/>
      </w:tblGrid>
      <w:tr>
        <w:trPr>
          <w:tblHeader w:val="true"/>
          <w:cantSplit w:val="true"/>
        </w:trPr>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4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1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Rechtsnatur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Status (Nichteinwanderer), Dual Intent erlaubt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(LPR)</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länger nur mit laufendem Green-Card-Verfahren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Karte alle 10 Jahre erneuern (I-90: 465 $ Papier, 415 $ online)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im März, 85.000 Plätze (Hochschulen quotenfrei); nur mit Jobzusage</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Los, aber Jahreskontingente mit Warteschlange (Visa Bulletin)</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Arbeitgeberbindung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der Sponsor, nur die beschriebene Stelle am beschriebenen Ort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Arbeitgeber, jede Tätigkeit</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Jobwechsel</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neue Lotterie (Portabilität), aber mit neuer Petition des neuen Arbeitgebers</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kein Antrag bei der Behörde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Nebenjob, Selbständigkeit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zweiter Petition eines zweiten Arbeitgebers; freiberuflich nicht möglich</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auch Firmengründung</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Jobverlust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60 Tage, dann Ausreise oder neuer Status (Wegfall vorgeschlagen)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bleibt, kein Aufenthaltsdruck</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im Land</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geänderte Petition mit neuer Lohnbestätigung (LCA)</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Adresse binnen 10 Tagen melden (AR-11, gilt für alle)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Familie</w:t>
      </w:r>
    </w:p>
    <w:tbl>
      <w:tblPr>
        <w:tblW w:w="6480" w:type="dxa"/>
        <w:jc w:val="left"/>
        <w:tblInd w:w="0" w:type="dxa"/>
        <w:tblLayout w:type="fixed"/>
        <w:tblCellMar>
          <w:top w:w="50" w:type="dxa"/>
          <w:left w:w="80" w:type="dxa"/>
          <w:bottom w:w="50" w:type="dxa"/>
          <w:right w:w="80" w:type="dxa"/>
        </w:tblCellMar>
      </w:tblPr>
      <w:tblGrid>
        <w:gridCol w:w="1618"/>
        <w:gridCol w:w="2546"/>
        <w:gridCol w:w="2316"/>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5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3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des Partners</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H-4-Arbeitserlaubnis erst mit genehmigter I-140 oder Verlängerung über sechs Jahre hinaus</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arbeitet frei; schon bei laufender I-485 Arbeitserlaubnis möglich (260 $)</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Altersgrenze</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endet mit dem 21. Geburtstag, dann ist ein eigener Status nötig</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Kinder unter 21 sind mitberechtigt; die Regel CSPA schützt oft vor dem Herausaltern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der Kinder</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Bundesstaat oft Tarif für Nicht-Ansässige, keine Bundesstudienhilfe</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Bundesstudienhilfe (FAFSA) möglich; Tarife je nach Bundesstaat</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Reisen, Geld und Sicherheit</w:t>
      </w:r>
    </w:p>
    <w:tbl>
      <w:tblPr>
        <w:tblW w:w="6480" w:type="dxa"/>
        <w:jc w:val="left"/>
        <w:tblInd w:w="0" w:type="dxa"/>
        <w:tblLayout w:type="fixed"/>
        <w:tblCellMar>
          <w:top w:w="50" w:type="dxa"/>
          <w:left w:w="80" w:type="dxa"/>
          <w:bottom w:w="50" w:type="dxa"/>
          <w:right w:w="80" w:type="dxa"/>
        </w:tblCellMar>
      </w:tblPr>
      <w:tblGrid>
        <w:gridCol w:w="2093"/>
        <w:gridCol w:w="2194"/>
        <w:gridCol w:w="2193"/>
      </w:tblGrid>
      <w:tr>
        <w:trPr>
          <w:tblHeader w:val="true"/>
          <w:cantSplit w:val="true"/>
        </w:trPr>
        <w:tc>
          <w:tcPr>
            <w:tcW w:w="2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gültigem Visum im Pass; ist es abgelaufen, neues Visum im Konsulat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Green Card und Reisepass, kein Konsulat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Auslandszeit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im Ausland (über 24 Stunden) zählt nicht zu den sechs Jahren (Recapture)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180 Tage: Prüfung durch den Grenzschutz; ab einem Jahr ohne Reentry Permit gilt die Karte nicht mehr als Einreisedokument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steuerlich ansässig; die Ansässigkeit endet mit dem Wegzug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bis zur formellen Aufgabe; ab 8 von 15 Jahren droht die Exit Tax</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Konformkredit möglich, oft mit Mindest-Restlaufzeit des Visums; FHA seit 25. Mai 2025 ausgeschlossen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 wie US-Bürger, auch FHA mit kleiner Anzahlung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Arbeitgeberplan; ab 2027 keine Marktplatz-Zuschüsse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Marktplatz-Zuschüsse je nach Einkommen möglich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Arbeitslosengeld</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Anspruch in der Praxis uneinheitlich, nicht einplanen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des Bundesstaats wie für andere Beschäftigte</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zahlt Behördengebühren (Großbetrieb ca. 3.380 $); du meist Konsulat und Familienanträge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und I-140 zahlt der Arbeitgeber; die I-485 meist du: 1.440 $ je Erwachsenem, 950 $ je Kind unter 14 mit Elternteil (Papier)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Wahlrecht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Staatsbürgerschaft, kein Wahlrecht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frühestens nach 5 Jahren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Wahlrecht erst als Staatsbürger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Regeländerungen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betroffen: Lotterie, Gebühren, Lohnstufen, 60-Tage-Frist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Erteilte Karte stabiler; im Verfahren Risiko durch Stichtage, Prüfregeln, Gebühren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bringt dir nicht mehr Gehalt, sondern Verhandlungsmacht. Wer nicht mehr am Sponsor hängt, kann wechseln, pausieren oder gehen, ohne dass der Aufenthalt daran zerbricht.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klassische Weg: vom H-1B zur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die mit dem Arbeitgeber einreisen und bleiben, gehen denselben Weg: H-1B (oder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und parallel drei Verfahrensschritte – das Arbeitsministerium (DOL) prüft, ob US-Arbeitskräfte fehlen, die Einwanderungsbehörde USCIS entscheidet über die Petition des Arbeitgebers (I-140) und deinen Antrag auf Statusanpassung (I-485). Die Zeitleiste zeigt einen typischen Ablauf mit Richtwerten (Stand September 2026); die Gesamtdauer ist eine Schätzung, keine Zusage.</w:t>
      </w:r>
    </w:p>
    <w:tbl>
      <w:tblPr>
        <w:tblW w:w="6480" w:type="dxa"/>
        <w:jc w:val="left"/>
        <w:tblInd w:w="0" w:type="dxa"/>
        <w:tblLayout w:type="fixed"/>
        <w:tblCellMar>
          <w:top w:w="50" w:type="dxa"/>
          <w:left w:w="80" w:type="dxa"/>
          <w:bottom w:w="50" w:type="dxa"/>
          <w:right w:w="80" w:type="dxa"/>
        </w:tblCellMar>
      </w:tblPr>
      <w:tblGrid>
        <w:gridCol w:w="1715"/>
        <w:gridCol w:w="2195"/>
        <w:gridCol w:w="1332"/>
        <w:gridCol w:w="1237"/>
      </w:tblGrid>
      <w:tr>
        <w:trPr>
          <w:tblHeader w:val="true"/>
          <w:cantSplit w:val="true"/>
        </w:trPr>
        <w:tc>
          <w:tcPr>
            <w:tcW w:w="17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1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passiert</w:t>
            </w:r>
          </w:p>
        </w:tc>
        <w:tc>
          <w:tcPr>
            <w:tcW w:w="1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(ca.)</w:t>
            </w:r>
          </w:p>
        </w:tc>
        <w:tc>
          <w:tcPr>
            <w:tcW w:w="12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im Vertrag</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 für den Start des Verfahrens festhalten</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der Unterschrift</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H-1B-Start</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Beginn frühestens 1. Oktober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 0</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Lohnfeststellung (PWD)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DOL legt den ortsüblichen Mindestlohn der Stelle fest (Prevailing Wage Determination, Form ETA-9141)</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Anzeigenphase</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sucht öffentlich US-Bewerber, danach 30 Tage Ruhezeit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(Form ETA-9089)</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Einreichung beim DOL; damit entsteht das Priority Date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im Schnitt rund 11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Einwanderungspetition bei USCIS; mit Premium Processing (2.965 $) etwa 15 Werktage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Inland, bei „current“ gleichzeitig mit der I-140 möglich; Arbeitserlaubnis und Reisepapiere beantragbar</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Karte kommt per Post, die Familie erhält sie mit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 ca. 2,5–4,5 Jahre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(optional)</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5 Jahre nach der Erteilung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Erteilung</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Regeln des Gesetzes </w:t>
      </w:r>
      <w:r>
        <w:rPr>
          <w:rFonts w:eastAsia="Cambria" w:cs="Cambria"/>
          <w:b w:val="false"/>
          <w:bCs w:val="false"/>
          <w:i/>
          <w:iCs/>
          <w:sz w:val="22"/>
          <w:szCs w:val="22"/>
        </w:rPr>
        <w:t>AC21</w:t>
      </w:r>
      <w:r>
        <w:rPr>
          <w:rFonts w:eastAsia="Cambria" w:cs="Cambria"/>
          <w:b w:val="false"/>
          <w:bCs w:val="false"/>
          <w:i w:val="false"/>
          <w:iCs w:val="false"/>
          <w:sz w:val="22"/>
          <w:szCs w:val="22"/>
        </w:rPr>
        <w:t xml:space="preserve"> halten deinen H-1B über die sechs Jahre hinaus am Leben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Ein-Jahres-Schritte, wenn PERM oder I-140 seit 365 Tagen anhängig ist, und Drei-Jahres-Schritte, wenn die I-140 genehmigt ist, für dich aber noch kein Visum zur Verfügung steht.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Lage für Deutsche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Warteschlange zählt das Geburtsland. Deutsche gehören zur Gruppe „Rest der Welt“, nicht zu Indien oder China, wo die Wartezeiten Jahre bis Jahrzehnte betragen (Indien EB-3: Stichtag 1. Januar 2014). Das </w:t>
      </w:r>
      <w:r>
        <w:rPr>
          <w:rFonts w:eastAsia="Cambria" w:cs="Cambria"/>
          <w:b w:val="false"/>
          <w:bCs w:val="false"/>
          <w:i/>
          <w:iCs/>
          <w:sz w:val="22"/>
          <w:szCs w:val="22"/>
        </w:rPr>
        <w:t>Visa Bulletin</w:t>
      </w:r>
      <w:r>
        <w:rPr>
          <w:rFonts w:eastAsia="Cambria" w:cs="Cambria"/>
          <w:b w:val="false"/>
          <w:bCs w:val="false"/>
          <w:i w:val="false"/>
          <w:iCs w:val="false"/>
          <w:sz w:val="22"/>
          <w:szCs w:val="22"/>
        </w:rPr>
        <w:t>, die monatliche Stichtagsliste des State Department, nennt für September 2026 diese Stichtage (</w:t>
      </w:r>
      <w:r>
        <w:rPr>
          <w:rFonts w:eastAsia="Cambria" w:cs="Cambria"/>
          <w:b w:val="false"/>
          <w:bCs w:val="false"/>
          <w:i/>
          <w:iCs/>
          <w:sz w:val="22"/>
          <w:szCs w:val="22"/>
        </w:rPr>
        <w:t>Final Action Dates</w:t>
      </w:r>
      <w:r>
        <w:rPr>
          <w:rFonts w:eastAsia="Cambria" w:cs="Cambria"/>
          <w:b w:val="false"/>
          <w:bCs w:val="false"/>
          <w:i w:val="false"/>
          <w:iCs w:val="false"/>
          <w:sz w:val="22"/>
          <w:szCs w:val="22"/>
        </w:rPr>
        <w:t>) für arbeitsbasierte Anträge im Inland:</w:t>
      </w:r>
    </w:p>
    <w:p>
      <w:pPr>
        <w:pStyle w:val="ListParagraph"/>
        <w:numPr>
          <w:ilvl w:val="0"/>
          <w:numId w:val="1"/>
        </w:numPr>
        <w:spacing w:lineRule="exact" w:line="288" w:before="0" w:after="60"/>
        <w:rPr/>
      </w:pPr>
      <w:r>
        <w:rPr>
          <w:rFonts w:eastAsia="Cambria" w:cs="Cambria"/>
          <w:b/>
          <w:bCs/>
          <w:i w:val="false"/>
          <w:iCs w:val="false"/>
          <w:sz w:val="22"/>
          <w:szCs w:val="22"/>
        </w:rPr>
        <w:t>EB-1</w:t>
      </w:r>
      <w:r>
        <w:rPr>
          <w:rFonts w:eastAsia="Cambria" w:cs="Cambria"/>
          <w:b w:val="false"/>
          <w:bCs w:val="false"/>
          <w:i w:val="false"/>
          <w:iCs w:val="false"/>
          <w:sz w:val="22"/>
          <w:szCs w:val="22"/>
        </w:rPr>
        <w:t xml:space="preserve"> (außergewöhnliche Fähigkeiten, Forschende, Konzernmanager): current, also ohne Wartezeit.</w:t>
      </w:r>
    </w:p>
    <w:p>
      <w:pPr>
        <w:pStyle w:val="ListParagraph"/>
        <w:numPr>
          <w:ilvl w:val="0"/>
          <w:numId w:val="1"/>
        </w:numPr>
        <w:spacing w:lineRule="exact" w:line="288" w:before="0" w:after="60"/>
        <w:rPr/>
      </w:pPr>
      <w:r>
        <w:rPr>
          <w:rFonts w:eastAsia="Cambria" w:cs="Cambria"/>
          <w:b/>
          <w:bCs/>
          <w:i w:val="false"/>
          <w:iCs w:val="false"/>
          <w:sz w:val="22"/>
          <w:szCs w:val="22"/>
        </w:rPr>
        <w:t>EB-2</w:t>
      </w:r>
      <w:r>
        <w:rPr>
          <w:rFonts w:eastAsia="Cambria" w:cs="Cambria"/>
          <w:b w:val="false"/>
          <w:bCs w:val="false"/>
          <w:i w:val="false"/>
          <w:iCs w:val="false"/>
          <w:sz w:val="22"/>
          <w:szCs w:val="22"/>
        </w:rPr>
        <w:t xml:space="preserve"> (Master oder Bachelor plus fünf Jahre Berufserfahrung mit wachsender Verantwortung): current seit April 2026. Im Oktober 2025 lag der Stichtag noch beim 1. Dezember 2023.</w:t>
      </w:r>
    </w:p>
    <w:p>
      <w:pPr>
        <w:pStyle w:val="ListParagraph"/>
        <w:numPr>
          <w:ilvl w:val="0"/>
          <w:numId w:val="1"/>
        </w:numPr>
        <w:spacing w:lineRule="exact" w:line="288" w:before="0" w:after="60"/>
        <w:rPr/>
      </w:pPr>
      <w:r>
        <w:rPr>
          <w:rFonts w:eastAsia="Cambria" w:cs="Cambria"/>
          <w:b/>
          <w:bCs/>
          <w:i w:val="false"/>
          <w:iCs w:val="false"/>
          <w:sz w:val="22"/>
          <w:szCs w:val="22"/>
        </w:rPr>
        <w:t>EB-3</w:t>
      </w:r>
      <w:r>
        <w:rPr>
          <w:rFonts w:eastAsia="Cambria" w:cs="Cambria"/>
          <w:b w:val="false"/>
          <w:bCs w:val="false"/>
          <w:i w:val="false"/>
          <w:iCs w:val="false"/>
          <w:sz w:val="22"/>
          <w:szCs w:val="22"/>
        </w:rPr>
        <w:t xml:space="preserve"> (Bachelor oder Fachkräfte mit mindestens zwei Jahren Erfahrung): 1. September 2024. Nur Fälle mit früherem Priority Date kommen zum Zug, ein heute eingereichtes PERM liegt dahinter.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Current“ heißt: Das Priority Date spielt keine Rolle, die I-485 kann zusammen mit der I-140 eingereicht werden (</w:t>
      </w:r>
      <w:r>
        <w:rPr>
          <w:rFonts w:eastAsia="Cambria" w:cs="Cambria"/>
          <w:b w:val="false"/>
          <w:bCs w:val="false"/>
          <w:i/>
          <w:iCs/>
          <w:sz w:val="22"/>
          <w:szCs w:val="22"/>
        </w:rPr>
        <w:t>Concurrent Filing</w:t>
      </w:r>
      <w:r>
        <w:rPr>
          <w:rFonts w:eastAsia="Cambria" w:cs="Cambria"/>
          <w:b w:val="false"/>
          <w:bCs w:val="false"/>
          <w:i w:val="false"/>
          <w:iCs w:val="false"/>
          <w:sz w:val="22"/>
          <w:szCs w:val="22"/>
        </w:rPr>
        <w:t>). Welche Kategorie gilt, bestimmen die Mindestanforderungen der Stelle, nicht dein Lebenslauf – frage die Kanzlei früh, ob die Stelle EB-2-fähig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Current“ ist eine Momentaufnahme: Das Bulletin für September warnt, dass EB-2 vor Ende des Fiskaljahres zurückgestuft werden kann. Am 1. Oktober beginnt das Fiskaljahr 2027 (FY2027) mit neuen Kontingenten, die Oktober-Ausgabe lag am 20. September noch nicht vor. Das State Department führt die jüngste Beschleunigung auf gesunkene Visa-Ausstellung zurück – das kann sich umkehren. Plane nie so, als bliebe EB-2 current, und reiche die I-485 ein, sobald es möglich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startest und wie du es vertraglich absicherst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Arbeitgeber ist verpflichtet, ein Green-Card-Verfahren zu führen – ohne Zusage bleibt der H-1B ein Visum auf höchstens sechs Jahre. Zwei Fragen entscheiden, ob aus der Etappe ein Weg wird: wann das Verfahren beginnt und wie verbindlich die Zusage ist.</w:t>
      </w:r>
    </w:p>
    <w:p>
      <w:pPr>
        <w:pStyle w:val="Normal"/>
        <w:keepNext w:val="false"/>
        <w:keepLines w:val="false"/>
        <w:spacing w:lineRule="exact" w:line="288" w:before="0" w:after="140"/>
        <w:jc w:val="left"/>
        <w:rPr/>
      </w:pPr>
      <w:r>
        <w:rPr>
          <w:rFonts w:eastAsia="Cambria" w:cs="Cambria"/>
          <w:b/>
          <w:bCs/>
          <w:i w:val="false"/>
          <w:iCs w:val="false"/>
          <w:sz w:val="22"/>
          <w:szCs w:val="22"/>
        </w:rPr>
        <w:t>Wann.</w:t>
      </w:r>
      <w:r>
        <w:rPr>
          <w:rFonts w:eastAsia="Cambria" w:cs="Cambria"/>
          <w:b w:val="false"/>
          <w:bCs w:val="false"/>
          <w:i w:val="false"/>
          <w:iCs w:val="false"/>
          <w:sz w:val="22"/>
          <w:szCs w:val="22"/>
        </w:rPr>
        <w:t xml:space="preserve">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dein Platz in der Warteschlange, entsteht erst mit der Einreichung des PERM-Antrags, nicht mit dem Jobangebot – </w:t>
      </w:r>
      <w:r>
        <w:rPr>
          <w:rFonts w:eastAsia="Cambria" w:cs="Cambria"/>
          <w:b w:val="false"/>
          <w:bCs w:val="false"/>
          <w:i/>
          <w:iCs/>
          <w:sz w:val="22"/>
          <w:szCs w:val="22"/>
        </w:rPr>
        <w:t>PERM</w:t>
      </w:r>
      <w:r>
        <w:rPr>
          <w:rFonts w:eastAsia="Cambria" w:cs="Cambria"/>
          <w:b w:val="false"/>
          <w:bCs w:val="false"/>
          <w:i w:val="false"/>
          <w:iCs w:val="false"/>
          <w:sz w:val="22"/>
          <w:szCs w:val="22"/>
        </w:rPr>
        <w:t xml:space="preserve"> ist die Arbeitsmarktprüfung, bei der der Arbeitgeber nachweist, keine geeigneten US-Bewerber gefunden zu haben. Rechne rückwärts vom Ende der sechs Jahre:</w:t>
      </w:r>
    </w:p>
    <w:p>
      <w:pPr>
        <w:pStyle w:val="ListParagraph"/>
        <w:numPr>
          <w:ilvl w:val="0"/>
          <w:numId w:val="94"/>
        </w:numPr>
        <w:spacing w:lineRule="exact" w:line="288" w:before="0" w:after="60"/>
        <w:rPr/>
      </w:pPr>
      <w:r>
        <w:rPr>
          <w:rFonts w:eastAsia="Cambria" w:cs="Cambria"/>
          <w:b w:val="false"/>
          <w:bCs w:val="false"/>
          <w:i w:val="false"/>
          <w:iCs w:val="false"/>
          <w:sz w:val="22"/>
          <w:szCs w:val="22"/>
        </w:rPr>
        <w:t>Für eine Ein-Jahres-Verlängerung muss PERM oder I-140 mindestens 365 Tage anhängig sein. Die PERM-Einreichung muss also spätestens zu Beginn des sechsten Jahres liegen.</w:t>
      </w:r>
    </w:p>
    <w:p>
      <w:pPr>
        <w:pStyle w:val="ListParagraph"/>
        <w:numPr>
          <w:ilvl w:val="0"/>
          <w:numId w:val="95"/>
        </w:numPr>
        <w:spacing w:lineRule="exact" w:line="288" w:before="0" w:after="60"/>
        <w:rPr/>
      </w:pPr>
      <w:r>
        <w:rPr>
          <w:rFonts w:eastAsia="Cambria" w:cs="Cambria"/>
          <w:b w:val="false"/>
          <w:bCs w:val="false"/>
          <w:i w:val="false"/>
          <w:iCs w:val="false"/>
          <w:sz w:val="22"/>
          <w:szCs w:val="22"/>
        </w:rPr>
        <w:t>Davor liegen die Lohnfeststellung (derzeit 3,5–4 Monate) und die Anzeigenphase (2–3 Monate).</w:t>
      </w:r>
    </w:p>
    <w:p>
      <w:pPr>
        <w:pStyle w:val="ListParagraph"/>
        <w:numPr>
          <w:ilvl w:val="0"/>
          <w:numId w:val="96"/>
        </w:numPr>
        <w:spacing w:lineRule="exact" w:line="288" w:before="0" w:after="60"/>
        <w:rPr/>
      </w:pPr>
      <w:r>
        <w:rPr>
          <w:rFonts w:eastAsia="Cambria" w:cs="Cambria"/>
          <w:b w:val="false"/>
          <w:bCs w:val="false"/>
          <w:i w:val="false"/>
          <w:iCs w:val="false"/>
          <w:sz w:val="22"/>
          <w:szCs w:val="22"/>
        </w:rPr>
        <w:t>Der Startschuss muss demnach spätestens im fünften Jahr fallen (eigene Rechnung).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die Untergrenze, kein Plan: Eine Nachforderung, ein Audit oder ein Jobwechsel fressen den Puffer schnell. Vernünftig ist ein fester Termin in den ersten sechs bis zwölf Monaten – verhandle ein Datum statt eines offenen „später“.</w:t>
      </w:r>
    </w:p>
    <w:p>
      <w:pPr>
        <w:pStyle w:val="Normal"/>
        <w:keepNext w:val="false"/>
        <w:keepLines w:val="false"/>
        <w:spacing w:lineRule="exact" w:line="288" w:before="0" w:after="140"/>
        <w:jc w:val="left"/>
        <w:rPr/>
      </w:pPr>
      <w:r>
        <w:rPr>
          <w:rFonts w:eastAsia="Cambria" w:cs="Cambria"/>
          <w:b/>
          <w:bCs/>
          <w:i w:val="false"/>
          <w:iCs w:val="false"/>
          <w:sz w:val="22"/>
          <w:szCs w:val="22"/>
        </w:rPr>
        <w:t>Wie.</w:t>
      </w:r>
      <w:r>
        <w:rPr>
          <w:rFonts w:eastAsia="Cambria" w:cs="Cambria"/>
          <w:b w:val="false"/>
          <w:bCs w:val="false"/>
          <w:i w:val="false"/>
          <w:iCs w:val="false"/>
          <w:sz w:val="22"/>
          <w:szCs w:val="22"/>
        </w:rPr>
        <w:t xml:space="preserve"> Lass diese Punkte vor der Unterschrift im Jobangebot (</w:t>
      </w:r>
      <w:r>
        <w:rPr>
          <w:rFonts w:eastAsia="Cambria" w:cs="Cambria"/>
          <w:b w:val="false"/>
          <w:bCs w:val="false"/>
          <w:i/>
          <w:iCs/>
          <w:sz w:val="22"/>
          <w:szCs w:val="22"/>
        </w:rPr>
        <w:t>Offer Letter</w:t>
      </w:r>
      <w:r>
        <w:rPr>
          <w:rFonts w:eastAsia="Cambria" w:cs="Cambria"/>
          <w:b w:val="false"/>
          <w:bCs w:val="false"/>
          <w:i w:val="false"/>
          <w:iCs w:val="false"/>
          <w:sz w:val="22"/>
          <w:szCs w:val="22"/>
        </w:rPr>
        <w:t>) oder im Arbeitsvertrag festhalten:</w:t>
      </w:r>
    </w:p>
    <w:p>
      <w:pPr>
        <w:pStyle w:val="ListParagraph"/>
        <w:numPr>
          <w:ilvl w:val="0"/>
          <w:numId w:val="1"/>
        </w:numPr>
        <w:spacing w:lineRule="exact" w:line="288" w:before="0" w:after="60"/>
        <w:rPr/>
      </w:pPr>
      <w:r>
        <w:rPr>
          <w:rFonts w:eastAsia="Cambria" w:cs="Cambria"/>
          <w:b/>
          <w:bCs/>
          <w:i w:val="false"/>
          <w:iCs w:val="false"/>
          <w:sz w:val="22"/>
          <w:szCs w:val="22"/>
        </w:rPr>
        <w:t>Termin:</w:t>
      </w:r>
      <w:r>
        <w:rPr>
          <w:rFonts w:eastAsia="Cambria" w:cs="Cambria"/>
          <w:b w:val="false"/>
          <w:bCs w:val="false"/>
          <w:i w:val="false"/>
          <w:iCs w:val="false"/>
          <w:sz w:val="22"/>
          <w:szCs w:val="22"/>
        </w:rPr>
        <w:t xml:space="preserve"> Der Arbeitgeber beantragt die Lohnfeststellung spätestens zu einem festen Zeitpunkt nach Arbeitsbeginn.</w:t>
      </w:r>
    </w:p>
    <w:p>
      <w:pPr>
        <w:pStyle w:val="ListParagraph"/>
        <w:numPr>
          <w:ilvl w:val="0"/>
          <w:numId w:val="1"/>
        </w:numPr>
        <w:spacing w:lineRule="exact" w:line="288" w:before="0" w:after="60"/>
        <w:rPr/>
      </w:pPr>
      <w:r>
        <w:rPr>
          <w:rFonts w:eastAsia="Cambria" w:cs="Cambria"/>
          <w:b/>
          <w:bCs/>
          <w:i w:val="false"/>
          <w:iCs w:val="false"/>
          <w:sz w:val="22"/>
          <w:szCs w:val="22"/>
        </w:rPr>
        <w:t>Verbindlichkeit:</w:t>
      </w:r>
      <w:r>
        <w:rPr>
          <w:rFonts w:eastAsia="Cambria" w:cs="Cambria"/>
          <w:b w:val="false"/>
          <w:bCs w:val="false"/>
          <w:i w:val="false"/>
          <w:iCs w:val="false"/>
          <w:sz w:val="22"/>
          <w:szCs w:val="22"/>
        </w:rPr>
        <w:t xml:space="preserve"> „wird“ statt „kann“ oder „prüft“ – eine Absichtserklärung ohne Datum hilft nicht.</w:t>
      </w:r>
    </w:p>
    <w:p>
      <w:pPr>
        <w:pStyle w:val="ListParagraph"/>
        <w:numPr>
          <w:ilvl w:val="0"/>
          <w:numId w:val="1"/>
        </w:numPr>
        <w:spacing w:lineRule="exact" w:line="288" w:before="0" w:after="60"/>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Der Arbeitgeber trägt alle PERM-Kosten und in der Praxis auch die I-140-Gebühren (715 $ Papier, 665 $ online, plus 600 $ </w:t>
      </w:r>
      <w:r>
        <w:rPr>
          <w:rFonts w:eastAsia="Cambria" w:cs="Cambria"/>
          <w:b w:val="false"/>
          <w:bCs w:val="false"/>
          <w:i/>
          <w:iCs/>
          <w:sz w:val="22"/>
          <w:szCs w:val="22"/>
        </w:rPr>
        <w:t>Asylum Program Fee</w:t>
      </w:r>
      <w:r>
        <w:rPr>
          <w:rFonts w:eastAsia="Cambria" w:cs="Cambria"/>
          <w:b w:val="false"/>
          <w:bCs w:val="false"/>
          <w:i w:val="false"/>
          <w:iCs w:val="false"/>
          <w:sz w:val="22"/>
          <w:szCs w:val="22"/>
        </w:rPr>
        <w:t>). Wer die I-485 der Familie zahlt, klärst du schriftlich.</w:t>
      </w:r>
    </w:p>
    <w:p>
      <w:pPr>
        <w:pStyle w:val="ListParagraph"/>
        <w:numPr>
          <w:ilvl w:val="0"/>
          <w:numId w:val="1"/>
        </w:numPr>
        <w:spacing w:lineRule="exact" w:line="288" w:before="0" w:after="60"/>
        <w:rPr/>
      </w:pPr>
      <w:r>
        <w:rPr>
          <w:rFonts w:eastAsia="Cambria" w:cs="Cambria"/>
          <w:b/>
          <w:bCs/>
          <w:i w:val="false"/>
          <w:iCs w:val="false"/>
          <w:sz w:val="22"/>
          <w:szCs w:val="22"/>
        </w:rPr>
        <w:t>Durchführung:</w:t>
      </w:r>
      <w:r>
        <w:rPr>
          <w:rFonts w:eastAsia="Cambria" w:cs="Cambria"/>
          <w:b w:val="false"/>
          <w:bCs w:val="false"/>
          <w:i w:val="false"/>
          <w:iCs w:val="false"/>
          <w:sz w:val="22"/>
          <w:szCs w:val="22"/>
        </w:rPr>
        <w:t xml:space="preserve"> Er führt das Verfahren bis zur Green Card fort, stellt nötige Bescheinigungen aus.</w:t>
      </w:r>
    </w:p>
    <w:p>
      <w:pPr>
        <w:pStyle w:val="ListParagraph"/>
        <w:numPr>
          <w:ilvl w:val="0"/>
          <w:numId w:val="1"/>
        </w:numPr>
        <w:spacing w:lineRule="exact" w:line="288" w:before="0" w:after="60"/>
        <w:rPr/>
      </w:pPr>
      <w:r>
        <w:rPr>
          <w:rFonts w:eastAsia="Cambria" w:cs="Cambria"/>
          <w:b/>
          <w:bCs/>
          <w:i w:val="false"/>
          <w:iCs w:val="false"/>
          <w:sz w:val="22"/>
          <w:szCs w:val="22"/>
        </w:rPr>
        <w:t>Kündigung:</w:t>
      </w:r>
      <w:r>
        <w:rPr>
          <w:rFonts w:eastAsia="Cambria" w:cs="Cambria"/>
          <w:b w:val="false"/>
          <w:bCs w:val="false"/>
          <w:i w:val="false"/>
          <w:iCs w:val="false"/>
          <w:sz w:val="22"/>
          <w:szCs w:val="22"/>
        </w:rPr>
        <w:t xml:space="preserve"> Frage, was mit dem Verfahren geschieht, wenn er dir kündigt. Garantieren kann er wenig, aber du solltest die Antwort kennen.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Kosten der PERM-Arbeitsmarktprüfung (Anzeigen, Anwalt) darf der Arbeitgeber weder ganz noch teilweise von dir zurückverlangen (20 CFR 656.12(b)); erlaubt ist nur ein eigener, gesonderter Anwalt auf eigene Kosten. Lass Rückzahlungsklauseln prüfen, bevor du unterschreibst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Im Entwurf des Jobangebots steht zunächst nur „the Company may sponsor you for permanent residence“ – derselbe Satz, der auch am Anfang dieses Kapitels steht. Markus, 38, lässt ihn vor der Unterschrift ändern: Der Arbeitgeber beantragt die Lohnfeststellung spätestens sieben Monate nach Arbeitsbeginn, trägt alle PERM- und I-140-Kosten und führt das Verfahren bis zur Green Card fort. Die Kanzlei ordnet die Stelle als EB-2 ein. Rechnet Markus mit der mittleren Dauer von 3,5 Jahren, liegt die Green Card im fünften Jahr in Detroit vor, noch vor dem Ende der sechs H-1B-Jahre. Die vier I-485-Anträge zahlt die Familie selbst: 2 × 1.440 $ für Markus und Anna, 2 × 950 $ für Lena (9) und Jonas (5), zusammen 4.780 $ (Papier), dazu 260 $ für Annas Arbeitserlaubnis.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 unter 14 zahlen die I-485 nur dann ermäßigt (950 $ Papier, 900 $ online statt 1.440 $ bzw. 1.390 $), wenn der Antrag zusammen mit dem eines Elternteils eingereicht wird. Reiche die Anträge der Familie deshalb gemeinsam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wechselt, bevor die I-140 genehmigt ist, beginnt beim neuen Arbeitgeber meist von vorn: Erst mit einer genehmigten I-140, mindestens 180 Tage alt, bleibt das Priority Date erhalten; erst mit einer I-485, seit 180 Tagen anhängig, kannst du in gleicher oder ähnlicher Tätigkeit wechseln, ohne neu anzufangen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Lotterie nicht klappt: Plan A, B und 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mit der Absage: Im März 2026 standen 85.000 Plätzen 211.600 gültige Registrierungen gegenüber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Lege den Ersatzweg fest, bevor du kündigst oder die Wohnung auflöst.</w:t>
      </w:r>
    </w:p>
    <w:tbl>
      <w:tblPr>
        <w:tblW w:w="6480" w:type="dxa"/>
        <w:jc w:val="left"/>
        <w:tblInd w:w="0" w:type="dxa"/>
        <w:tblLayout w:type="fixed"/>
        <w:tblCellMar>
          <w:top w:w="50" w:type="dxa"/>
          <w:left w:w="80" w:type="dxa"/>
          <w:bottom w:w="50" w:type="dxa"/>
          <w:right w:w="80" w:type="dxa"/>
        </w:tblCellMar>
      </w:tblPr>
      <w:tblGrid>
        <w:gridCol w:w="843"/>
        <w:gridCol w:w="2535"/>
        <w:gridCol w:w="2071"/>
        <w:gridCol w:w="1030"/>
      </w:tblGrid>
      <w:tr>
        <w:trPr>
          <w:tblHeader w:val="true"/>
          <w:cantSplit w:val="true"/>
        </w:trPr>
        <w:tc>
          <w:tcPr>
            <w:tcW w:w="8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w:t>
            </w:r>
          </w:p>
        </w:tc>
        <w:tc>
          <w:tcPr>
            <w:tcW w:w="25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Nächster Anlauf im März (FY2028 voraussichtlich März 2027, offiziell offen) oder quotenfreier Arbeitgeber (Hochschule, Forschung)</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Jobzusage, höhere Lohnstufe (Level IV = 4 Lose statt 1)</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 O-1, E-2 oder Studium mit F-1 und OPT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Konzernbezug, Spitzenleistung, Kapital oder Zeit und Geld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8, 9</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ohne H-1B: NIW oder EB-1A (Selbstpetition), EB-1C für Konzernmanager, Heirat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Dichte Belege; Genehmigung im 3. Quartal FY2026: NIW 55 %, EB-1A 32 %</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deutlich seltener (kumuliert NIW 49 %, EB-1A 41 %). Als Plan D bleibt Deutschland, ohne Niederlage: Der L-1 setzt ohnehin ein Jahr im Konzern im Ausland voraus, und ein wachsendes Profil stärkt O-1 und NIW. Gold Card (1 Mio. $) und EB-5 sind Wege für Vermögende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wirklich eine Green Card braucht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Antwort: weniger Menschen, als es zu Beginn scheint, und mehr, als sie sich eingestehen. Viele planen zu Beginn in Jahren („drei, vielleicht fünf“) und merken erst nach der ersten Verlängerung, wie sehr sie inzwischen in Schulen, Freundschaften und Hypothek denken – und immer seltener in einem Rückflugtermin. Prüfe nüchtern, was zu dir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lohnt sich vor allem,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länger als die sechs H-1B-Jahre bleiben willst oder das nicht sicher ausschließen kannst;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deinem Partner nicht dauerhaft die Arbeit verwehren willst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Kinder hast, die in den USA zur Schule und später an die Universität gehen, samt Herausaltern mit 21;</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Haus kaufen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dich selbständig machen willst;</w:t>
      </w:r>
    </w:p>
    <w:p>
      <w:pPr>
        <w:pStyle w:val="ListParagraph"/>
        <w:numPr>
          <w:ilvl w:val="0"/>
          <w:numId w:val="1"/>
        </w:numPr>
        <w:spacing w:lineRule="exact" w:line="288" w:before="0" w:after="60"/>
        <w:rPr/>
      </w:pPr>
      <w:r>
        <w:rPr>
          <w:rFonts w:eastAsia="Cambria" w:cs="Cambria"/>
          <w:b w:val="false"/>
          <w:bCs w:val="false"/>
          <w:i w:val="false"/>
          <w:iCs w:val="false"/>
          <w:sz w:val="22"/>
          <w:szCs w:val="22"/>
        </w:rPr>
        <w:t>bei einem Stellenabbau nicht auch den Aufenthalt verlieren möchtest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kommst ohne Green Card gut aus,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drei bis sechs Jahre Erfahrung sammeln und zurückkehren willst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als Konzernbeschäftigter versetzt wirst und die Rückkehr fest eingeplant ist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steuerliche Lage in Deutschland nicht mit einer weltweiten US-Steuerpflicht belasten willst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Karte kostet Freiheit an anderer Stelle: weltweite Steuerpflicht samt Meldepflichten für Auslandskonten, Wohnsitz in den USA, Adressmeldung, die Karte immer mitführen, für Männer von 18 bis 25 die Registrierung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Die Option selbst kostet wenig: PERM und I-140 zahlt der Arbeitgeber, bezahlt wird erst mit der I-485 – die Entscheidung fällt also später, als der Start des Verfahrens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Green Card ist kein Sicherheitsnetz, das du aus Deutschland heraus behältst: Wer länger als 180 Tage weg ist, muss bei der Einreise mit Fragen rechnen, ab einem Jahr gilt die Karte ohne </w:t>
            </w:r>
            <w:r>
              <w:rPr>
                <w:rFonts w:eastAsia="Cambria" w:cs="Cambria"/>
                <w:b w:val="false"/>
                <w:bCs w:val="false"/>
                <w:i/>
                <w:iCs/>
                <w:sz w:val="20"/>
                <w:szCs w:val="20"/>
              </w:rPr>
              <w:t>Reentry Permit</w:t>
            </w:r>
            <w:r>
              <w:rPr>
                <w:rFonts w:eastAsia="Cambria" w:cs="Cambria"/>
                <w:b w:val="false"/>
                <w:bCs w:val="false"/>
                <w:i w:val="false"/>
                <w:iCs w:val="false"/>
                <w:sz w:val="20"/>
                <w:szCs w:val="20"/>
              </w:rPr>
              <w:t xml:space="preserve"> (Wiedereinreiseerlaubnis bis zu zwei Jahre, Antrag in den USA, 630 $) nicht mehr als Einreisedokument. Wer dauerhaft zurückzieht, gibt sie formell auf (Form I-407, 0 $) und unterschreibt nichts unter Druck an der Grenze. Wer die Karte in 8 der letzten 15 Jahre hatte und hohes Einkommen (durchschnittliche Einkommensteuer der letzten fünf Jahre über 211.000 $) oder Vermögen (ab 2 Mio. $) mitbringt, kann der </w:t>
            </w:r>
            <w:r>
              <w:rPr>
                <w:rFonts w:eastAsia="Cambria" w:cs="Cambria"/>
                <w:b w:val="false"/>
                <w:bCs w:val="false"/>
                <w:i/>
                <w:iCs/>
                <w:sz w:val="20"/>
                <w:szCs w:val="20"/>
              </w:rPr>
              <w:t>Exit Tax</w:t>
            </w:r>
            <w:r>
              <w:rPr>
                <w:rFonts w:eastAsia="Cambria" w:cs="Cambria"/>
                <w:b w:val="false"/>
                <w:bCs w:val="false"/>
                <w:i w:val="false"/>
                <w:iCs w:val="false"/>
                <w:sz w:val="20"/>
                <w:szCs w:val="20"/>
              </w:rPr>
              <w:t xml:space="preserve"> unterliegen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stabil ist welcher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stehen unter politischer Beobachtung, aber unterschiedlich stark. Die Übersicht nennt nur, was für deine Planung zählt (Stand 20. September 2026), ohne die Maßnahmen zu bewerten.</w:t>
      </w:r>
    </w:p>
    <w:p>
      <w:pPr>
        <w:pStyle w:val="Normal"/>
        <w:keepNext w:val="false"/>
        <w:keepLines w:val="false"/>
        <w:spacing w:lineRule="exact" w:line="288" w:before="0" w:after="140"/>
        <w:jc w:val="left"/>
        <w:rPr/>
      </w:pPr>
      <w:r>
        <w:rPr>
          <w:rFonts w:eastAsia="Cambria" w:cs="Cambria"/>
          <w:b/>
          <w:bCs/>
          <w:i w:val="false"/>
          <w:iCs w:val="false"/>
          <w:sz w:val="22"/>
          <w:szCs w:val="22"/>
        </w:rPr>
        <w:t>H-1B</w:t>
      </w:r>
      <w:r>
        <w:rPr>
          <w:rFonts w:eastAsia="Cambria" w:cs="Cambria"/>
          <w:b w:val="false"/>
          <w:bCs w:val="false"/>
          <w:i w:val="false"/>
          <w:iCs w:val="false"/>
          <w:sz w:val="22"/>
          <w:szCs w:val="22"/>
        </w:rPr>
        <w:t xml:space="preserve"> (Einzelheiten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Die 100.000-$-Zahlung für Personen im Ausland ist bis 21. September 2027 verlängert, wegen eines Gerichtsbeschlusses aber derzeit nicht erhoben. Nur vorgeschlagen, nicht in Kraft: 103.265 $ je Petition mit Quotenplatz, Wegfall der 60-Tage-Frist, höhere Lohnstufen. Hinzu kommt eine Präsidialverfügung vom 18. September 2026, die frühere Arbeitgeber-Entlassungen in die Prüfung einbeziehen soll (Umsetzung offen).</w:t>
      </w:r>
    </w:p>
    <w:p>
      <w:pPr>
        <w:pStyle w:val="Normal"/>
        <w:keepNext w:val="false"/>
        <w:keepLines w:val="false"/>
        <w:spacing w:lineRule="exact" w:line="288" w:before="0" w:after="140"/>
        <w:jc w:val="left"/>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Im Verfahren wirken andere Hebel: Stichtage können zurückspringen, der DOL-Entwurf höherer Lohnstufen würde auch PERM betreffen, einschließlich anhängiger Anträge. Die neue </w:t>
      </w:r>
      <w:r>
        <w:rPr>
          <w:rFonts w:eastAsia="Cambria" w:cs="Cambria"/>
          <w:b w:val="false"/>
          <w:bCs w:val="false"/>
          <w:i/>
          <w:iCs/>
          <w:sz w:val="22"/>
          <w:szCs w:val="22"/>
        </w:rPr>
        <w:t>Public-Charge</w:t>
      </w:r>
      <w:r>
        <w:rPr>
          <w:rFonts w:eastAsia="Cambria" w:cs="Cambria"/>
          <w:b w:val="false"/>
          <w:bCs w:val="false"/>
          <w:i w:val="false"/>
          <w:iCs w:val="false"/>
          <w:sz w:val="22"/>
          <w:szCs w:val="22"/>
        </w:rPr>
        <w:t>-Regel (Prüfung, ob du dauerhaft auf staatliche Leistungen angewiesen sein könntest) gilt für Anträge ab 18. September 2026; bei gesichertem Arbeitseinkommen dürfte das Risiko gering sein (Einschätzung, keine Garantie). Auch für die Einbürgerung gelten neue Prüfregeln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Kanzleien berichten zudem häufigere Zusatzkontrollen an der Grenze: Führe Karte und Nachweise deiner Bindungen in die USA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bewertet die Entscheidung, das Green-Card-Verfahren früh anzustoßen.</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Unabhängigkeit vom Sponsor: freier Jobwechsel, Nebenjob, Firmengründung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Verfahren dauert meist 2,5–4,5 Jahre, mit Stichtags- und Rückstufungsrisiko</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darf ohne Einschränkung arbeiten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zur Erteilung bleibt die Bindung an den Sponsor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altern mit 21 nicht heraus, Zugang zu Bundesstudienhilfe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für die Familie: I-485 allein rund 4.780 $ für zwei Erwachsene und zwei Kinder unter 14</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Ablauf nach sechs Jahren, kein Konsulat bei Reisen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mit Meldepflichten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Bessere Hypothekenoptionen (FHA), Marktplatz-Zuschüsse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Abwesenheit gefährdet den Status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nach 5 Jahren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Aufgabe nach 8 von 15 Jahren, wenn Einkommen oder Vermögen hoch sind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mit deinem Partner oder deiner Partnerin, ob deine Familie länger als sechs Jahre bleiben könnte. Sprich dann mit dem Arbeitgeber über Termin, Kategorie und Kosten des Verfahrens, bevor du unterschreibst, und lass die Antwort in den Vertrag schreiben (zu Anwalt und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Bleibeabsicht klären: Wie lange möchte deine Familie realistisch bleiben – was bedeutet das für Partner, Kinder, Steuern?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Jobangebot festhalten: Termin für die Lohnfeststellung, Kostenübernahme für PERM und I-140, Fortführung bis zur Green Card.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welche Kategorie die Stelle hat (EB-2 oder EB-3) und ob die Mindestanforderungen erfüllt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Rückwärts rechnen: Ende der sechs Jahre, PERM-Einreichung spätestens 365 Tage davor, gut sechs Monate Vorlauf davor.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Schritt Visa Bulletin und USCIS-Filing-Charts prüfen; ist die Kategorie current, die I-485 ohne Verzug einreichen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Familienanträge bilden: I-485 je Person (1.440 $ bzw. 950 $ für Kinder unter 14), Arztuntersuchung,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Jobwechsel klären, wo das Verfahren steht (Priority Date, I-140-Genehmigung, 180 Tage I-485).</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A, B und C mit Terminen aufschreiben, bevor du kündigst oder eine Wohnung auflöst.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Zeugnisse, Urkunden, Reisepässe und I-94-Nachweise sammeln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Neue Regeln regelmäßig prüfen: uscis.gov, federalregister.gov und die Kanzlei des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 Bulletin (</w:t>
      </w:r>
      <w:hyperlink r:id="rId7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Rubrik „Visa Bulletin“)</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Filing-Charts für die Statusanpassung (</w:t>
      </w:r>
      <w:hyperlink r:id="rId7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„Adjustment of Status Filing Charts“)</w:t>
      </w:r>
    </w:p>
    <w:p>
      <w:pPr>
        <w:pStyle w:val="ListParagraph"/>
        <w:numPr>
          <w:ilvl w:val="0"/>
          <w:numId w:val="1"/>
        </w:numPr>
        <w:spacing w:lineRule="exact" w:line="288" w:before="0" w:after="60"/>
        <w:rPr/>
      </w:pPr>
      <w:r>
        <w:rPr>
          <w:rFonts w:eastAsia="Cambria" w:cs="Cambria"/>
          <w:b w:val="false"/>
          <w:bCs w:val="false"/>
          <w:i w:val="false"/>
          <w:iCs w:val="false"/>
          <w:sz w:val="22"/>
          <w:szCs w:val="22"/>
        </w:rPr>
        <w:t>DOL — Bearbeitungszeiten für PWD und PERM (</w:t>
      </w:r>
      <w:hyperlink r:id="rId75">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76">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 Kosten der Arbeitserlaubnis-Zertifizierung, 20 CFR 656.12 (</w:t>
      </w:r>
      <w:hyperlink r:id="rId77">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Suche „20 CFR 656.12“)</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Vorschläge und Endregeln, Suche „H-1B“ oder „public charge“ (</w:t>
      </w:r>
      <w:hyperlink r:id="rId78">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Aufenthaltsgesetz — § 18c, Niederlassungserlaubnis für Fachkräfte (</w:t>
      </w:r>
      <w:hyperlink r:id="rId79">
        <w:r>
          <w:rPr>
            <w:rStyle w:val="ListLabel113"/>
            <w:rFonts w:eastAsia="Cambria" w:cs="Cambria"/>
            <w:b w:val="false"/>
            <w:bCs w:val="false"/>
            <w:i w:val="false"/>
            <w:iCs w:val="false"/>
            <w:color w:val="0563C1"/>
            <w:sz w:val="22"/>
            <w:szCs w:val="22"/>
            <w:u w:val="single"/>
          </w:rPr>
          <w:t>gesetze-im-internet.de/aufenthg_2004/__18c.html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7"/>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(Oktober-Ausgabe lag noch nicht vor, Rückstufung von EB-2 möglich), die Bearbeitungszeiten von DOL und USCIS, die USCIS-Gebühren, ob die 100.000-$-Zahlung wieder erhoben wird, ob die Vorschläge zu 103.265 $, zum Wegfall der 60-Tage-Frist und zu höheren Lohnstufen in Kraft treten, sowie die Regeln der Registrierung im März 2027. Prüfe vor jeder Entscheidung uscis.gov und federalregister.gov,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5" w:name="__RefHeading___Toc56444_3457424410"/>
      <w:bookmarkStart w:id="26" w:name="k8"/>
      <w:bookmarkEnd w:id="25"/>
      <w:r>
        <w:rPr>
          <w:rFonts w:eastAsia="Amazon Ember" w:cs="Amazon Ember" w:ascii="Amazon Ember" w:hAnsi="Amazon Ember"/>
          <w:b/>
          <w:bCs/>
          <w:color w:val="0000FF"/>
          <w:sz w:val="36"/>
          <w:szCs w:val="36"/>
        </w:rPr>
        <w:t>Kapitel 8: Der Studienweg: F-1, OPT und der spätere Statuswechsel</w:t>
      </w:r>
      <w:bookmarkEnd w:id="2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w:t>
      </w:r>
      <w:r>
        <w:rPr>
          <w:rFonts w:eastAsia="Cambria" w:cs="Cambria"/>
          <w:b w:val="false"/>
          <w:bCs w:val="false"/>
          <w:i/>
          <w:iCs/>
          <w:sz w:val="22"/>
          <w:szCs w:val="22"/>
        </w:rPr>
        <w:t>Optional Practical Training</w:t>
      </w:r>
      <w:r>
        <w:rPr>
          <w:rFonts w:eastAsia="Cambria" w:cs="Cambria"/>
          <w:b w:val="false"/>
          <w:bCs w:val="false"/>
          <w:i w:val="false"/>
          <w:iCs w:val="false"/>
          <w:sz w:val="22"/>
          <w:szCs w:val="22"/>
        </w:rPr>
        <w:t>, OPT) und wechselst später im Inland in den H-1B-Status. Der Weg ist real, er ist aber teuer, und 2025/26 ist er unsicherer geworden, als er es lange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F-1 ist ein Studentenstatus, kein Einwanderungsweg: Du musst glaubhaft machen, dass du zurückkehrst. Erst der H-1B-Status erlaubt offen den Wunsch nach einer Green Card (</w:t>
            </w:r>
            <w:r>
              <w:rPr>
                <w:rFonts w:eastAsia="Cambria" w:cs="Cambria"/>
                <w:b w:val="false"/>
                <w:bCs w:val="false"/>
                <w:i/>
                <w:iCs/>
                <w:sz w:val="20"/>
                <w:szCs w:val="20"/>
              </w:rPr>
              <w:t>Dual Intent</w:t>
            </w:r>
            <w:r>
              <w:rPr>
                <w:rFonts w:eastAsia="Cambria" w:cs="Cambria"/>
                <w:b w:val="false"/>
                <w:bCs w:val="false"/>
                <w:i w:val="false"/>
                <w:iCs w:val="false"/>
                <w:sz w:val="20"/>
                <w:szCs w:val="20"/>
              </w:rPr>
              <w:t>, doppelte Absicht).</w:t>
            </w:r>
          </w:p>
          <w:p>
            <w:pPr>
              <w:pStyle w:val="ListParagraph"/>
              <w:numPr>
                <w:ilvl w:val="0"/>
                <w:numId w:val="1"/>
              </w:numPr>
              <w:spacing w:lineRule="exact" w:line="264" w:before="0" w:after="50"/>
              <w:rPr/>
            </w:pPr>
            <w:r>
              <w:rPr>
                <w:rFonts w:eastAsia="Cambria" w:cs="Cambria"/>
                <w:b w:val="false"/>
                <w:bCs w:val="false"/>
                <w:i w:val="false"/>
                <w:iCs w:val="false"/>
                <w:sz w:val="20"/>
                <w:szCs w:val="20"/>
              </w:rPr>
              <w:t>Ablauf: Zulassung, Form I-20, Finanznachweis, SEVIS-Gebühr (350 $), Visum (185 $), Interview.</w:t>
            </w:r>
          </w:p>
          <w:p>
            <w:pPr>
              <w:pStyle w:val="ListParagraph"/>
              <w:numPr>
                <w:ilvl w:val="0"/>
                <w:numId w:val="1"/>
              </w:numPr>
              <w:spacing w:lineRule="exact" w:line="264" w:before="0" w:after="50"/>
              <w:rPr/>
            </w:pPr>
            <w:r>
              <w:rPr>
                <w:rFonts w:eastAsia="Cambria" w:cs="Cambria"/>
                <w:b w:val="false"/>
                <w:bCs w:val="false"/>
                <w:i w:val="false"/>
                <w:iCs w:val="false"/>
                <w:sz w:val="20"/>
                <w:szCs w:val="20"/>
              </w:rPr>
              <w:t>Ein zweijähriger Master kostet grob 70.000–150.000 $ mit Lebenshaltung und Krankenversicherung.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Danach folgen OPT (12 Monate) und mit STEM-Abschluss (Naturwissenschaft, Technik, Ingenieurwesen, Mathematik) weitere 24 Monate: drei bis vier Chancen in der H-1B-Lotterie.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Der Statuswechsel im Inland ist von der 100.000-$-Zahlung ausgenommen; ein Entwurf vom 25. August 2026 würde das ändern, ist aber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Regeln sind in Bewegung: SEVIS-Kündigungen, Social-Media-Prüfung, strengere CPT-Auslegung und eine gerichtlich gestoppte Regel zur festen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Für wen sich der Weg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gehen ihn: Im Studienjahr 2024/25 waren 1.177.766 internationale Studierende in den USA eingeschrieben, 294.253 von ihnen arbeiteten mit OPT (+21 %). Aus Deutschland kamen 9.123 (Open Doors und DAAD).</w:t>
      </w:r>
    </w:p>
    <w:p>
      <w:pPr>
        <w:pStyle w:val="Normal"/>
        <w:keepNext w:val="false"/>
        <w:keepLines w:val="false"/>
        <w:spacing w:lineRule="exact" w:line="288" w:before="0" w:after="140"/>
        <w:jc w:val="left"/>
        <w:rPr/>
      </w:pPr>
      <w:r>
        <w:rPr>
          <w:rFonts w:eastAsia="Cambria" w:cs="Cambria"/>
          <w:b/>
          <w:bCs/>
          <w:i w:val="false"/>
          <w:iCs w:val="false"/>
          <w:sz w:val="22"/>
          <w:szCs w:val="22"/>
        </w:rPr>
        <w:t>Der Weg passt,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den Master fachlich ohnehin willst, etwa in Informatik, Ingenieurwesen oder Naturwissenschaften,</w:t>
      </w:r>
    </w:p>
    <w:p>
      <w:pPr>
        <w:pStyle w:val="ListParagraph"/>
        <w:numPr>
          <w:ilvl w:val="0"/>
          <w:numId w:val="1"/>
        </w:numPr>
        <w:spacing w:lineRule="exact" w:line="288" w:before="0" w:after="60"/>
        <w:rPr/>
      </w:pPr>
      <w:r>
        <w:rPr>
          <w:rFonts w:eastAsia="Cambria" w:cs="Cambria"/>
          <w:b w:val="false"/>
          <w:bCs w:val="false"/>
          <w:i w:val="false"/>
          <w:iCs w:val="false"/>
          <w:sz w:val="22"/>
          <w:szCs w:val="22"/>
        </w:rPr>
        <w:t>du die Kosten aus Ersparnissen, Familie oder Stipendium trägst und ein Scheitern der Lotterie finanziell verkraftest,</w:t>
      </w:r>
    </w:p>
    <w:p>
      <w:pPr>
        <w:pStyle w:val="ListParagraph"/>
        <w:numPr>
          <w:ilvl w:val="0"/>
          <w:numId w:val="1"/>
        </w:numPr>
        <w:spacing w:lineRule="exact" w:line="288" w:before="0" w:after="60"/>
        <w:rPr/>
      </w:pPr>
      <w:r>
        <w:rPr>
          <w:rFonts w:eastAsia="Cambria" w:cs="Cambria"/>
          <w:b w:val="false"/>
          <w:bCs w:val="false"/>
          <w:i w:val="false"/>
          <w:iCs w:val="false"/>
          <w:sz w:val="22"/>
          <w:szCs w:val="22"/>
        </w:rPr>
        <w:t>du allein kommst oder mit einem Partner, der die Zeit ohne Arbeitserlaubnis übersteht.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Der Weg passt weniger,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schon ein Jobangebot mit Sponsoring hast: Dann sind der direkte H-1B-Weg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oder ein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schneller und billiger,</w:t>
      </w:r>
    </w:p>
    <w:p>
      <w:pPr>
        <w:pStyle w:val="ListParagraph"/>
        <w:numPr>
          <w:ilvl w:val="0"/>
          <w:numId w:val="1"/>
        </w:numPr>
        <w:spacing w:lineRule="exact" w:line="288" w:before="0" w:after="60"/>
        <w:rPr/>
      </w:pPr>
      <w:r>
        <w:rPr>
          <w:rFonts w:eastAsia="Cambria" w:cs="Cambria"/>
          <w:b w:val="false"/>
          <w:bCs w:val="false"/>
          <w:i w:val="false"/>
          <w:iCs w:val="false"/>
          <w:sz w:val="22"/>
          <w:szCs w:val="22"/>
        </w:rPr>
        <w:t>du berufserfahren bist und vor allem das Land wechseln willst: Zwei Jahre Einkommensverzicht kosten oft mehr als die Studiengebühren,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Familie auf ein zweites Einkommen angewiesen ist, denn ein Partner mit F-2-Status darf nicht arbeiten.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Rechnung: Studienkosten plus entgangenes Gehalt gegen die Chance auf einen Einstieg in den US-Arbeitsmarkt (Gehaltsspannen: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Entscheidungsrahmen: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läuft das F-1-Verfahren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Zuerst die saubere Trennung: Das </w:t>
      </w:r>
      <w:r>
        <w:rPr>
          <w:rFonts w:eastAsia="Cambria" w:cs="Cambria"/>
          <w:b w:val="false"/>
          <w:bCs w:val="false"/>
          <w:i/>
          <w:iCs/>
          <w:sz w:val="22"/>
          <w:szCs w:val="22"/>
        </w:rPr>
        <w:t>F-1-Visum</w:t>
      </w:r>
      <w:r>
        <w:rPr>
          <w:rFonts w:eastAsia="Cambria" w:cs="Cambria"/>
          <w:b w:val="false"/>
          <w:bCs w:val="false"/>
          <w:i w:val="false"/>
          <w:iCs w:val="false"/>
          <w:sz w:val="22"/>
          <w:szCs w:val="22"/>
        </w:rPr>
        <w:t xml:space="preserve"> steht im Pass und kommt vom Konsulat, es ist die Eintrittskarte. Der </w:t>
      </w:r>
      <w:r>
        <w:rPr>
          <w:rFonts w:eastAsia="Cambria" w:cs="Cambria"/>
          <w:b w:val="false"/>
          <w:bCs w:val="false"/>
          <w:i/>
          <w:iCs/>
          <w:sz w:val="22"/>
          <w:szCs w:val="22"/>
        </w:rPr>
        <w:t>F-1-Status</w:t>
      </w:r>
      <w:r>
        <w:rPr>
          <w:rFonts w:eastAsia="Cambria" w:cs="Cambria"/>
          <w:b w:val="false"/>
          <w:bCs w:val="false"/>
          <w:i w:val="false"/>
          <w:iCs w:val="false"/>
          <w:sz w:val="22"/>
          <w:szCs w:val="22"/>
        </w:rPr>
        <w:t xml:space="preserve"> entsteht bei der Einreise (Nachweis: I-94 und Form I-20) und erlaubt Aufenthalt und Studium. Der Ablauf in sieben Schritten:</w:t>
      </w:r>
    </w:p>
    <w:p>
      <w:pPr>
        <w:pStyle w:val="ListParagraph"/>
        <w:numPr>
          <w:ilvl w:val="0"/>
          <w:numId w:val="98"/>
        </w:numPr>
        <w:spacing w:lineRule="exact" w:line="288" w:before="0" w:after="60"/>
        <w:rPr/>
      </w:pPr>
      <w:r>
        <w:rPr>
          <w:rFonts w:eastAsia="Cambria" w:cs="Cambria"/>
          <w:b/>
          <w:bCs/>
          <w:i w:val="false"/>
          <w:iCs w:val="false"/>
          <w:sz w:val="22"/>
          <w:szCs w:val="22"/>
        </w:rPr>
        <w:t>Zulassung</w:t>
      </w:r>
      <w:r>
        <w:rPr>
          <w:rFonts w:eastAsia="Cambria" w:cs="Cambria"/>
          <w:b w:val="false"/>
          <w:bCs w:val="false"/>
          <w:i w:val="false"/>
          <w:iCs w:val="false"/>
          <w:sz w:val="22"/>
          <w:szCs w:val="22"/>
        </w:rPr>
        <w:t xml:space="preserve"> an einer Hochschule, die vom </w:t>
      </w:r>
      <w:r>
        <w:rPr>
          <w:rFonts w:eastAsia="Cambria" w:cs="Cambria"/>
          <w:b w:val="false"/>
          <w:bCs w:val="false"/>
          <w:i/>
          <w:iCs/>
          <w:sz w:val="22"/>
          <w:szCs w:val="22"/>
        </w:rPr>
        <w:t>Student and Exchange Visitor Program</w:t>
      </w:r>
      <w:r>
        <w:rPr>
          <w:rFonts w:eastAsia="Cambria" w:cs="Cambria"/>
          <w:b w:val="false"/>
          <w:bCs w:val="false"/>
          <w:i w:val="false"/>
          <w:iCs w:val="false"/>
          <w:sz w:val="22"/>
          <w:szCs w:val="22"/>
        </w:rPr>
        <w:t xml:space="preserve"> (SEVP) zertifiziert ist. Bewerbung, Sprachtest und Anerkennung deines Abschlusses regelt jede Hochschule selbst.</w:t>
      </w:r>
    </w:p>
    <w:p>
      <w:pPr>
        <w:pStyle w:val="ListParagraph"/>
        <w:numPr>
          <w:ilvl w:val="0"/>
          <w:numId w:val="99"/>
        </w:numPr>
        <w:spacing w:lineRule="exact" w:line="288" w:before="0" w:after="60"/>
        <w:rPr/>
      </w:pPr>
      <w:r>
        <w:rPr>
          <w:rFonts w:eastAsia="Cambria" w:cs="Cambria"/>
          <w:b/>
          <w:bCs/>
          <w:i w:val="false"/>
          <w:iCs w:val="false"/>
          <w:sz w:val="22"/>
          <w:szCs w:val="22"/>
        </w:rPr>
        <w:t>Form I-20</w:t>
      </w:r>
      <w:r>
        <w:rPr>
          <w:rFonts w:eastAsia="Cambria" w:cs="Cambria"/>
          <w:b w:val="false"/>
          <w:bCs w:val="false"/>
          <w:i w:val="false"/>
          <w:iCs w:val="false"/>
          <w:sz w:val="22"/>
          <w:szCs w:val="22"/>
        </w:rPr>
        <w:t xml:space="preserve">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Die Hochschule stellt dir das Zulassungsdokument aus, mit Programmdauer und Kostenschätzung. Ansprechperson ist der </w:t>
      </w:r>
      <w:r>
        <w:rPr>
          <w:rFonts w:eastAsia="Cambria" w:cs="Cambria"/>
          <w:b w:val="false"/>
          <w:bCs w:val="false"/>
          <w:i/>
          <w:iCs/>
          <w:sz w:val="22"/>
          <w:szCs w:val="22"/>
        </w:rPr>
        <w:t>Designated School Official</w:t>
      </w:r>
      <w:r>
        <w:rPr>
          <w:rFonts w:eastAsia="Cambria" w:cs="Cambria"/>
          <w:b w:val="false"/>
          <w:bCs w:val="false"/>
          <w:i w:val="false"/>
          <w:iCs w:val="false"/>
          <w:sz w:val="22"/>
          <w:szCs w:val="22"/>
        </w:rPr>
        <w:t xml:space="preserve"> (DSO) im International Office.</w:t>
      </w:r>
    </w:p>
    <w:p>
      <w:pPr>
        <w:pStyle w:val="ListParagraph"/>
        <w:numPr>
          <w:ilvl w:val="0"/>
          <w:numId w:val="100"/>
        </w:numPr>
        <w:spacing w:lineRule="exact" w:line="288" w:before="0" w:after="60"/>
        <w:rPr/>
      </w:pPr>
      <w:r>
        <w:rPr>
          <w:rFonts w:eastAsia="Cambria" w:cs="Cambria"/>
          <w:b/>
          <w:bCs/>
          <w:i w:val="false"/>
          <w:iCs w:val="false"/>
          <w:sz w:val="22"/>
          <w:szCs w:val="22"/>
        </w:rPr>
        <w:t>Finanznachweis:</w:t>
      </w:r>
      <w:r>
        <w:rPr>
          <w:rFonts w:eastAsia="Cambria" w:cs="Cambria"/>
          <w:b w:val="false"/>
          <w:bCs w:val="false"/>
          <w:i w:val="false"/>
          <w:iCs w:val="false"/>
          <w:sz w:val="22"/>
          <w:szCs w:val="22"/>
        </w:rPr>
        <w:t xml:space="preserve"> Du belegst mit Unterlagen, dass du die Kosten laut I-20 tragen kannst: Kontoauszüge, Stipendienbescheide, Förderzusagen von Angehörigen.</w:t>
      </w:r>
    </w:p>
    <w:p>
      <w:pPr>
        <w:pStyle w:val="ListParagraph"/>
        <w:numPr>
          <w:ilvl w:val="0"/>
          <w:numId w:val="101"/>
        </w:numPr>
        <w:spacing w:lineRule="exact" w:line="288" w:before="0" w:after="60"/>
        <w:rPr/>
      </w:pPr>
      <w:r>
        <w:rPr>
          <w:rFonts w:eastAsia="Cambria" w:cs="Cambria"/>
          <w:b/>
          <w:bCs/>
          <w:i w:val="false"/>
          <w:iCs w:val="false"/>
          <w:sz w:val="22"/>
          <w:szCs w:val="22"/>
        </w:rPr>
        <w:t>SEVIS-Gebühr:</w:t>
      </w:r>
      <w:r>
        <w:rPr>
          <w:rFonts w:eastAsia="Cambria" w:cs="Cambria"/>
          <w:b w:val="false"/>
          <w:bCs w:val="false"/>
          <w:i w:val="false"/>
          <w:iCs w:val="false"/>
          <w:sz w:val="22"/>
          <w:szCs w:val="22"/>
        </w:rPr>
        <w:t xml:space="preserve"> Die Gebühr </w:t>
      </w:r>
      <w:r>
        <w:rPr>
          <w:rFonts w:eastAsia="Cambria" w:cs="Cambria"/>
          <w:b w:val="false"/>
          <w:bCs w:val="false"/>
          <w:i/>
          <w:iCs/>
          <w:sz w:val="22"/>
          <w:szCs w:val="22"/>
        </w:rPr>
        <w:t>I-901</w:t>
      </w:r>
      <w:r>
        <w:rPr>
          <w:rFonts w:eastAsia="Cambria" w:cs="Cambria"/>
          <w:b w:val="false"/>
          <w:bCs w:val="false"/>
          <w:i w:val="false"/>
          <w:iCs w:val="false"/>
          <w:sz w:val="22"/>
          <w:szCs w:val="22"/>
        </w:rPr>
        <w:t xml:space="preserve"> beträgt 350 $ und wird online bei der Einwanderungs- und Zollbehörde ICE bezahlt (</w:t>
      </w:r>
      <w:r>
        <w:rPr>
          <w:rFonts w:eastAsia="Cambria" w:cs="Cambria"/>
          <w:b w:val="false"/>
          <w:bCs w:val="false"/>
          <w:i/>
          <w:iCs/>
          <w:sz w:val="22"/>
          <w:szCs w:val="22"/>
        </w:rPr>
        <w:t>SEVIS</w:t>
      </w:r>
      <w:r>
        <w:rPr>
          <w:rFonts w:eastAsia="Cambria" w:cs="Cambria"/>
          <w:b w:val="false"/>
          <w:bCs w:val="false"/>
          <w:i w:val="false"/>
          <w:iCs w:val="false"/>
          <w:sz w:val="22"/>
          <w:szCs w:val="22"/>
        </w:rPr>
        <w:t xml:space="preserve"> ist die Datenbank, in der die Behörden Studierende erfassen). Die Quittung nimmst du zum Interview mit.</w:t>
      </w:r>
    </w:p>
    <w:p>
      <w:pPr>
        <w:pStyle w:val="ListParagraph"/>
        <w:numPr>
          <w:ilvl w:val="0"/>
          <w:numId w:val="102"/>
        </w:numPr>
        <w:spacing w:lineRule="exact" w:line="288" w:before="0" w:after="60"/>
        <w:rPr/>
      </w:pPr>
      <w:r>
        <w:rPr>
          <w:rFonts w:eastAsia="Cambria" w:cs="Cambria"/>
          <w:b/>
          <w:bCs/>
          <w:i w:val="false"/>
          <w:iCs w:val="false"/>
          <w:sz w:val="22"/>
          <w:szCs w:val="22"/>
        </w:rPr>
        <w:t>DS-160 und Visumgebühr:</w:t>
      </w:r>
      <w:r>
        <w:rPr>
          <w:rFonts w:eastAsia="Cambria" w:cs="Cambria"/>
          <w:b w:val="false"/>
          <w:bCs w:val="false"/>
          <w:i w:val="false"/>
          <w:iCs w:val="false"/>
          <w:sz w:val="22"/>
          <w:szCs w:val="22"/>
        </w:rPr>
        <w:t xml:space="preserve"> Du füllst das Online-Formular DS-160 aus, samt Social-Media-Konten der letzten fünf Jahre, und zahlst 185 $.</w:t>
      </w:r>
    </w:p>
    <w:p>
      <w:pPr>
        <w:pStyle w:val="ListParagraph"/>
        <w:numPr>
          <w:ilvl w:val="0"/>
          <w:numId w:val="103"/>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in der Botschaft Berlin oder den Konsulaten Frankfurt und München. Der Verzicht auf das Gespräch wurde im September 2025 weitgehend abgeschafft; rechne mit einem persönlichen Termin, buche früh (Wartezeiten: travel.state.gov). Bei der Visumausstellung kann zusätzlich die </w:t>
      </w:r>
      <w:r>
        <w:rPr>
          <w:rFonts w:eastAsia="Cambria" w:cs="Cambria"/>
          <w:b w:val="false"/>
          <w:bCs w:val="false"/>
          <w:i/>
          <w:iCs/>
          <w:sz w:val="22"/>
          <w:szCs w:val="22"/>
        </w:rPr>
        <w:t>Visa Integrity Fee</w:t>
      </w:r>
      <w:r>
        <w:rPr>
          <w:rFonts w:eastAsia="Cambria" w:cs="Cambria"/>
          <w:b w:val="false"/>
          <w:bCs w:val="false"/>
          <w:i w:val="false"/>
          <w:iCs w:val="false"/>
          <w:sz w:val="22"/>
          <w:szCs w:val="22"/>
        </w:rPr>
        <w:t xml:space="preserve"> von 250 $ anfallen; die Erhebung ist uneinheitlich, ein Erstattungsverfahren fehlt.</w:t>
      </w:r>
    </w:p>
    <w:p>
      <w:pPr>
        <w:pStyle w:val="ListParagraph"/>
        <w:numPr>
          <w:ilvl w:val="0"/>
          <w:numId w:val="104"/>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Üblich ist die Einreise frühestens 30 Tage vor Programmbeginn; das Visum wird bis zu 365 Tage vorher ausgestellt. Der Grenzschutz (CBP) trägt deinen Status ein.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F-1 ist ein Visum für Personen ohne Einwanderungsabsicht. Das Konsulat prüft, ob du nach dem Studium zurückkehren willst (</w:t>
            </w:r>
            <w:r>
              <w:rPr>
                <w:rFonts w:eastAsia="Cambria" w:cs="Cambria"/>
                <w:b w:val="false"/>
                <w:bCs w:val="false"/>
                <w:i/>
                <w:iCs/>
                <w:sz w:val="20"/>
                <w:szCs w:val="20"/>
              </w:rPr>
              <w:t>INA 214(b)</w:t>
            </w:r>
            <w:r>
              <w:rPr>
                <w:rFonts w:eastAsia="Cambria" w:cs="Cambria"/>
                <w:b w:val="false"/>
                <w:bCs w:val="false"/>
                <w:i w:val="false"/>
                <w:iCs w:val="false"/>
                <w:sz w:val="20"/>
                <w:szCs w:val="20"/>
              </w:rPr>
              <w:t>):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Studium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Studiengebühren (</w:t>
      </w:r>
      <w:r>
        <w:rPr>
          <w:rFonts w:eastAsia="Cambria" w:cs="Cambria"/>
          <w:b w:val="false"/>
          <w:bCs w:val="false"/>
          <w:i/>
          <w:iCs/>
          <w:sz w:val="22"/>
          <w:szCs w:val="22"/>
        </w:rPr>
        <w:t>Tuition</w:t>
      </w:r>
      <w:r>
        <w:rPr>
          <w:rFonts w:eastAsia="Cambria" w:cs="Cambria"/>
          <w:b w:val="false"/>
          <w:bCs w:val="false"/>
          <w:i w:val="false"/>
          <w:iCs w:val="false"/>
          <w:sz w:val="22"/>
          <w:szCs w:val="22"/>
        </w:rP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tbl>
      <w:tblPr>
        <w:tblW w:w="6480" w:type="dxa"/>
        <w:jc w:val="left"/>
        <w:tblInd w:w="0" w:type="dxa"/>
        <w:tblLayout w:type="fixed"/>
        <w:tblCellMar>
          <w:top w:w="50" w:type="dxa"/>
          <w:left w:w="80" w:type="dxa"/>
          <w:bottom w:w="50" w:type="dxa"/>
          <w:right w:w="80" w:type="dxa"/>
        </w:tblCellMar>
      </w:tblPr>
      <w:tblGrid>
        <w:gridCol w:w="2619"/>
        <w:gridCol w:w="1867"/>
        <w:gridCol w:w="199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Jahr</w:t>
            </w:r>
          </w:p>
        </w:tc>
        <w:tc>
          <w:tcPr>
            <w:tcW w:w="19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öffentliche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20.000–35.000 $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zahlen meist den Auslandstarif</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private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30.000–75.000 $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73.364 $ (2026/27)</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 inkl. Miete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15.000–30.000 $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rund 27.000 $ für neun Monate</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1.800–4.000 $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Uni-Plan; Boston University: 3.715 $</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SEVIS, Visum, Integrity Fee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785 $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aus 350, 185 und 250 $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zweijährigen Master ergeben sich damit grob 70.000–150.000 $; ein einjähriges Programm halbiert den Betrag ungefähr. Elite-Universitäten liegen darüber: Die I-20 der Boston University weist für neun Monate 105.566 $ aus – diese Summe musst du im Visumverfahren belegen können.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Stipendien, Assistenzstellen, BAföG</w:t>
      </w:r>
    </w:p>
    <w:p>
      <w:pPr>
        <w:pStyle w:val="ListParagraph"/>
        <w:numPr>
          <w:ilvl w:val="0"/>
          <w:numId w:val="1"/>
        </w:numPr>
        <w:spacing w:lineRule="exact" w:line="288" w:before="0" w:after="60"/>
        <w:rPr/>
      </w:pPr>
      <w:r>
        <w:rPr>
          <w:rFonts w:eastAsia="Cambria" w:cs="Cambria"/>
          <w:b/>
          <w:bCs/>
          <w:i w:val="false"/>
          <w:iCs w:val="false"/>
          <w:sz w:val="22"/>
          <w:szCs w:val="22"/>
        </w:rPr>
        <w:t>Fulbright:</w:t>
      </w:r>
      <w:r>
        <w:rPr>
          <w:rFonts w:eastAsia="Cambria" w:cs="Cambria"/>
          <w:b w:val="false"/>
          <w:bCs w:val="false"/>
          <w:i w:val="false"/>
          <w:iCs w:val="false"/>
          <w:sz w:val="22"/>
          <w:szCs w:val="22"/>
        </w:rPr>
        <w:t xml:space="preserve"> Die Fulbright-Kommission in Deutschland vergibt in rund 20 Programmen bis zu 700 Stipendien pro Jahr. Master-Programme starten im August oder September 2027; neue Ausschreibungen erscheinen Ende 2026 oder Anfang 2027 (fulbright.de).</w:t>
      </w:r>
    </w:p>
    <w:p>
      <w:pPr>
        <w:pStyle w:val="ListParagraph"/>
        <w:numPr>
          <w:ilvl w:val="0"/>
          <w:numId w:val="1"/>
        </w:numPr>
        <w:spacing w:lineRule="exact" w:line="288" w:before="0" w:after="60"/>
        <w:rPr/>
      </w:pPr>
      <w:r>
        <w:rPr>
          <w:rFonts w:eastAsia="Cambria" w:cs="Cambria"/>
          <w:b/>
          <w:bCs/>
          <w:i w:val="false"/>
          <w:iCs w:val="false"/>
          <w:sz w:val="22"/>
          <w:szCs w:val="22"/>
        </w:rPr>
        <w:t>DAAD:</w:t>
      </w:r>
      <w:r>
        <w:rPr>
          <w:rFonts w:eastAsia="Cambria" w:cs="Cambria"/>
          <w:b w:val="false"/>
          <w:bCs w:val="false"/>
          <w:i w:val="false"/>
          <w:iCs w:val="false"/>
          <w:sz w:val="22"/>
          <w:szCs w:val="22"/>
        </w:rPr>
        <w:t xml:space="preserve">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daad.de).</w:t>
      </w:r>
    </w:p>
    <w:p>
      <w:pPr>
        <w:pStyle w:val="ListParagraph"/>
        <w:numPr>
          <w:ilvl w:val="0"/>
          <w:numId w:val="1"/>
        </w:numPr>
        <w:spacing w:lineRule="exact" w:line="288" w:before="0" w:after="60"/>
        <w:rPr/>
      </w:pPr>
      <w:r>
        <w:rPr>
          <w:rFonts w:eastAsia="Cambria" w:cs="Cambria"/>
          <w:b/>
          <w:bCs/>
          <w:i w:val="false"/>
          <w:iCs w:val="false"/>
          <w:sz w:val="22"/>
          <w:szCs w:val="22"/>
        </w:rPr>
        <w:t>Assistenzstellen:</w:t>
      </w:r>
      <w:r>
        <w:rPr>
          <w:rFonts w:eastAsia="Cambria" w:cs="Cambria"/>
          <w:b w:val="false"/>
          <w:bCs w:val="false"/>
          <w:i w:val="false"/>
          <w:iCs w:val="false"/>
          <w:sz w:val="22"/>
          <w:szCs w:val="22"/>
        </w:rPr>
        <w:t xml:space="preserve"> Eine </w:t>
      </w:r>
      <w:r>
        <w:rPr>
          <w:rFonts w:eastAsia="Cambria" w:cs="Cambria"/>
          <w:b w:val="false"/>
          <w:bCs w:val="false"/>
          <w:i/>
          <w:iCs/>
          <w:sz w:val="22"/>
          <w:szCs w:val="22"/>
        </w:rPr>
        <w:t>Teaching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Research Assistantship</w:t>
      </w:r>
      <w:r>
        <w:rPr>
          <w:rFonts w:eastAsia="Cambria" w:cs="Cambria"/>
          <w:b w:val="false"/>
          <w:bCs w:val="false"/>
          <w:i w:val="false"/>
          <w:iCs w:val="false"/>
          <w:sz w:val="22"/>
          <w:szCs w:val="22"/>
        </w:rPr>
        <w:t xml:space="preserve"> (Lehr- oder Forschungsstelle mit Gehalt, oft mit Gebührenerlass) ist im Master selten, in der Promotion in STEM-Fächern üblich. Frage im Zulassungsverfahren gezielt danach.</w:t>
      </w:r>
    </w:p>
    <w:p>
      <w:pPr>
        <w:pStyle w:val="ListParagraph"/>
        <w:numPr>
          <w:ilvl w:val="0"/>
          <w:numId w:val="1"/>
        </w:numPr>
        <w:spacing w:lineRule="exact" w:line="288" w:before="0" w:after="60"/>
        <w:rPr/>
      </w:pPr>
      <w:r>
        <w:rPr>
          <w:rFonts w:eastAsia="Cambria" w:cs="Cambria"/>
          <w:b/>
          <w:bCs/>
          <w:i w:val="false"/>
          <w:iCs w:val="false"/>
          <w:sz w:val="22"/>
          <w:szCs w:val="22"/>
        </w:rPr>
        <w:t>Auslands-BAföG:</w:t>
      </w:r>
      <w:r>
        <w:rPr>
          <w:rFonts w:eastAsia="Cambria" w:cs="Cambria"/>
          <w:b w:val="false"/>
          <w:bCs w:val="false"/>
          <w:i w:val="false"/>
          <w:iCs w:val="false"/>
          <w:sz w:val="22"/>
          <w:szCs w:val="22"/>
        </w:rPr>
        <w:t xml:space="preserve"> Nach § 5 Abs. 2 BAföG lässt sich ein Studium in den USA fördern, wenn es mindestens ein Semester oder sechs Monate dauert. Die Höhe hängt vom Einzelfall ab; Auskunft gibt das zuständige Amt für Ausbildungsförderung.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Regierungsgeld gefördert wird, etwa über Fulbright, bekommt oft ein J-1-Visum statt F-1 – dann kann die Zwei-Jahres-Regel (</w:t>
            </w:r>
            <w:r>
              <w:rPr>
                <w:rFonts w:eastAsia="Cambria" w:cs="Cambria"/>
                <w:b w:val="false"/>
                <w:bCs w:val="false"/>
                <w:i/>
                <w:iCs/>
                <w:sz w:val="20"/>
                <w:szCs w:val="20"/>
              </w:rPr>
              <w:t>Section 212(e)</w:t>
            </w:r>
            <w:r>
              <w:rPr>
                <w:rFonts w:eastAsia="Cambria" w:cs="Cambria"/>
                <w:b w:val="false"/>
                <w:bCs w:val="false"/>
                <w:i w:val="false"/>
                <w:iCs w:val="false"/>
                <w:sz w:val="20"/>
                <w:szCs w:val="20"/>
              </w:rPr>
              <w:t>) greifen: Du müsstest zwei Jahre außerhalb der USA verbringen, bevor du in H-1B, L-1 oder Green Card wechseln darfst, sofern kein Verzicht (</w:t>
            </w:r>
            <w:r>
              <w:rPr>
                <w:rFonts w:eastAsia="Cambria" w:cs="Cambria"/>
                <w:b w:val="false"/>
                <w:bCs w:val="false"/>
                <w:i/>
                <w:iCs/>
                <w:sz w:val="20"/>
                <w:szCs w:val="20"/>
              </w:rPr>
              <w:t>Waiver</w:t>
            </w:r>
            <w:r>
              <w:rPr>
                <w:rFonts w:eastAsia="Cambria" w:cs="Cambria"/>
                <w:b w:val="false"/>
                <w:bCs w:val="false"/>
                <w:i w:val="false"/>
                <w:iCs w:val="false"/>
                <w:sz w:val="20"/>
                <w:szCs w:val="20"/>
              </w:rPr>
              <w:t>) gewährt wird. Frage vor der Annahme schriftlich nach, welches Visum das Stipendium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 während des Studiums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rFonts w:eastAsia="Cambria" w:cs="Cambria"/>
          <w:b w:val="false"/>
          <w:bCs w:val="false"/>
          <w:i/>
          <w:iCs/>
          <w:sz w:val="22"/>
          <w:szCs w:val="22"/>
        </w:rPr>
        <w:t>On-campus</w:t>
      </w:r>
      <w:r>
        <w:rPr>
          <w:rFonts w:eastAsia="Cambria" w:cs="Cambria"/>
          <w:b w:val="false"/>
          <w:bCs w:val="false"/>
          <w:i w:val="false"/>
          <w:iCs w:val="false"/>
          <w:sz w:val="22"/>
          <w:szCs w:val="22"/>
        </w:rPr>
        <w:t xml:space="preserve"> (auf dem Uni-Gelände) darfst du im Semester bis zu 20 Stunden pro Woche arbeiten, in den Ferien Vollzeit: Bibliothek, Mensa, Labor, Assistenzstelle. Dafür brauchst du eine Sozialversicherungsnummer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Außerhalb des Campus ist Arbeit erst nach einem vollen akademischen Jahr und nur mit Genehmigung erlaubt; Lieferdienst, Freelance-Aufträge oder bezahlte Nachhilfe ohne Erlaubnis sind ein Statusverstoß.</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wichtigste Genehmigung während des Studiums ist </w:t>
      </w:r>
      <w:r>
        <w:rPr>
          <w:rFonts w:eastAsia="Cambria" w:cs="Cambria"/>
          <w:b w:val="false"/>
          <w:bCs w:val="false"/>
          <w:i/>
          <w:iCs/>
          <w:sz w:val="22"/>
          <w:szCs w:val="22"/>
        </w:rPr>
        <w:t>Curricular Practical Training</w:t>
      </w:r>
      <w:r>
        <w:rPr>
          <w:rFonts w:eastAsia="Cambria" w:cs="Cambria"/>
          <w:b w:val="false"/>
          <w:bCs w:val="false"/>
          <w:i w:val="false"/>
          <w:iCs w:val="false"/>
          <w:sz w:val="22"/>
          <w:szCs w:val="22"/>
        </w:rPr>
        <w:t xml:space="preserve"> (CPT): ein Praktikum oder eine Stelle, die Teil deines Studiengangs ist. Dein DSO muss sie vor dem ersten Arbeitstag genehmigen und in SEVIS eintragen. Wer 12 Monate oder länger in Vollzeit-CPT arbeitet, verliert den Anspruch auf OPT.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OPT und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ist das Herzstück des Studienwegs: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für Arbeit in deinem Fachgebiet. Du beantragst sie mit Form I-765 bei USCIS, nachdem dein DSO die Empfehlung in SEVIS eingetragen hat – arbeiten darfst du erst ab dem Startdatum auf der EAD-Karte.</w:t>
      </w:r>
    </w:p>
    <w:tbl>
      <w:tblPr>
        <w:tblW w:w="6480" w:type="dxa"/>
        <w:jc w:val="left"/>
        <w:tblInd w:w="0" w:type="dxa"/>
        <w:tblLayout w:type="fixed"/>
        <w:tblCellMar>
          <w:top w:w="50" w:type="dxa"/>
          <w:left w:w="80" w:type="dxa"/>
          <w:bottom w:w="50" w:type="dxa"/>
          <w:right w:w="80" w:type="dxa"/>
        </w:tblCellMar>
      </w:tblPr>
      <w:tblGrid>
        <w:gridCol w:w="1491"/>
        <w:gridCol w:w="2119"/>
        <w:gridCol w:w="2870"/>
      </w:tblGrid>
      <w:tr>
        <w:trPr>
          <w:tblHeader w:val="true"/>
          <w:cantSplit w:val="true"/>
        </w:trPr>
        <w:tc>
          <w:tcPr>
            <w:tcW w:w="14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1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OPT</w:t>
            </w:r>
          </w:p>
        </w:tc>
        <w:tc>
          <w:tcPr>
            <w:tcW w:w="28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STEM-OPT-Verlängerung</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je Abschlussniveau</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 24 Monate (insgesamt 36)</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 vor bis 60 Tage nach Studienende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vor Ablauf der EAD</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 passt zum Fach, mind. 20 Std./Woche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STEM-Abschluss, E-Verify-Arbeitgeber, Ausbildungsplan</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 höchstens</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insgesamt 150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DSO-Empfehlung bleiben 30 Tage für den OPT-Antrag (STEM-OPT: 60 Tage). Form I-765 kostet 520 $ auf Papier und 470 $ online, Premium Processing 1.780 $. </w:t>
      </w:r>
      <w:r>
        <w:rPr>
          <w:rFonts w:eastAsia="Cambria" w:cs="Cambria"/>
          <w:b w:val="false"/>
          <w:bCs w:val="false"/>
          <w:i/>
          <w:iCs/>
          <w:sz w:val="22"/>
          <w:szCs w:val="22"/>
        </w:rPr>
        <w:t>E-Verify</w:t>
      </w:r>
      <w:r>
        <w:rPr>
          <w:rFonts w:eastAsia="Cambria" w:cs="Cambria"/>
          <w:b w:val="false"/>
          <w:bCs w:val="false"/>
          <w:i w:val="false"/>
          <w:iCs w:val="false"/>
          <w:sz w:val="22"/>
          <w:szCs w:val="22"/>
        </w:rPr>
        <w:t xml:space="preserve">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den I-765 online ein: 470 statt 520 $ pro Antrag. Beantrage früh, ab 90 Tage vor Studienende – wer zu spät dran ist, zahlt für Premium Processing 1.780 $.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beruht auf einer Verordnung, nicht auf einem Gesetz, und lässt sich per Regel ändern –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Statuswechsel: vom Studium zum H-1B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rFonts w:eastAsia="Cambria" w:cs="Cambria"/>
          <w:b w:val="false"/>
          <w:bCs w:val="false"/>
          <w:i/>
          <w:iCs/>
          <w:sz w:val="22"/>
          <w:szCs w:val="22"/>
        </w:rPr>
        <w:t>Change of Status</w:t>
      </w:r>
      <w:r>
        <w:rPr>
          <w:rFonts w:eastAsia="Cambria" w:cs="Cambria"/>
          <w:b w:val="false"/>
          <w:bCs w:val="false"/>
          <w:i w:val="false"/>
          <w:iCs w:val="false"/>
          <w:sz w:val="22"/>
          <w:szCs w:val="22"/>
        </w:rPr>
        <w:t>: den Statuswechsel im Inland von F-1 zu H-1B, ohne Ausreise und ohne Konsulat. Der H-1B-Status beginnt frühestens am 1. Oktober (Verfahren im Detail: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Problem: Dein OPT endet oft vor dem 1. Oktober. Die </w:t>
      </w:r>
      <w:r>
        <w:rPr>
          <w:rFonts w:eastAsia="Cambria" w:cs="Cambria"/>
          <w:b w:val="false"/>
          <w:bCs w:val="false"/>
          <w:i/>
          <w:iCs/>
          <w:sz w:val="22"/>
          <w:szCs w:val="22"/>
        </w:rPr>
        <w:t>Cap-Gap</w:t>
      </w:r>
      <w:r>
        <w:rPr>
          <w:rFonts w:eastAsia="Cambria" w:cs="Cambria"/>
          <w:b w:val="false"/>
          <w:bCs w:val="false"/>
          <w:i w:val="false"/>
          <w:iCs w:val="false"/>
          <w:sz w:val="22"/>
          <w:szCs w:val="22"/>
        </w:rPr>
        <w:t>-Regel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Reise während des laufenden Statuswechsels oder der Cap-Gap-Zeit nur, wenn die Genehmigung schon vorliegt – sonst gilt die Petition als aufgegeben, und die Ausreise vor der Entscheidung kann die 100.000-$-Zahlung auslösen (derzeit gerichtlich blockiert). Kläre jede Reise vorher mit dem Anwalt des Arbeitgebers.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100.000-$-Zahlung: Die Proklamation vom 19. September 2025 verlangt sie für neue Petitionen für Personen im Ausland. Für den Statuswechsel im Inland gilt sie nach der USCIS-Leitlinie vom 20. Oktober 2025 nicht, es sei denn, die Petition wird abgelehnt oder du reist vor der Entscheidung aus. Am 18. September 2026 wurde die Proklamation bis zum 21. September 2027 verlängert; die Erhebung ist seit dem Urteil vom 8. Juni 2026 gerichtlich blockiert. Ein DHS-Entwurf vom 25. August 2026 sieht 103.265 $ für Cap-Petitionen vor und würde nach drei Kanzleien auch den Inlandswechsel und das Master-Kontingent erfassen – ein Vorschlag, keine geltende Regel, der frühestens ab der Saison im April 2027 greifen könnte.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Chancen in der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zählt doppelt: Neben den 65.000 regulären Plätzen gibt es 20.000 Plätze für Abschlüsse ab Master von US-Hochschulen (</w:t>
      </w:r>
      <w:r>
        <w:rPr>
          <w:rFonts w:eastAsia="Cambria" w:cs="Cambria"/>
          <w:b w:val="false"/>
          <w:bCs w:val="false"/>
          <w:i/>
          <w:iCs/>
          <w:sz w:val="22"/>
          <w:szCs w:val="22"/>
        </w:rPr>
        <w:t>Master-Quote</w:t>
      </w:r>
      <w:r>
        <w:rPr>
          <w:rFonts w:eastAsia="Cambria" w:cs="Cambria"/>
          <w:b w:val="false"/>
          <w:bCs w:val="false"/>
          <w:i w:val="false"/>
          <w:iCs w:val="false"/>
          <w:sz w:val="22"/>
          <w:szCs w:val="22"/>
        </w:rPr>
        <w:t>) – wer im regulären Durchgang nicht gezogen wird, kommt in eine zweite Auswahl für diese Plätze. Seit dem Fiskaljahr 2027 gewichtet USCIS zudem nach Lohn: Level IV, die höchste Lohnstufe, bringt vier Lose, Level I nur eines. DHS rechnete vor der Einführung mit Chancen von etwa 15 % (Level I) bis 61 % (Level IV), gegenüber etwa 30 % bei reinem Zufall.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für FY2027: 211.600 zulässige Registrierungen, rund 38 % weniger als im Vorjahr. 71,5 % der Ausgewählten hatten einen US-Master oder mehr (Vorjahr 57 %), nur 17,7 % lagen in Level I. Die Auswahlquote hat USCIS nicht genannt; im Vorjahr lag sie bei rund 35 % (120.141 von 343.981). DHS begründete die Gewichtung damit, dass zuvor etwa 80 % der Stellen in Level I oder II lagen und Einstiegsgehälter oft dorthin fallen. Lass dir vom Arbeitgeber vorab bestätigen, welche Lohnstufe dein Angebot erreicht – sie bestimmt die Zahl deiner Lose.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Studium, OPT, H-1B,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für einen Master-Abschluss im Mai 2028, abgeleitet aus den Fristen (kein festes Schema):</w:t>
      </w:r>
    </w:p>
    <w:tbl>
      <w:tblPr>
        <w:tblW w:w="6480" w:type="dxa"/>
        <w:jc w:val="left"/>
        <w:tblInd w:w="0" w:type="dxa"/>
        <w:tblLayout w:type="fixed"/>
        <w:tblCellMar>
          <w:top w:w="50" w:type="dxa"/>
          <w:left w:w="80" w:type="dxa"/>
          <w:bottom w:w="50" w:type="dxa"/>
          <w:right w:w="80" w:type="dxa"/>
        </w:tblCellMar>
      </w:tblPr>
      <w:tblGrid>
        <w:gridCol w:w="1787"/>
        <w:gridCol w:w="1565"/>
        <w:gridCol w:w="1226"/>
        <w:gridCol w:w="1901"/>
      </w:tblGrid>
      <w:tr>
        <w:trPr>
          <w:tblHeader w:val="true"/>
          <w:cantSplit w:val="true"/>
        </w:trPr>
        <w:tc>
          <w:tcPr>
            <w:tcW w:w="17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12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9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Wichtig</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I-20, Visum</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vor Studienstart</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F-1-Visum</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Finanznachweis, Interview</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 2026 bis Mai 2028</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CPT nach DSO-Freigabe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2028 bis Mai 2029</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90 Tage arbeitslos</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2029 bis Mai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STEM-EAD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E-Verify, Form I-983</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H-1B-Lotterien</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 2028, 2029, 2030, mit Cap-Gap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bis vier Versuche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 nach Gewinn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Dual Intent</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 im H-1B starten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I-140, I-485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für die späteren Versuche ist ein STEM-OPT-fähiger Job bei einem E-Verify-Arbeitgeber.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das Dual-Intent-Problem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US-Studium sei bereits der erste Schritt zur Einwanderung, quasi Green Card auf Raten. Tatsächlich gilt rechtlich eher das Gegenteil: Das Einwanderungsgesetz (</w:t>
      </w:r>
      <w:r>
        <w:rPr>
          <w:rFonts w:eastAsia="Cambria" w:cs="Cambria"/>
          <w:b w:val="false"/>
          <w:bCs w:val="false"/>
          <w:i/>
          <w:iCs/>
          <w:sz w:val="22"/>
          <w:szCs w:val="22"/>
        </w:rPr>
        <w:t>INA 214(b)</w:t>
      </w:r>
      <w:r>
        <w:rPr>
          <w:rFonts w:eastAsia="Cambria" w:cs="Cambria"/>
          <w:b w:val="false"/>
          <w:bCs w:val="false"/>
          <w:i w:val="false"/>
          <w:iCs w:val="false"/>
          <w:sz w:val="22"/>
          <w:szCs w:val="22"/>
        </w:rP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rFonts w:eastAsia="Cambria" w:cs="Cambria"/>
          <w:b w:val="false"/>
          <w:bCs w:val="false"/>
          <w:i/>
          <w:iCs/>
          <w:sz w:val="22"/>
          <w:szCs w:val="22"/>
        </w:rPr>
        <w:t>Preconceived Intent</w:t>
      </w:r>
      <w:r>
        <w:rPr>
          <w:rFonts w:eastAsia="Cambria" w:cs="Cambria"/>
          <w:b w:val="false"/>
          <w:bCs w:val="false"/>
          <w:i w:val="false"/>
          <w:iCs w:val="false"/>
          <w:sz w:val="22"/>
          <w:szCs w:val="22"/>
        </w:rPr>
        <w:t>) bewerten, ist Einzelfall und gehört in die Hände einer Kanzlei. Die übliche Route: F-1, OPT, H-1B, dann PERM und I-140 über den Arbeitgeber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kauft dir Zeit und Lotterie-Chancen, aber kein Aufenthaltsrecht. Erst mit dem H-1B-Status ist eine Green-Card-Absicht offen erlaubt.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 B: Wenn die Lotterie nicht klappt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von Anfang an damit, dass du mehrmals nicht gezogen wirst. Diese Wege bleiben:</w:t>
      </w:r>
    </w:p>
    <w:p>
      <w:pPr>
        <w:pStyle w:val="ListParagraph"/>
        <w:numPr>
          <w:ilvl w:val="0"/>
          <w:numId w:val="1"/>
        </w:numPr>
        <w:spacing w:lineRule="exact" w:line="288" w:before="0" w:after="60"/>
        <w:rPr/>
      </w:pPr>
      <w:r>
        <w:rPr>
          <w:rFonts w:eastAsia="Cambria" w:cs="Cambria"/>
          <w:b/>
          <w:bCs/>
          <w:i w:val="false"/>
          <w:iCs w:val="false"/>
          <w:sz w:val="22"/>
          <w:szCs w:val="22"/>
        </w:rPr>
        <w:t>Weitere Versuche:</w:t>
      </w:r>
      <w:r>
        <w:rPr>
          <w:rFonts w:eastAsia="Cambria" w:cs="Cambria"/>
          <w:b w:val="false"/>
          <w:bCs w:val="false"/>
          <w:i w:val="false"/>
          <w:iCs w:val="false"/>
          <w:sz w:val="22"/>
          <w:szCs w:val="22"/>
        </w:rPr>
        <w:t xml:space="preserve"> OPT und STEM-OPT geben dir drei, mit Cap-Gap vier Registrierungen, sofern du einen passenden Job bei einem E-Verify-Arbeitgeber hast.</w:t>
      </w:r>
    </w:p>
    <w:p>
      <w:pPr>
        <w:pStyle w:val="ListParagraph"/>
        <w:numPr>
          <w:ilvl w:val="0"/>
          <w:numId w:val="1"/>
        </w:numPr>
        <w:spacing w:lineRule="exact" w:line="288" w:before="0" w:after="60"/>
        <w:rPr/>
      </w:pPr>
      <w:r>
        <w:rPr>
          <w:rFonts w:eastAsia="Cambria" w:cs="Cambria"/>
          <w:b/>
          <w:bCs/>
          <w:i w:val="false"/>
          <w:iCs w:val="false"/>
          <w:sz w:val="22"/>
          <w:szCs w:val="22"/>
        </w:rPr>
        <w:t>Cap-exempt-H-1B:</w:t>
      </w:r>
      <w:r>
        <w:rPr>
          <w:rFonts w:eastAsia="Cambria" w:cs="Cambria"/>
          <w:b w:val="false"/>
          <w:bCs w:val="false"/>
          <w:i w:val="false"/>
          <w:iCs w:val="false"/>
          <w:sz w:val="22"/>
          <w:szCs w:val="22"/>
        </w:rPr>
        <w:t xml:space="preserve"> Hochschulen, verbundene gemeinnützige Einrichtungen und Forschungsinstitute unterliegen keiner Quote; die Einreichung ist ganzjährig möglich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für außergewöhnliche Leistungen, belegt über mindestens drei von acht Kriterien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L-1:</w:t>
      </w:r>
      <w:r>
        <w:rPr>
          <w:rFonts w:eastAsia="Cambria" w:cs="Cambria"/>
          <w:b w:val="false"/>
          <w:bCs w:val="false"/>
          <w:i w:val="false"/>
          <w:iCs w:val="false"/>
          <w:sz w:val="22"/>
          <w:szCs w:val="22"/>
        </w:rPr>
        <w:t xml:space="preserve"> nach mindestens einem Jahr bei einem verbundenen Konzernunternehmen im Ausland; Zeit in den USA zählt dafür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für Gründerinnen und Gründer mit eigener Investition; Deutschland ist Vertragsstaat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Green Card direkt:</w:t>
      </w:r>
      <w:r>
        <w:rPr>
          <w:rFonts w:eastAsia="Cambria" w:cs="Cambria"/>
          <w:b w:val="false"/>
          <w:bCs w:val="false"/>
          <w:i w:val="false"/>
          <w:iCs w:val="false"/>
          <w:sz w:val="22"/>
          <w:szCs w:val="22"/>
        </w:rPr>
        <w:t xml:space="preserve"> Für Hochqualifizierte kommt ein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infrage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Weiterer Abschluss:</w:t>
      </w:r>
      <w:r>
        <w:rPr>
          <w:rFonts w:eastAsia="Cambria" w:cs="Cambria"/>
          <w:b w:val="false"/>
          <w:bCs w:val="false"/>
          <w:i w:val="false"/>
          <w:iCs w:val="false"/>
          <w:sz w:val="22"/>
          <w:szCs w:val="22"/>
        </w:rPr>
        <w:t xml:space="preserve"> Er bringt neues OPT, kostet aber erneut Zeit und Geld.</w:t>
      </w:r>
    </w:p>
    <w:p>
      <w:pPr>
        <w:pStyle w:val="ListParagraph"/>
        <w:numPr>
          <w:ilvl w:val="0"/>
          <w:numId w:val="1"/>
        </w:numPr>
        <w:spacing w:lineRule="exact" w:line="288" w:before="0" w:after="60"/>
        <w:rPr/>
      </w:pPr>
      <w:r>
        <w:rPr>
          <w:rFonts w:eastAsia="Cambria" w:cs="Cambria"/>
          <w:b/>
          <w:bCs/>
          <w:i w:val="false"/>
          <w:iCs w:val="false"/>
          <w:sz w:val="22"/>
          <w:szCs w:val="22"/>
        </w:rPr>
        <w:t>Rückkehr:</w:t>
      </w:r>
      <w:r>
        <w:rPr>
          <w:rFonts w:eastAsia="Cambria" w:cs="Cambria"/>
          <w:b w:val="false"/>
          <w:bCs w:val="false"/>
          <w:i w:val="false"/>
          <w:iCs w:val="false"/>
          <w:sz w:val="22"/>
          <w:szCs w:val="22"/>
        </w:rPr>
        <w:t xml:space="preserve"> Ein US-Abschluss und Berufserfahrung zählen auch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Ende von OPT oder STEM-OPT bleiben dir 60 Tage zur Ausreise, wenn du nicht in einen anderen Status wechselst. Lege Plan B deshalb vor dem letzten OPT-Jahr fest, nicht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Partner und Kinder mit F-2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Rechne den Finanznachweis mit: Die I-20 der Boston University verlangt für einen Angehörigen 12.563 $ zusätzlich, für zwei 22.735 $. Nach dem Statuswechsel erhält der Partner H-4, mit Arbeitserlaubnis nur unter besonderen Bedingungen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an der Uni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Pflicht für F-1-Studierende gibt es nicht, aber fast jede Hochschule verlangt einen Nachweis oder bucht ihren eigenen Plan automatisch. Ein Verzicht (</w:t>
      </w:r>
      <w:r>
        <w:rPr>
          <w:rFonts w:eastAsia="Cambria" w:cs="Cambria"/>
          <w:b w:val="false"/>
          <w:bCs w:val="false"/>
          <w:i/>
          <w:iCs/>
          <w:sz w:val="22"/>
          <w:szCs w:val="22"/>
        </w:rPr>
        <w:t>Waiver</w:t>
      </w:r>
      <w:r>
        <w:rPr>
          <w:rFonts w:eastAsia="Cambria" w:cs="Cambria"/>
          <w:b w:val="false"/>
          <w:bCs w:val="false"/>
          <w:i w:val="false"/>
          <w:iCs w:val="false"/>
          <w:sz w:val="22"/>
          <w:szCs w:val="22"/>
        </w:rP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wie es mit Arbeitgeberversicherung und Alternativen weitergeht, steht in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als F-1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F-1-Studierender bist du steuerlich zunächst Nichtresident: Fünf Kalenderjahre lang zählen deine Tage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Risiken und Änderungen 2025/26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Bisher erhalten F-1-Studierende einen Aufenthalt „für die Dauer des Status“ (</w:t>
      </w:r>
      <w:r>
        <w:rPr>
          <w:rFonts w:eastAsia="Cambria" w:cs="Cambria"/>
          <w:b w:val="false"/>
          <w:bCs w:val="false"/>
          <w:i/>
          <w:iCs/>
          <w:sz w:val="22"/>
          <w:szCs w:val="22"/>
        </w:rPr>
        <w:t>Duration of Status</w:t>
      </w:r>
      <w:r>
        <w:rPr>
          <w:rFonts w:eastAsia="Cambria" w:cs="Cambria"/>
          <w:b w:val="false"/>
          <w:bCs w:val="false"/>
          <w:i w:val="false"/>
          <w:iCs w:val="false"/>
          <w:sz w:val="22"/>
          <w:szCs w:val="22"/>
        </w:rPr>
        <w:t>), also ohne festes Enddatum im I-94. Das Heimatschutzministerium (DHS) wollte das ändern, das Gericht hat es vorerst verhindert. Der Überblick (Stand 20. September 2026):</w:t>
      </w:r>
    </w:p>
    <w:tbl>
      <w:tblPr>
        <w:tblW w:w="6480" w:type="dxa"/>
        <w:jc w:val="left"/>
        <w:tblInd w:w="0" w:type="dxa"/>
        <w:tblLayout w:type="fixed"/>
        <w:tblCellMar>
          <w:top w:w="50" w:type="dxa"/>
          <w:left w:w="80" w:type="dxa"/>
          <w:bottom w:w="50" w:type="dxa"/>
          <w:right w:w="80" w:type="dxa"/>
        </w:tblCellMar>
      </w:tblPr>
      <w:tblGrid>
        <w:gridCol w:w="2593"/>
        <w:gridCol w:w="2357"/>
        <w:gridCol w:w="1530"/>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SEVIS-Kündigungen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April 2025 wurden mehrere tausend Einträge beendet, teils wiederhergestellt; über 100 Klagen, Streit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sauber halten, I-20, I-94 und Belege aufbewahren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Social-Media-Prüfung</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18. Juni 2025 für F/M/J, seit 15. Dezember 2025 auch für H-1B/H-4</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Profile öffentlich stellen, alles angeben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Aufenthaltsdauer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DHS-Regel vom 17. Juli 2026 (höchstens 4 Jahre, Verlängerung per I-539) am 14. September 2026 gerichtlich gestoppt; Berufung erwartet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I-20-Ende und Hinweise des DSO im Blick behalten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 und OPT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CPT-Leitlinie vom August 2026; OPT-Neufassung frühestens Februar 2027, Gebührenregel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früh suchen, Plan B parallel</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 und Einreise</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Neueinschreibungen Herbst 2025: −17 %; Prognose Herbst 2026: −6,2 bis −9,6 %; Einreisestopp für 39 Länder seit Dezember 2025, Deutschland nach bisherigem Stand nicht betroffen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Länderliste vor jeder Reise prüfen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Gib im DS-160 alle Social-Media-Konten der letzten fünf Jahre an. „Keine“ bei vorhandenen Konten gilt als Falschangabe und kann eine dauerhafte Sperre nach sich ziehen. Lösche keine Beiträge, um sie zu verbergen.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Status- und Visumfragen klärst du mit deinem DSO und einem Einwanderungsanwalt, Steuerfragen mit dem Auslandsbüro der Uni oder einer Steuerberatung mit Erfahrung bei Ausländern.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in Deutschland oder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 das Auslands-BAföG fördert schon ab einem Semester.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Promotion: F-1 oder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Gebührenerlass in der Regel nicht. Das übliche Visum ist F-1, bei Fulbright- oder DAAD-Mitteln kann es J-1 sein (siehe die Achtung zu Section 212(e)); später bieten Hochschulen und Forschungsinstitute Cap-exempt-Stellen. Die Zahl der Promotionsbewerbungen aus dem Ausland sank zuletzt um 21 % (NAFSA).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(24, Bachelor Informatik aus Aachen, fiktiv) macht einen zweijährigen Master an einer privaten Universität im Raum Boston, Abschluss Mai 2028. Gebühren 2 × 34.000 $, Lebenshaltung 2 × 25.000 $, Versicherung 2 × 3.500 $: zusammen rund 125.000 $, gedeckt aus Ersparnissen, Familienhilfe und einer Assistenzstelle. Sein Pflichtpraktikum läuft als CPT. Ab Juni 2028 arbeitet er mit OPT bei einem Softwareunternehmen mit E-Verify. Die Registrierungen 2028 und 2029 gehen leer aus – zweimal öffnet er im März das USCIS-Portal und liest dieselbe Zeile: „not selected“. Nach einer Gehaltserhöhung (Level III) wird er im März 2030 gezogen und wechselt zum 1. Oktober 2030 im Inland zu H-1B. Später zieht er zu einem neuen Arbeitgeber nach Austin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US-Abschluss und bis zu 36 Monate Arbeit mit OPT und STEM-OPT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von 70.000–150.000 $ ohne Garantie auf ein H-1B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Statuswechsel im Inland: kein Konsulatstermin, derzeit keine 100.000-$-Zahlung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Entwurf (103.265 $) könnte das ab 2027 ändern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Chancen pro Registrierung durch die Master-Quote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Lohnstufe entscheidet über die Zahl der Lose</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vier Lotterie-Versuche, ohne das Land zu verlassen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CPT und Aufenthaltsdauer sind politisch beweglich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lernst Land und Arbeitsmarkt kennen, bevor du dich bindest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Partner darf mit F-2 nicht arbeiten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und Praxis im US-Arbeitsmarkt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Auflagen: Arbeitslosentage, Meldefristen, Rückkehrabsicht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zwei Jahre mit der Tabelle und den I-20-Schätzungen deiner Wunschhochschulen durchrechnen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DSO schriftlich klären: STEM-designiertes Programm, Praktikum als verpflichtender CPT-Bestandteil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Stipendienfristen notieren: DAAD (1. Oktober), Fulbright (Ausschreibung ab Ende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ob ein Stipendium ein J-1-Visum mit Zwei-Jahres-Regel auslöst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Finanznachweis in Höhe der I-20-Kostenschätzung zusammenstellen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SEVIS-Gebühr zahlen, DS-160 mit allen Social-Media-Konten ausfüllen, Interviewtermin früh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Bindungen an Deutschland für das Interview belegen und wahrheitsgemäß antworten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OPT-Antrag ab 90 Tage vor Studienende einplanen, Arbeitslosentage zählen, Meldungen binnen 10 Tagen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STEM-OPT nur Arbeitgeber mit E-Verify anpeilen; vor der Registrierung die Lohnstufe des Angebots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(Cap-exempt, O-1, L-1, E-2, Rückkehr) vor dem letzten OPT-Jahr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8843 jedes Jahr abgeben und die Kalenderjahre zählen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Study in the States (DHS) — F-1, CPT, OPT, Cap-Gap (</w:t>
      </w:r>
      <w:hyperlink r:id="rId80">
        <w:r>
          <w:rPr>
            <w:rStyle w:val="ListLabel113"/>
            <w:rFonts w:eastAsia="Cambria" w:cs="Cambria"/>
            <w:b w:val="false"/>
            <w:bCs w:val="false"/>
            <w:i w:val="false"/>
            <w:iCs w:val="false"/>
            <w:color w:val="0563C1"/>
            <w:sz w:val="22"/>
            <w:szCs w:val="22"/>
            <w:u w:val="single"/>
          </w:rPr>
          <w:t>studyinthestates.dhs.gov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OPT, STEM-OPT, Statuswechsel, H-1B (</w:t>
      </w:r>
      <w:hyperlink r:id="rId81">
        <w:r>
          <w:rPr>
            <w:rStyle w:val="ListLabel113"/>
            <w:rFonts w:eastAsia="Cambria" w:cs="Cambria"/>
            <w:b w:val="false"/>
            <w:bCs w:val="false"/>
            <w:i w:val="false"/>
            <w:iCs w:val="false"/>
            <w:color w:val="0563C1"/>
            <w:sz w:val="22"/>
            <w:szCs w:val="22"/>
            <w:u w:val="single"/>
          </w:rPr>
          <w:t>uscis.gov/working-in-the-united-states/students-and-exchange-visitors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w:t>
      </w:r>
      <w:hyperlink r:id="rId82">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I-901 (</w:t>
      </w:r>
      <w:hyperlink r:id="rId83">
        <w:r>
          <w:rPr>
            <w:rStyle w:val="ListLabel113"/>
            <w:rFonts w:eastAsia="Cambria" w:cs="Cambria"/>
            <w:b w:val="false"/>
            <w:bCs w:val="false"/>
            <w:i w:val="false"/>
            <w:iCs w:val="false"/>
            <w:color w:val="0563C1"/>
            <w:sz w:val="22"/>
            <w:szCs w:val="22"/>
            <w:u w:val="single"/>
          </w:rPr>
          <w:t>ice.gov/sevis/i901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Studentenvisum, Termine (</w:t>
      </w:r>
      <w:hyperlink r:id="rId84">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Steuern für ausländische Studierende (</w:t>
      </w:r>
      <w:hyperlink r:id="rId85">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und Fulbright Deutschland — Stipendien (</w:t>
      </w:r>
      <w:hyperlink r:id="rId86">
        <w:r>
          <w:rPr>
            <w:rStyle w:val="ListLabel113"/>
            <w:rFonts w:eastAsia="Cambria" w:cs="Cambria"/>
            <w:b w:val="false"/>
            <w:bCs w:val="false"/>
            <w:i w:val="false"/>
            <w:iCs w:val="false"/>
            <w:color w:val="0563C1"/>
            <w:sz w:val="22"/>
            <w:szCs w:val="22"/>
            <w:u w:val="single"/>
          </w:rPr>
          <w:t>daad.de</w:t>
        </w:r>
      </w:hyperlink>
      <w:r>
        <w:rPr>
          <w:rFonts w:eastAsia="Cambria" w:cs="Cambria"/>
          <w:b w:val="false"/>
          <w:bCs w:val="false"/>
          <w:i w:val="false"/>
          <w:iCs w:val="false"/>
          <w:sz w:val="22"/>
          <w:szCs w:val="22"/>
        </w:rPr>
        <w:t xml:space="preserve">, </w:t>
      </w:r>
      <w:hyperlink r:id="rId87">
        <w:r>
          <w:rPr>
            <w:rStyle w:val="ListLabel113"/>
            <w:rFonts w:eastAsia="Cambria" w:cs="Cambria"/>
            <w:b w:val="false"/>
            <w:bCs w:val="false"/>
            <w:i w:val="false"/>
            <w:iCs w:val="false"/>
            <w:color w:val="0563C1"/>
            <w:sz w:val="22"/>
            <w:szCs w:val="22"/>
            <w:u w:val="single"/>
          </w:rPr>
          <w:t>fulbright.de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Doors (IIE) — Zahlen internationaler Studierender (</w:t>
      </w:r>
      <w:hyperlink r:id="rId88">
        <w:r>
          <w:rPr>
            <w:rStyle w:val="ListLabel113"/>
            <w:rFonts w:eastAsia="Cambria" w:cs="Cambria"/>
            <w:b w:val="false"/>
            <w:bCs w:val="false"/>
            <w:i w:val="false"/>
            <w:iCs w:val="false"/>
            <w:color w:val="0563C1"/>
            <w:sz w:val="22"/>
            <w:szCs w:val="22"/>
            <w:u w:val="single"/>
          </w:rPr>
          <w:t>opendoorsdata.org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 September 2026). Diese Angaben ändern sich schnell: Berufung gegen den Stopp der Aufenthaltsdauer-Regel, OPT-Neufassung und OPT-Gebühr, CPT-Leitlinien des SEVP, die 100.000-$-Proklamation (bis 21. September 2027) und der Entwurf über 103.265 $, USCIS-Gebühren, Stipendienraten und -fristen, H-1B-Registrierung im März 2027. Prüfe vor jeder Entscheidung die offiziellen Seiten und sprich mit deinem DSO.</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7" w:name="__RefHeading___Toc56446_3457424410"/>
      <w:bookmarkStart w:id="28" w:name="k9"/>
      <w:bookmarkEnd w:id="27"/>
      <w:r>
        <w:rPr>
          <w:rFonts w:eastAsia="Amazon Ember" w:cs="Amazon Ember" w:ascii="Amazon Ember" w:hAnsi="Amazon Ember"/>
          <w:b/>
          <w:bCs/>
          <w:color w:val="0000FF"/>
          <w:sz w:val="36"/>
          <w:szCs w:val="36"/>
        </w:rPr>
        <w:t>Kapitel 9: Weitere Wege: L-1, O-1, E-2, J-1, Lotterie, Heirat, Selbständigkeit</w:t>
      </w:r>
      <w:bookmarkEnd w:id="28"/>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L-1 ist für Beschäftigte internationaler Konzerne oft der direkteste Weg: keine Lotterie, keine Quote, der Partner darf arbeiten. Voraussetzung ist ein Jahr im Konzern im Ausland.</w:t>
            </w:r>
          </w:p>
          <w:p>
            <w:pPr>
              <w:pStyle w:val="ListParagraph"/>
              <w:numPr>
                <w:ilvl w:val="0"/>
                <w:numId w:val="1"/>
              </w:numPr>
              <w:spacing w:lineRule="exact" w:line="264" w:before="0" w:after="50"/>
              <w:rPr/>
            </w:pPr>
            <w:r>
              <w:rPr>
                <w:rFonts w:eastAsia="Cambria" w:cs="Cambria"/>
                <w:b w:val="false"/>
                <w:bCs w:val="false"/>
                <w:i w:val="false"/>
                <w:iCs w:val="false"/>
                <w:sz w:val="20"/>
                <w:szCs w:val="20"/>
              </w:rPr>
              <w:t>O-1 (Spitzenleistung) und E-2 (eigene Investition; Deutschland ist Vertragsstaat) sind Nischenwege mit hoher Beweislast, passend nur, wenn du die Kriterien wirklich erfüllst.</w:t>
            </w:r>
          </w:p>
          <w:p>
            <w:pPr>
              <w:pStyle w:val="ListParagraph"/>
              <w:numPr>
                <w:ilvl w:val="0"/>
                <w:numId w:val="1"/>
              </w:numPr>
              <w:spacing w:lineRule="exact" w:line="264" w:before="0" w:after="50"/>
              <w:rPr/>
            </w:pPr>
            <w:r>
              <w:rPr>
                <w:rFonts w:eastAsia="Cambria" w:cs="Cambria"/>
                <w:b w:val="false"/>
                <w:bCs w:val="false"/>
                <w:i w:val="false"/>
                <w:iCs w:val="false"/>
                <w:sz w:val="20"/>
                <w:szCs w:val="20"/>
              </w:rPr>
              <w:t>Das J-1 ist ein Austauschprogramm auf Zeit, kein Einwanderungsweg; die Zwei-Jahres-Regel kann den späteren Wechsel in ein Arbeitsvisum sperren.</w:t>
            </w:r>
          </w:p>
          <w:p>
            <w:pPr>
              <w:pStyle w:val="ListParagraph"/>
              <w:numPr>
                <w:ilvl w:val="0"/>
                <w:numId w:val="1"/>
              </w:numPr>
              <w:spacing w:lineRule="exact" w:line="264" w:before="0" w:after="50"/>
              <w:rPr/>
            </w:pPr>
            <w:r>
              <w:rPr>
                <w:rFonts w:eastAsia="Cambria" w:cs="Cambria"/>
                <w:b w:val="false"/>
                <w:bCs w:val="false"/>
                <w:i w:val="false"/>
                <w:iCs w:val="false"/>
                <w:sz w:val="20"/>
                <w:szCs w:val="20"/>
              </w:rPr>
              <w:t>ESTA und B-1 erlauben Meetings, Kundenbesuche und Vorstellungsgespräche, aber keine Arbeit – auch nicht am Laptop für den deutschen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Lotterie, Heirat, EB-5 und Gold Card führen direkt zur Green Card, sind aber schlecht planbar, an Bedingungen geknüpft oder sehr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Ein Visum für Freiberufler oder digitale Nomaden gibt es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Begriffe vorab, die fast alle Neulinge verwechseln: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das Einreisedokument im Pass, ausgestellt vom Konsulat.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ist die Aufenthaltserlaubnis nach der Einreise, dokumentiert im Formular I-94, dem elektronischen Einreisenachweis. Die meisten Wege dieses Kapitels führen in einen zeitlich begrenzten Status (</w:t>
      </w:r>
      <w:r>
        <w:rPr>
          <w:rFonts w:eastAsia="Cambria" w:cs="Cambria"/>
          <w:b w:val="false"/>
          <w:bCs w:val="false"/>
          <w:i/>
          <w:iCs/>
          <w:sz w:val="22"/>
          <w:szCs w:val="22"/>
        </w:rPr>
        <w:t>Nonimmigrant</w:t>
      </w:r>
      <w:r>
        <w:rPr>
          <w:rFonts w:eastAsia="Cambria" w:cs="Cambria"/>
          <w:b w:val="false"/>
          <w:bCs w:val="false"/>
          <w:i w:val="false"/>
          <w:iCs w:val="false"/>
          <w:sz w:val="22"/>
          <w:szCs w:val="22"/>
        </w:rPr>
        <w:t>, Nichteinwanderer); nur Heirat, Lotterie und EB-5 führen unmittelbar zur Green Card. Die erste Tabelle zeigt, für wen welcher Weg gedacht ist, die zweite, was aus Partner und Green Card wird:</w:t>
      </w:r>
    </w:p>
    <w:tbl>
      <w:tblPr>
        <w:tblW w:w="6480" w:type="dxa"/>
        <w:jc w:val="left"/>
        <w:tblInd w:w="0" w:type="dxa"/>
        <w:tblLayout w:type="fixed"/>
        <w:tblCellMar>
          <w:top w:w="50" w:type="dxa"/>
          <w:left w:w="80" w:type="dxa"/>
          <w:bottom w:w="50" w:type="dxa"/>
          <w:right w:w="80" w:type="dxa"/>
        </w:tblCellMar>
      </w:tblPr>
      <w:tblGrid>
        <w:gridCol w:w="1480"/>
        <w:gridCol w:w="2989"/>
        <w:gridCol w:w="2011"/>
      </w:tblGrid>
      <w:tr>
        <w:trPr>
          <w:tblHeader w:val="true"/>
          <w:cantSplit w:val="true"/>
        </w:trPr>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9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20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Konzernbeschäftigte mit einem Jahr im Ausland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Personen mit außergewöhnlichen Leistungen im Fach</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jährlich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 und Gründer aus dem Vertragsstaat Deutschland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Praktikanten, Au-pairs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Programm 12 Monate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Besuch und Geschäftstermine</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keine Arbeit</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eines US-Bürgers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EB-5</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Losglück; Investoren ab 800.000 $</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467"/>
        <w:gridCol w:w="2426"/>
        <w:gridCol w:w="2587"/>
      </w:tblGrid>
      <w:tr>
        <w:trPr>
          <w:tblHeader w:val="true"/>
          <w:cantSplit w:val="true"/>
        </w:trPr>
        <w:tc>
          <w:tcPr>
            <w:tcW w:w="1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4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2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Manager oft über EB-1C, sonst PERM</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Eigener Antrag nötig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bei jedem Arbeitgeber</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(J-2)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Zwei-Jahres-Regel prüfen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Lotterie, EB-5</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Green Card ja</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Green Card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für alle Nichteinwanderervisa: die Visa Integrity Fee von 250 $, bisher uneinheitlich erhoben, und die Prüfung deiner Online-Profile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dieser Wege verlangt eine Eintrittskarte: ein Jahr im Konzern, eine Akte voller Belege, Kapital oder einen Programmplatz. Prüfe zuerst, welche du schon hast, und erst danach, welches Visum dir gefällt.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L-1: die Versetzung im Konzern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keinen Treffer in der H-1B-Lotterie hat, hat keine Chance mehr auf ein Arbeitsvisum. Tatsächlich ist die Lotterie nur eine von mehreren Türen. Der L-1 (</w:t>
      </w:r>
      <w:r>
        <w:rPr>
          <w:rFonts w:eastAsia="Cambria" w:cs="Cambria"/>
          <w:b w:val="false"/>
          <w:bCs w:val="false"/>
          <w:i/>
          <w:iCs/>
          <w:sz w:val="22"/>
          <w:szCs w:val="22"/>
        </w:rPr>
        <w:t>Intracompany Transferee</w:t>
      </w:r>
      <w:r>
        <w:rPr>
          <w:rFonts w:eastAsia="Cambria" w:cs="Cambria"/>
          <w:b w:val="false"/>
          <w:bCs w:val="false"/>
          <w:i w:val="false"/>
          <w:iCs w:val="false"/>
          <w:sz w:val="22"/>
          <w:szCs w:val="22"/>
        </w:rPr>
        <w:t>, konzerninterne Versetzung) ist neben dem H-1B der zweite große Arbeitgeberweg. Für Beschäftigte internationaler Konzerne ist er oft der bessere: keine Registrierung, keine Lotterie, keine Jahresquote. Auch die 100.000-$-Zahlung, die die H-1B-Proklamation für Anträge aus dem Ausland vorsieht, betrifft ihn nicht (Stand: September 2026;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Drei Voraussetzungen müssen stimmen: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 Arbeitgeber in Deutschland und das US-Unternehmen gehören zur selben Gruppe: Mutter, Tochter, Zweigniederlassung oder Schwestergesellschaft.</w:t>
      </w:r>
    </w:p>
    <w:p>
      <w:pPr>
        <w:pStyle w:val="ListParagraph"/>
        <w:numPr>
          <w:ilvl w:val="0"/>
          <w:numId w:val="1"/>
        </w:numPr>
        <w:spacing w:lineRule="exact" w:line="288" w:before="0" w:after="60"/>
        <w:rPr/>
      </w:pPr>
      <w:r>
        <w:rPr>
          <w:rFonts w:eastAsia="Cambria" w:cs="Cambria"/>
          <w:b w:val="false"/>
          <w:bCs w:val="false"/>
          <w:i w:val="false"/>
          <w:iCs w:val="false"/>
          <w:sz w:val="22"/>
          <w:szCs w:val="22"/>
        </w:rPr>
        <w:t>Du warst in den letzten drei Jahren mindestens ein Jahr ununterbrochen bei einem Konzernunternehmen im Ausland beschäftigt.</w:t>
      </w:r>
    </w:p>
    <w:p>
      <w:pPr>
        <w:pStyle w:val="ListParagraph"/>
        <w:numPr>
          <w:ilvl w:val="0"/>
          <w:numId w:val="1"/>
        </w:numPr>
        <w:spacing w:lineRule="exact" w:line="288" w:before="0" w:after="60"/>
        <w:rPr/>
      </w:pPr>
      <w:r>
        <w:rPr>
          <w:rFonts w:eastAsia="Cambria" w:cs="Cambria"/>
          <w:b w:val="false"/>
          <w:bCs w:val="false"/>
          <w:i w:val="false"/>
          <w:iCs w:val="false"/>
          <w:sz w:val="22"/>
          <w:szCs w:val="22"/>
        </w:rPr>
        <w:t>Du wirst in den USA als Führungskraft oder Manager (L-1A) oder mit Spezialwissen (</w:t>
      </w:r>
      <w:r>
        <w:rPr>
          <w:rFonts w:eastAsia="Cambria" w:cs="Cambria"/>
          <w:b w:val="false"/>
          <w:bCs w:val="false"/>
          <w:i/>
          <w:iCs/>
          <w:sz w:val="22"/>
          <w:szCs w:val="22"/>
        </w:rPr>
        <w:t>Specialized Knowledge</w:t>
      </w:r>
      <w:r>
        <w:rPr>
          <w:rFonts w:eastAsia="Cambria" w:cs="Cambria"/>
          <w:b w:val="false"/>
          <w:bCs w:val="false"/>
          <w:i w:val="false"/>
          <w:iCs w:val="false"/>
          <w:sz w:val="22"/>
          <w:szCs w:val="22"/>
        </w:rPr>
        <w:t>, L-1B) eingesetzt. Spezialwissen heißt: besondere Kenntnisse über Produkte, Verfahren oder Prozesse des Unternehmens, nicht schlicht „ich bin gut in meinem Job“.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Erstzulassung gilt bis zu drei Jahre, für ein neu gegründetes US-Büro nur ein Jahr. Verlängert wird in Zwei-Jahres-Schritten, insgesamt höchstens sieben Jahre beim L-1A und fünf Jahre beim L-1B. Große Konzerne besitzen mitunter eine Sammelgenehmigung (</w:t>
      </w:r>
      <w:r>
        <w:rPr>
          <w:rFonts w:eastAsia="Cambria" w:cs="Cambria"/>
          <w:b w:val="false"/>
          <w:bCs w:val="false"/>
          <w:i/>
          <w:iCs/>
          <w:sz w:val="22"/>
          <w:szCs w:val="22"/>
        </w:rPr>
        <w:t>Blanket L</w:t>
      </w:r>
      <w:r>
        <w:rPr>
          <w:rFonts w:eastAsia="Cambria" w:cs="Cambria"/>
          <w:b w:val="false"/>
          <w:bCs w:val="false"/>
          <w:i w:val="false"/>
          <w:iCs w:val="false"/>
          <w:sz w:val="22"/>
          <w:szCs w:val="22"/>
        </w:rPr>
        <w:t>): Das US-Büro besteht seit mindestens einem Jahr, die Gruppe hat mindestens drei Einheiten, und eines von drei Kriterien ist erfüllt (zehn L-Genehmigungen in zwölf Monaten, 25 Millionen $ US-Umsatz oder 1.000 US-Beschäftigte) – dann entfällt der Einzelantrag bei USCIS, der Konzern stellt das Formular I-129S aus, und du gehst damit zum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in der Regel der Arbeitgeber. Für den Antrag (</w:t>
      </w:r>
      <w:r>
        <w:rPr>
          <w:rFonts w:eastAsia="Cambria" w:cs="Cambria"/>
          <w:b w:val="false"/>
          <w:bCs w:val="false"/>
          <w:i/>
          <w:iCs/>
          <w:sz w:val="22"/>
          <w:szCs w:val="22"/>
        </w:rPr>
        <w:t>Petition</w:t>
      </w:r>
      <w:r>
        <w:rPr>
          <w:rFonts w:eastAsia="Cambria" w:cs="Cambria"/>
          <w:b w:val="false"/>
          <w:bCs w:val="false"/>
          <w:i w:val="false"/>
          <w:iCs w:val="false"/>
          <w:sz w:val="22"/>
          <w:szCs w:val="22"/>
        </w:rPr>
        <w:t>)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fallen 205 $ Konsulargebühr und die Visa Integrity Fee von 250 $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erhält den Status L-2 und darf ohne eigenen Antrag arbeiten; der I-94 genügt als Nachweis. Kinder unter 21 gehen zur Schule, dürfen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Wie beim H-1B schadet die Absicht, später die Green Card zu beantragen, nicht (</w:t>
      </w:r>
      <w:r>
        <w:rPr>
          <w:rFonts w:eastAsia="Cambria" w:cs="Cambria"/>
          <w:b w:val="false"/>
          <w:bCs w:val="false"/>
          <w:i/>
          <w:iCs/>
          <w:sz w:val="22"/>
          <w:szCs w:val="22"/>
        </w:rPr>
        <w:t>Dual Intent</w:t>
      </w:r>
      <w:r>
        <w:rPr>
          <w:rFonts w:eastAsia="Cambria" w:cs="Cambria"/>
          <w:b w:val="false"/>
          <w:bCs w:val="false"/>
          <w:i w:val="false"/>
          <w:iCs w:val="false"/>
          <w:sz w:val="22"/>
          <w:szCs w:val="22"/>
        </w:rPr>
        <w:t>); Manager und Führungskräfte kommen häufig über die Kategorie EB-1C ohne Arbeitsmarktprüfung zur Green Card, Spezialwissen-Fälle meist über das PERM-Verfahren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46, Prozessingenieur in einem Dresdner Halbleiterwerk, arbeitet seit sechs Jahren für einen Konzern, der auch im Großraum Phoenix fertigt. Dort soll er neue Prozesslinien einführen. Als ihm die Kanzlei am Telefon bestätigt, dass für den L-1 weder Registrierung noch Lotterie nötig sind, fragt Jan zweimal nach – nach den zwei erfolglosen H-1B-Anläufen eines Kollegen klingt „keine Lotterie“ fast zu einfach. Weil er besonderes Verfahrenswissen mitbringt, beantragt der Arbeitgeber den L-1B mit Premium Processing und trägt die USCIS-Gebühren von rund 2.485 $; Jan zahlt 205 $ Konsulargebühr. Laut Terminportalen lag der nächste freie Termin im September 2026 in Berlin bei etwa einem Monat, in Frankfurt bei zwei. Katrin (44), Physiotherapeutin, darf als L-2 sofort arbeiten, braucht aber eine Lizenz aus Arizona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Paul (15) besucht die High School. Der L-1B endet nach spätestens fünf Jahren; für ein Bleiben muss der Konzern das Green-Card-Verfahren früh anstoßen.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O-1: für herausragende Leistungen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O-1 richtet sich an Menschen, die in ihrem Fach zur kleinen Spitze gehören. Ein tüchtiger Ingenieur oder eine solide Entwicklerin ist noch kein O-1-Fall; es braucht Belege. Der O-1A gilt für Wissenschaft, Bildung, Wirtschaft und Sport, der O-1B für Kunst; in Film und Fernsehen ist der Maßstab „außergewöhnliche Leistung“, sonst „anhaltende nationale oder internationale Anerkennung“.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w:t>
      </w:r>
      <w:r>
        <w:rPr>
          <w:rFonts w:eastAsia="Cambria" w:cs="Cambria"/>
          <w:b w:val="false"/>
          <w:bCs w:val="false"/>
          <w:i/>
          <w:iCs/>
          <w:sz w:val="22"/>
          <w:szCs w:val="22"/>
        </w:rPr>
        <w:t>Advisory Opinion</w:t>
      </w:r>
      <w:r>
        <w:rPr>
          <w:rFonts w:eastAsia="Cambria" w:cs="Cambria"/>
          <w:b w:val="false"/>
          <w:bCs w:val="false"/>
          <w:i w:val="false"/>
          <w:iCs w:val="false"/>
          <w:sz w:val="22"/>
          <w:szCs w:val="22"/>
        </w:rPr>
        <w:t>) einer Fachorganisation, ein Vertrag oder eine Tätigkeitsbeschreibung und ein Reiseplan. Den Antrag stellt ein US-Arbeitgeber oder ein US-Agent, mindestens 45 Tage vor Beginn; du selbst kannst ihn nicht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Statistik klingt freundlich: Im Fiskaljahr 2025 genehmigte USCIS rund 94 % der abgeschlossenen O-Anträge (29.733 von 31.681; Kanzleiauswertung von USCIS-Daten, inklusive O-2-Begleitpersonal) – das zeigt nur, dass gut vorbereitete Akten meist durchgehen, über deine Chancen bei knapp erfüllten Kriterien sagt es wenig.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Partner und Kinder unter 21 erhalten den Status O-3, dürfen studieren oder zur Schule gehen,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die Kriterien wirklich erfüllt, kann oft auch eine Green Card in den Kategorien für Personen mit außergewöhnlichen Fähigkeiten beantragen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Studierende, die in der H-1B-Lotterie scheitern, ist der O-1 ein möglicher Plan B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E-1 und E-2: Handel und Investition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ist Vertragsstaat der E-Visa, ein echter Vorteil: Deutsche können als Händler (</w:t>
      </w:r>
      <w:r>
        <w:rPr>
          <w:rFonts w:eastAsia="Cambria" w:cs="Cambria"/>
          <w:b w:val="false"/>
          <w:bCs w:val="false"/>
          <w:i/>
          <w:iCs/>
          <w:sz w:val="22"/>
          <w:szCs w:val="22"/>
        </w:rPr>
        <w:t>Treaty Trader</w:t>
      </w:r>
      <w:r>
        <w:rPr>
          <w:rFonts w:eastAsia="Cambria" w:cs="Cambria"/>
          <w:b w:val="false"/>
          <w:bCs w:val="false"/>
          <w:i w:val="false"/>
          <w:iCs w:val="false"/>
          <w:sz w:val="22"/>
          <w:szCs w:val="22"/>
        </w:rPr>
        <w:t>, E-1) oder Investor (</w:t>
      </w:r>
      <w:r>
        <w:rPr>
          <w:rFonts w:eastAsia="Cambria" w:cs="Cambria"/>
          <w:b w:val="false"/>
          <w:bCs w:val="false"/>
          <w:i/>
          <w:iCs/>
          <w:sz w:val="22"/>
          <w:szCs w:val="22"/>
        </w:rPr>
        <w:t>Treaty Investor</w:t>
      </w:r>
      <w:r>
        <w:rPr>
          <w:rFonts w:eastAsia="Cambria" w:cs="Cambria"/>
          <w:b w:val="false"/>
          <w:bCs w:val="false"/>
          <w:i w:val="false"/>
          <w:iCs w:val="false"/>
          <w:sz w:val="22"/>
          <w:szCs w:val="22"/>
        </w:rPr>
        <w:t>, E-2) einreisen, ohne Lotterie und ohne sponsernden Arbeitgeber. Der E-1 setzt laufenden Handel voraus, der überwiegend – zu mehr als 50 % des Handelsvolumens – zwischen den USA und Deutschland stattfindet. Häufiger ist der E-2, um den es hier geht.</w:t>
      </w:r>
    </w:p>
    <w:p>
      <w:pPr>
        <w:pStyle w:val="ListParagraph"/>
        <w:numPr>
          <w:ilvl w:val="0"/>
          <w:numId w:val="1"/>
        </w:numPr>
        <w:spacing w:lineRule="exact" w:line="288" w:before="0" w:after="60"/>
        <w:rPr/>
      </w:pPr>
      <w:r>
        <w:rPr>
          <w:rFonts w:eastAsia="Cambria" w:cs="Cambria"/>
          <w:b/>
          <w:bCs/>
          <w:i w:val="false"/>
          <w:iCs w:val="false"/>
          <w:sz w:val="22"/>
          <w:szCs w:val="22"/>
        </w:rPr>
        <w:t>Staatsangehörigkeit und Kontrolle:</w:t>
      </w:r>
      <w:r>
        <w:rPr>
          <w:rFonts w:eastAsia="Cambria" w:cs="Cambria"/>
          <w:b w:val="false"/>
          <w:bCs w:val="false"/>
          <w:i w:val="false"/>
          <w:iCs w:val="false"/>
          <w:sz w:val="22"/>
          <w:szCs w:val="22"/>
        </w:rPr>
        <w:t xml:space="preserve"> Du bist deutsche Staatsangehörige oder deutscher Staatsangehöriger, besitzt mindestens die Hälfte des Unternehmens oder kontrollierst es operativ, und du entwickelst und leitest es selbst.</w:t>
      </w:r>
    </w:p>
    <w:p>
      <w:pPr>
        <w:pStyle w:val="ListParagraph"/>
        <w:numPr>
          <w:ilvl w:val="0"/>
          <w:numId w:val="1"/>
        </w:numPr>
        <w:spacing w:lineRule="exact" w:line="288" w:before="0" w:after="60"/>
        <w:rPr/>
      </w:pPr>
      <w:r>
        <w:rPr>
          <w:rFonts w:eastAsia="Cambria" w:cs="Cambria"/>
          <w:b/>
          <w:bCs/>
          <w:i w:val="false"/>
          <w:iCs w:val="false"/>
          <w:sz w:val="22"/>
          <w:szCs w:val="22"/>
        </w:rPr>
        <w:t>Investition:</w:t>
      </w:r>
      <w:r>
        <w:rPr>
          <w:rFonts w:eastAsia="Cambria" w:cs="Cambria"/>
          <w:b w:val="false"/>
          <w:bCs w:val="false"/>
          <w:i w:val="false"/>
          <w:iCs w:val="false"/>
          <w:sz w:val="22"/>
          <w:szCs w:val="22"/>
        </w:rPr>
        <w:t xml:space="preserve"> Einen gesetzlichen Mindestbetrag gibt es nicht. Verlangt wird eine „wesentliche“ (</w:t>
      </w:r>
      <w:r>
        <w:rPr>
          <w:rFonts w:eastAsia="Cambria" w:cs="Cambria"/>
          <w:b w:val="false"/>
          <w:bCs w:val="false"/>
          <w:i/>
          <w:iCs/>
          <w:sz w:val="22"/>
          <w:szCs w:val="22"/>
        </w:rPr>
        <w:t>substantial</w:t>
      </w:r>
      <w:r>
        <w:rPr>
          <w:rFonts w:eastAsia="Cambria" w:cs="Cambria"/>
          <w:b w:val="false"/>
          <w:bCs w:val="false"/>
          <w:i w:val="false"/>
          <w:iCs w:val="false"/>
          <w:sz w:val="22"/>
          <w:szCs w:val="22"/>
        </w:rPr>
        <w:t>) Summe im Verhältnis zu den Gesamtkosten des Unternehmens: Je billiger das Geschäft, desto größer muss der eingesetzte Anteil sein. Kanzleien nennen für kleine Betriebe häufig Beträge ab etwa 50.000–100.000 $; das ist Erfahrungswert, keine Regel.</w:t>
      </w:r>
    </w:p>
    <w:p>
      <w:pPr>
        <w:pStyle w:val="ListParagraph"/>
        <w:numPr>
          <w:ilvl w:val="0"/>
          <w:numId w:val="1"/>
        </w:numPr>
        <w:spacing w:lineRule="exact" w:line="288" w:before="0" w:after="60"/>
        <w:rPr/>
      </w:pPr>
      <w:r>
        <w:rPr>
          <w:rFonts w:eastAsia="Cambria" w:cs="Cambria"/>
          <w:b/>
          <w:bCs/>
          <w:i w:val="false"/>
          <w:iCs w:val="false"/>
          <w:sz w:val="22"/>
          <w:szCs w:val="22"/>
        </w:rPr>
        <w:t>Unternehmen:</w:t>
      </w:r>
      <w:r>
        <w:rPr>
          <w:rFonts w:eastAsia="Cambria" w:cs="Cambria"/>
          <w:b w:val="false"/>
          <w:bCs w:val="false"/>
          <w:i w:val="false"/>
          <w:iCs w:val="false"/>
          <w:sz w:val="22"/>
          <w:szCs w:val="22"/>
        </w:rPr>
        <w:t xml:space="preserve"> Es muss echt sein und tatsächlich laufen. Es darf nicht „marginal“ sein, also mehr abwerfen als den knappen Lebensunterhalt der Familie. Das Geld muss bereits im Unternehmen stecken und ein Verlustrisiko tragen (</w:t>
      </w:r>
      <w:r>
        <w:rPr>
          <w:rFonts w:eastAsia="Cambria" w:cs="Cambria"/>
          <w:b w:val="false"/>
          <w:bCs w:val="false"/>
          <w:i/>
          <w:iCs/>
          <w:sz w:val="22"/>
          <w:szCs w:val="22"/>
        </w:rPr>
        <w:t>at risk</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Mitarbeiter aus Deutschland:</w:t>
      </w:r>
      <w:r>
        <w:rPr>
          <w:rFonts w:eastAsia="Cambria" w:cs="Cambria"/>
          <w:b w:val="false"/>
          <w:bCs w:val="false"/>
          <w:i w:val="false"/>
          <w:iCs w:val="false"/>
          <w:sz w:val="22"/>
          <w:szCs w:val="22"/>
        </w:rPr>
        <w:t xml:space="preserve"> Angestellte müssen ebenfalls deutsche Staatsangehörige sein und Führungs- oder Spezialaufgaben erfüllen.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 gilt zwei Jahre und lässt sich in Zwei-Jahres-Schritten unbegrenzt verlängern, solange das Unternehmen die Bedingungen erfüllt. Das Visum im Pass kann länger gültig sein als ein einzelner Aufenthalt (Reziprozitätstabelle auf travel.state.gov). Die Konsulargebühr für E-Visa beträgt 315 $, dazu die Visa Integrity Fee von 250 $; wer den Status im Inland per Formular I-129 beantragt, zahlt an USCIS 1.015 $ (kleine Betriebe 510 $). Nach Kanzleiangaben bearbeitet in Deutschland allein das Generalkonsulat Frankfurt E-Visa (prüfe das auf de.usembassy.gov). Ein Anwalt ist hier kein Luxus: Businessplan, Investitionsnachweise und die Herkunft des Geldes müssen lückenlos belegt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darf ohne eigenen Antrag bei jedem Arbeitgeber arbeiten; Kinder unter 21 dürfen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E-2 ist keine Green-Card-Schiene: Er setzt voraus, dass du nur vorübergehend bleibst, und die Investition kommt nicht zurück, wenn das Geschäft scheitert. Plane die Green Card über einen eigenen Weg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und behandle das Geld als Risikokapital, nicht als Guthaben, das du jederzeit zurückholst.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Scholz (fiktiv), 39, führt in Deutschland eine Designagentur. Mit Tobias (41, Projektleiter) und den Kindern Ida (8) und Ben (3) will sie in den Raum Raleigh–Durham ziehen. Sie gründet eine US-Tochter in North Carolina, die ihr zu 100 % gehört, und investiert 150.000 $ in Büro, Ausstattung, Software und die ersten Gehälter. Der Businessplan sieht drei Stellen für US-Beschäftigte binnen zwei Jahren vor; die Herkunft des Geldes belegt sie mit Kontoauszügen. Als die Überweisung der ersten Tranche bestätigt ist, klebt sie den Grundriss des künftigen Büros in Raleigh an die Küchenwand in Deutschland – von da an ist das Projekt für die ganze Familie sichtbar, nicht nur ein Ordner voller Formulare. Tobias darf als E-2-Partner ohne eigenen Antrag arbeiten, etwa bei einer US-Agentur. Ida geht zur Schule, Ben in die Vorschule. Nach zwei Jahren beantragt Miriam die Verlängerung; bis dahin muss die Firma tatsächlich laufen. Zur Green Card führt der E-2 nicht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J-1: Austausch auf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J-1 (</w:t>
      </w:r>
      <w:r>
        <w:rPr>
          <w:rFonts w:eastAsia="Cambria" w:cs="Cambria"/>
          <w:b w:val="false"/>
          <w:bCs w:val="false"/>
          <w:i/>
          <w:iCs/>
          <w:sz w:val="22"/>
          <w:szCs w:val="22"/>
        </w:rPr>
        <w:t>Exchange Visitor</w:t>
      </w:r>
      <w:r>
        <w:rPr>
          <w:rFonts w:eastAsia="Cambria" w:cs="Cambria"/>
          <w:b w:val="false"/>
          <w:bCs w:val="false"/>
          <w:i w:val="false"/>
          <w:iCs w:val="false"/>
          <w:sz w:val="22"/>
          <w:szCs w:val="22"/>
        </w:rPr>
        <w:t>, Austauschbesucher) ist ein Programmvisum: Ein vom Außenministerium (State Department) zugelassener Sponsor – Hochschule, Forschungsinstitut oder Vermittlungsorganisation – nimmt dich in sein Programm auf und stellt das Formular DS-2019 aus, mit dem du das Visum beantragst. Die häufigsten Programme für Deutsche:</w:t>
      </w:r>
    </w:p>
    <w:tbl>
      <w:tblPr>
        <w:tblW w:w="6480" w:type="dxa"/>
        <w:jc w:val="left"/>
        <w:tblInd w:w="0" w:type="dxa"/>
        <w:tblLayout w:type="fixed"/>
        <w:tblCellMar>
          <w:top w:w="50" w:type="dxa"/>
          <w:left w:w="80" w:type="dxa"/>
          <w:bottom w:w="50" w:type="dxa"/>
          <w:right w:w="80" w:type="dxa"/>
        </w:tblCellMar>
      </w:tblPr>
      <w:tblGrid>
        <w:gridCol w:w="1962"/>
        <w:gridCol w:w="1489"/>
        <w:gridCol w:w="3029"/>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Programm</w:t>
            </w:r>
          </w:p>
        </w:tc>
        <w:tc>
          <w:tcPr>
            <w:tcW w:w="14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30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5 Jahre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einer US-Einrichtung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Trainee</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 und ein Jahr Erfahrung oder fünf Jahre Berufserfahrung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 (Praktikum)</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Ausland eingeschrieben oder Abschluss vor weniger als zwölf Monaten</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plus 6, 9 oder 12</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26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Für Studierende und Promovierende gilt meist der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Forschender an eine Hochschule kommt, kann später oft ohne Lotterie in einen H-1B derselben Einrichtung wechseln, denn Hochschulen sind von der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vorausgesetzt, die Zwei-Jahres-Regel steht nicht im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Falle steht in Paragraf 212(e) des Einwanderungsgesetzes, der Zwei-Jahres-Regel (</w:t>
            </w:r>
            <w:r>
              <w:rPr>
                <w:rFonts w:eastAsia="Cambria" w:cs="Cambria"/>
                <w:b w:val="false"/>
                <w:bCs w:val="false"/>
                <w:i/>
                <w:iCs/>
                <w:sz w:val="20"/>
                <w:szCs w:val="20"/>
              </w:rPr>
              <w:t>Two-Year Home Residency Requirement</w:t>
            </w:r>
            <w:r>
              <w:rPr>
                <w:rFonts w:eastAsia="Cambria" w:cs="Cambria"/>
                <w:b w:val="false"/>
                <w:bCs w:val="false"/>
                <w:i w:val="false"/>
                <w:iCs w:val="false"/>
                <w:sz w:val="20"/>
                <w:szCs w:val="20"/>
              </w:rPr>
              <w:t>): Wer ihr unterliegt, muss zwei Jahre im Heimatland gelebt oder einen Verzicht (</w:t>
            </w:r>
            <w:r>
              <w:rPr>
                <w:rFonts w:eastAsia="Cambria" w:cs="Cambria"/>
                <w:b w:val="false"/>
                <w:bCs w:val="false"/>
                <w:i/>
                <w:iCs/>
                <w:sz w:val="20"/>
                <w:szCs w:val="20"/>
              </w:rPr>
              <w:t>Waiver</w:t>
            </w:r>
            <w:r>
              <w:rPr>
                <w:rFonts w:eastAsia="Cambria" w:cs="Cambria"/>
                <w:b w:val="false"/>
                <w:bCs w:val="false"/>
                <w:i w:val="false"/>
                <w:iCs w:val="false"/>
                <w:sz w:val="20"/>
                <w:szCs w:val="20"/>
              </w:rPr>
              <w:t>)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rPr>
                <w:rFonts w:eastAsia="Cambria" w:cs="Cambria"/>
                <w:b w:val="false"/>
                <w:bCs w:val="false"/>
                <w:i/>
                <w:iCs/>
                <w:sz w:val="20"/>
                <w:szCs w:val="20"/>
              </w:rPr>
              <w:t>No Objection Letter</w:t>
            </w:r>
            <w:r>
              <w:rPr>
                <w:rFonts w:eastAsia="Cambria" w:cs="Cambria"/>
                <w:b w:val="false"/>
                <w:bCs w:val="false"/>
                <w:i w:val="false"/>
                <w:iCs w:val="false"/>
                <w:sz w:val="20"/>
                <w:szCs w:val="20"/>
              </w:rPr>
              <w:t>). Frage den Sponsor vor der Zusage schriftlich, ob die Regel für dich gilt.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ESTA und B-1/B-2: was erlaubt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reisen für Geschäft oder Tourismus bis zu 90 Tage ohne Visum ein (</w:t>
      </w:r>
      <w:r>
        <w:rPr>
          <w:rFonts w:eastAsia="Cambria" w:cs="Cambria"/>
          <w:b w:val="false"/>
          <w:bCs w:val="false"/>
          <w:i/>
          <w:iCs/>
          <w:sz w:val="22"/>
          <w:szCs w:val="22"/>
        </w:rPr>
        <w:t>Visa Waiver Program</w:t>
      </w:r>
      <w:r>
        <w:rPr>
          <w:rFonts w:eastAsia="Cambria" w:cs="Cambria"/>
          <w:b w:val="false"/>
          <w:bCs w:val="false"/>
          <w:i w:val="false"/>
          <w:iCs w:val="false"/>
          <w:sz w:val="22"/>
          <w:szCs w:val="22"/>
        </w:rPr>
        <w:t>), mit einer Reisegenehmigung namens ESTA (</w:t>
      </w:r>
      <w:r>
        <w:rPr>
          <w:rFonts w:eastAsia="Cambria" w:cs="Cambria"/>
          <w:b w:val="false"/>
          <w:bCs w:val="false"/>
          <w:i/>
          <w:iCs/>
          <w:sz w:val="22"/>
          <w:szCs w:val="22"/>
        </w:rPr>
        <w:t>Electronic System for Travel Authorization</w:t>
      </w:r>
      <w:r>
        <w:rPr>
          <w:rFonts w:eastAsia="Cambria" w:cs="Cambria"/>
          <w:b w:val="false"/>
          <w:bCs w:val="false"/>
          <w:i w:val="false"/>
          <w:iCs w:val="false"/>
          <w:sz w:val="22"/>
          <w:szCs w:val="22"/>
        </w:rPr>
        <w:t>).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ESTA nur über die offizielle Seite esta.cbp.dhs.gov (40 $). Drittanbieter mit ähnlich klingenden Adressen verlangen Aufschläge für dasselbe Formular.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Erlaubt (B-1 und ESTA)</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Nicht erlaubt</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Meetings, Konferenzen, Messen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 Laptop für den deutschen Arbeitgeber arbeiten, auch remote</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Verträge verhandeln, Kunden treffen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 oder unbezahlte Mitarbeit in einer US-Firma</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Vorstellungsgespräche in den USA</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Probearbeiten, Praktikum, Einarbeitung</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Schulen, Städte besichtigen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Aufträge für US-Kunden ausführen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Maßstab ist die Vorschrift 22 CFR 41.31: Ausgeschlossen sind Beschäftigung vor Ort und Arbeit gegen Bezahlung (</w:t>
      </w:r>
      <w:r>
        <w:rPr>
          <w:rFonts w:eastAsia="Cambria" w:cs="Cambria"/>
          <w:b w:val="false"/>
          <w:bCs w:val="false"/>
          <w:i/>
          <w:iCs/>
          <w:sz w:val="22"/>
          <w:szCs w:val="22"/>
        </w:rPr>
        <w:t>local employment or labor for hire</w:t>
      </w:r>
      <w:r>
        <w:rPr>
          <w:rFonts w:eastAsia="Cambria" w:cs="Cambria"/>
          <w:b w:val="false"/>
          <w:bCs w:val="false"/>
          <w:i w:val="false"/>
          <w:iCs w:val="false"/>
          <w:sz w:val="22"/>
          <w:szCs w:val="22"/>
        </w:rPr>
        <w:t>),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w:t>
      </w:r>
      <w:r>
        <w:rPr>
          <w:rFonts w:eastAsia="Cambria" w:cs="Cambria"/>
          <w:b w:val="false"/>
          <w:bCs w:val="false"/>
          <w:i/>
          <w:iCs/>
          <w:sz w:val="22"/>
          <w:szCs w:val="22"/>
        </w:rPr>
        <w:t>Safe Harbor</w:t>
      </w:r>
      <w:r>
        <w:rPr>
          <w:rFonts w:eastAsia="Cambria" w:cs="Cambria"/>
          <w:b w:val="false"/>
          <w:bCs w:val="false"/>
          <w:i w:val="false"/>
          <w:iCs w:val="false"/>
          <w:sz w:val="22"/>
          <w:szCs w:val="22"/>
        </w:rPr>
        <w:t>);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auf ESTA oder B-1 kann zu Einreiseverweigerung, Visaentzug und Sperren für ESTA und spätere Visa führen. Wer sie bei einem späteren Antrag verschweigt, riskiert den Vorwurf der Falschangabe, mit möglicher Dauersperre – für den H-1B oder die Green Card der teuerste Fehler, den man vermeiden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Green-Card-Lotterie: Stand und Vorsicht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Diversity Visa Program</w:t>
      </w:r>
      <w:r>
        <w:rPr>
          <w:rFonts w:eastAsia="Cambria" w:cs="Cambria"/>
          <w:b w:val="false"/>
          <w:bCs w:val="false"/>
          <w:i w:val="false"/>
          <w:iCs w:val="false"/>
          <w:sz w:val="22"/>
          <w:szCs w:val="22"/>
        </w:rPr>
        <w:t xml:space="preserve"> verlost jährlich 55.000 Green Cards an Staatsangehörige von Ländern mit geringer Einwanderung in die USA. Deutsche waren zuletzt teilnahmeberechtigt: Deutschland stand nicht auf der Ausschlussliste für DV-2026. Voraussetzung ist ein Schulabschluss oder qualifizierte Berufserfahrung, die Chancen sind gering: Bei DV-2026 standen rund 20,8 Millionen Einträgen rund 129.500 Ausgewählte und 55.000 Visa gegenüber, ausgewählt wurden also gut 0,6 % der Einträge, und auch die Auswahl garantiert kein Visum. Der Stand am 20. September 2026:</w:t>
      </w:r>
    </w:p>
    <w:p>
      <w:pPr>
        <w:pStyle w:val="ListParagraph"/>
        <w:numPr>
          <w:ilvl w:val="0"/>
          <w:numId w:val="1"/>
        </w:numPr>
        <w:spacing w:lineRule="exact" w:line="288" w:before="0" w:after="60"/>
        <w:rPr/>
      </w:pPr>
      <w:r>
        <w:rPr>
          <w:rFonts w:eastAsia="Cambria" w:cs="Cambria"/>
          <w:b/>
          <w:bCs/>
          <w:i w:val="false"/>
          <w:iCs w:val="false"/>
          <w:sz w:val="22"/>
          <w:szCs w:val="22"/>
        </w:rPr>
        <w:t>DV-2027:</w:t>
      </w:r>
      <w:r>
        <w:rPr>
          <w:rFonts w:eastAsia="Cambria" w:cs="Cambria"/>
          <w:b w:val="false"/>
          <w:bCs w:val="false"/>
          <w:i w:val="false"/>
          <w:iCs w:val="false"/>
          <w:sz w:val="22"/>
          <w:szCs w:val="22"/>
        </w:rPr>
        <w:t xml:space="preserve"> Die Registrierung hat nie geöffnet. Das Außenministerium kündigte am 5. November 2025 an, den Start „so bald wie praktikabel“ bekanntzugeben; einen Termin gibt es nicht. Für DV-2028 ebenfalls nicht.</w:t>
      </w:r>
    </w:p>
    <w:p>
      <w:pPr>
        <w:pStyle w:val="ListParagraph"/>
        <w:numPr>
          <w:ilvl w:val="0"/>
          <w:numId w:val="1"/>
        </w:numPr>
        <w:spacing w:lineRule="exact" w:line="288" w:before="0" w:after="60"/>
        <w:rPr/>
      </w:pPr>
      <w:r>
        <w:rPr>
          <w:rFonts w:eastAsia="Cambria" w:cs="Cambria"/>
          <w:b/>
          <w:bCs/>
          <w:i w:val="false"/>
          <w:iCs w:val="false"/>
          <w:sz w:val="22"/>
          <w:szCs w:val="22"/>
        </w:rPr>
        <w:t>Neue Regeln:</w:t>
      </w:r>
      <w:r>
        <w:rPr>
          <w:rFonts w:eastAsia="Cambria" w:cs="Cambria"/>
          <w:b w:val="false"/>
          <w:bCs w:val="false"/>
          <w:i w:val="false"/>
          <w:iCs w:val="false"/>
          <w:sz w:val="22"/>
          <w:szCs w:val="22"/>
        </w:rPr>
        <w:t xml:space="preserve"> eine Registrierungsgebühr von 1 $ (Regel vom 16. September 2025) und ein Passscan (gültig seit 10. April 2026; nach Kanzleiangaben).</w:t>
      </w:r>
    </w:p>
    <w:p>
      <w:pPr>
        <w:pStyle w:val="ListParagraph"/>
        <w:numPr>
          <w:ilvl w:val="0"/>
          <w:numId w:val="1"/>
        </w:numPr>
        <w:spacing w:lineRule="exact" w:line="288" w:before="0" w:after="60"/>
        <w:rPr/>
      </w:pPr>
      <w:r>
        <w:rPr>
          <w:rFonts w:eastAsia="Cambria" w:cs="Cambria"/>
          <w:b/>
          <w:bCs/>
          <w:i w:val="false"/>
          <w:iCs w:val="false"/>
          <w:sz w:val="22"/>
          <w:szCs w:val="22"/>
        </w:rPr>
        <w:t>DV-2026:</w:t>
      </w:r>
      <w:r>
        <w:rPr>
          <w:rFonts w:eastAsia="Cambria" w:cs="Cambria"/>
          <w:b w:val="false"/>
          <w:bCs w:val="false"/>
          <w:i w:val="false"/>
          <w:iCs w:val="false"/>
          <w:sz w:val="22"/>
          <w:szCs w:val="22"/>
        </w:rPr>
        <w:t xml:space="preserve"> Die Visavergabe war seit Dezember 2025 ausgesetzt. Am 28. August 2026 hob ein Bundesgericht die Aussetzung per einstweiliger Verfügung auf; das Außenministerium meldete am 31. August 2026 die Wiederaufnahme. Das Programmjahr endet am 30. September 2026, nicht ausgestellte Visa verfallen dann.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Planungsgrundlage taugt die Lotterie unter diesen Umständen nicht. Öffnet die Registrierung wieder, ist die Teilnahme ein Lotterielos, kein Plan.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nur über dvprogram.state.gov an. US-Vertretungen warnen vor Betrügern, die eine Anmeldung zu DV-2027 anbieten, obwohl sie gar nicht geöffnet ist. Wer für „bessere Chancen“ oder ein „garantiertes“ Ergebnis Geld verlangt, gehört nicht zum offiziellen 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Heirat und Verlobtenvisum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mit einem US-Bürger oder einer US-Bürgerin ist ein echter Einwanderungsweg, aber keiner, den man sich zum Zweck der Einreise aussucht; eine Ehe nur für die Papiere ist strafbar. Es gibt zwei Routen (Green Card: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Rolle des Partners: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Verlobtenvisum K-1 (</w:t>
      </w:r>
      <w:r>
        <w:rPr>
          <w:rFonts w:eastAsia="Cambria" w:cs="Cambria"/>
          <w:b/>
          <w:bCs/>
          <w:i/>
          <w:iCs/>
          <w:sz w:val="22"/>
          <w:szCs w:val="22"/>
        </w:rPr>
        <w:t>Fiancé(e) Visa</w:t>
      </w:r>
      <w:r>
        <w:rPr>
          <w:rFonts w:eastAsia="Cambria" w:cs="Cambria"/>
          <w:b/>
          <w:bCs/>
          <w:i w:val="false"/>
          <w:iCs w:val="false"/>
          <w:sz w:val="22"/>
          <w:szCs w:val="22"/>
        </w:rPr>
        <w:t>):</w:t>
      </w:r>
      <w:r>
        <w:rPr>
          <w:rFonts w:eastAsia="Cambria" w:cs="Cambria"/>
          <w:b w:val="false"/>
          <w:bCs w:val="false"/>
          <w:i w:val="false"/>
          <w:iCs w:val="false"/>
          <w:sz w:val="22"/>
          <w:szCs w:val="22"/>
        </w:rPr>
        <w:t xml:space="preserve">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1.390 $ online). Kanzleiangaben für 2026: USCIS braucht für den Antrag rund ein Jahr, dazu einige Monate beim Konsulat.</w:t>
      </w:r>
    </w:p>
    <w:p>
      <w:pPr>
        <w:pStyle w:val="ListParagraph"/>
        <w:numPr>
          <w:ilvl w:val="0"/>
          <w:numId w:val="1"/>
        </w:numPr>
        <w:spacing w:lineRule="exact" w:line="288" w:before="0" w:after="60"/>
        <w:rPr/>
      </w:pPr>
      <w:r>
        <w:rPr>
          <w:rFonts w:eastAsia="Cambria" w:cs="Cambria"/>
          <w:b/>
          <w:bCs/>
          <w:i w:val="false"/>
          <w:iCs w:val="false"/>
          <w:sz w:val="22"/>
          <w:szCs w:val="22"/>
        </w:rPr>
        <w:t>Ehegattenvisum (IR-1 oder CR-1):</w:t>
      </w:r>
      <w:r>
        <w:rPr>
          <w:rFonts w:eastAsia="Cambria" w:cs="Cambria"/>
          <w:b w:val="false"/>
          <w:bCs w:val="false"/>
          <w:i w:val="false"/>
          <w:iCs w:val="false"/>
          <w:sz w:val="22"/>
          <w:szCs w:val="22"/>
        </w:rPr>
        <w:t xml:space="preserve">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Ist der Partner nur Green-Card-Inhaber und kein Staatsbürger, gelten Wartezeiten nach dem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US-Partner unterschreibt eine Verpflichtungserklärung (</w:t>
            </w:r>
            <w:r>
              <w:rPr>
                <w:rFonts w:eastAsia="Cambria" w:cs="Cambria"/>
                <w:b w:val="false"/>
                <w:bCs w:val="false"/>
                <w:i/>
                <w:iCs/>
                <w:sz w:val="20"/>
                <w:szCs w:val="20"/>
              </w:rPr>
              <w:t>Affidavit of Support</w:t>
            </w:r>
            <w:r>
              <w:rPr>
                <w:rFonts w:eastAsia="Cambria" w:cs="Cambria"/>
                <w:b w:val="false"/>
                <w:bCs w:val="false"/>
                <w:i w:val="false"/>
                <w:iCs w:val="false"/>
                <w:sz w:val="20"/>
                <w:szCs w:val="20"/>
              </w:rPr>
              <w:t>, Formular I-864) und muss ein Einkommen von mindestens 125 % der Armutsgrenze nachweisen; diese Pflicht endet in der Regel nicht durch Scheidung. Und wer mit ESTA einreist, um vor Ort zu heiraten und zu bleiben, riskiert den Vorwurf der Täuschung, wenn die Absicht schon bei der Einreise bestand. Lass beides von einem Anwalt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EB-5 und Gold Card: Wege für Vermögende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EB-5 ist die Investoren-Green-Card. Du investierst 800.000 $ in ein Projekt in einer ländlichen Region, einem Gebiet mit hoher Arbeitslosigkeit oder in Infrastruktur (</w:t>
      </w:r>
      <w:r>
        <w:rPr>
          <w:rFonts w:eastAsia="Cambria" w:cs="Cambria"/>
          <w:b w:val="false"/>
          <w:bCs w:val="false"/>
          <w:i/>
          <w:iCs/>
          <w:sz w:val="22"/>
          <w:szCs w:val="22"/>
        </w:rPr>
        <w:t>Targeted Employment Area</w:t>
      </w:r>
      <w:r>
        <w:rPr>
          <w:rFonts w:eastAsia="Cambria" w:cs="Cambria"/>
          <w:b w:val="false"/>
          <w:bCs w:val="false"/>
          <w:i w:val="false"/>
          <w:iCs w:val="false"/>
          <w:sz w:val="22"/>
          <w:szCs w:val="22"/>
        </w:rPr>
        <w:t>), sonst 1.050.000 $; dein Kapital muss mindestens zehn Vollzeitstellen für US-Beschäftigte schaffen. Rund 10.000 Visa gibt es pro Jahr; die Regionalzentren, über die viele Investoren einsteigen, sind bis 30. September 2027 zugelassen. An USCIS zahlst du für die Petition (I-526E)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I-526E-Petition bis zum 30. September 2026 einreicht, sichert sich die heutigen Investitionssummen (800.000 $ bzw. 1.050.000 $) für dieses Verfahren dauerhaft ab (</w:t>
            </w:r>
            <w:r>
              <w:rPr>
                <w:rFonts w:eastAsia="Cambria" w:cs="Cambria"/>
                <w:b w:val="false"/>
                <w:bCs w:val="false"/>
                <w:i/>
                <w:iCs/>
                <w:sz w:val="20"/>
                <w:szCs w:val="20"/>
              </w:rPr>
              <w:t>Grandfathering</w:t>
            </w:r>
            <w:r>
              <w:rPr>
                <w:rFonts w:eastAsia="Cambria" w:cs="Cambria"/>
                <w:b w:val="false"/>
                <w:bCs w:val="false"/>
                <w:i w:val="false"/>
                <w:iCs w:val="false"/>
                <w:sz w:val="20"/>
                <w:szCs w:val="20"/>
              </w:rPr>
              <w:t>), danach drohen höhere Beträge ab 2027. Für die ohnehin seltene Zielgruppe dieses Wegs ist das eine sehr kurzfristige Frist – prüfe sofort mit einer Kanzlei, ob das noch machbar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 für die Lebensplanung ist sie nicht geeignet.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Selbständige, Freiberufler, digitale Nomaden: die Falle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 Freelancer-Visum und kein Digital-Nomad-Visum. Der Traum vom Laptop in Austin mit Kunden in Europa hat aufenthaltsrechtlich keine Grundlage (Stand 2026). H-1B, L-1 und O-1 sind an einen Arbeitgeber oder einen Agenten gebunden, eigene Aufträge nebenher sind damit nicht erlaubt. Das gilt auch für ESTA und B-1, siehe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bleibt: eine eigene US-Firma mit E-2, wenn du das Kapital hast; eine US-Niederlassung deiner bestehenden Firma per L-1A (siehe unten); der O-1 über einen Agenten, wenn du Spitzenleistung nachweist; eine Anstellung mit Sponsor, bei der die Selbständigkeit ruht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Green Card und Ehe, mit denen du frei arbeiten darfst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Steuerlich kommt ein zweites Thema dazu: Wer sich lange aufhält, wird in den USA steuerlich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zählt Tage: mindestens 31 Tage im laufenden Jahr und 183 gewichtete Tage (das laufende Jahr voll, das Vorjahr zu einem Drittel, das Jahr davor zu einem Sechstel) – das hat mit der Aufenthaltserlaubnis nichts zu tun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Ort, an dem du arbeitest, nicht der Sitz deines Arbeitgebers und nicht das Konto, auf dem das Geld landet.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Start-up-Gründung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Firma in Delaware online zu gründen, dauert einen Nachmittag; ein Aufenthaltsrecht folgt daraus nicht. Für Gründerinnen und Gründer kommen diese Wege infrage:</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Du investierst eigenes Kapital in die US-Firma (siehe oben). Das ist der häufigste Gründerweg für Deutsche.</w:t>
      </w:r>
    </w:p>
    <w:p>
      <w:pPr>
        <w:pStyle w:val="ListParagraph"/>
        <w:numPr>
          <w:ilvl w:val="0"/>
          <w:numId w:val="1"/>
        </w:numPr>
        <w:spacing w:lineRule="exact" w:line="288" w:before="0" w:after="60"/>
        <w:rPr/>
      </w:pPr>
      <w:r>
        <w:rPr>
          <w:rFonts w:eastAsia="Cambria" w:cs="Cambria"/>
          <w:b/>
          <w:bCs/>
          <w:i w:val="false"/>
          <w:iCs w:val="false"/>
          <w:sz w:val="22"/>
          <w:szCs w:val="22"/>
        </w:rPr>
        <w:t>L-1A mit neuem Büro (</w:t>
      </w:r>
      <w:r>
        <w:rPr>
          <w:rFonts w:eastAsia="Cambria" w:cs="Cambria"/>
          <w:b/>
          <w:bCs/>
          <w:i/>
          <w:iCs/>
          <w:sz w:val="22"/>
          <w:szCs w:val="22"/>
        </w:rPr>
        <w:t>New Office</w:t>
      </w:r>
      <w:r>
        <w:rPr>
          <w:rFonts w:eastAsia="Cambria" w:cs="Cambria"/>
          <w:b/>
          <w:bCs/>
          <w:i w:val="false"/>
          <w:iCs w:val="false"/>
          <w:sz w:val="22"/>
          <w:szCs w:val="22"/>
        </w:rPr>
        <w:t>):</w:t>
      </w:r>
      <w:r>
        <w:rPr>
          <w:rFonts w:eastAsia="Cambria" w:cs="Cambria"/>
          <w:b w:val="false"/>
          <w:bCs w:val="false"/>
          <w:i w:val="false"/>
          <w:iCs w:val="false"/>
          <w:sz w:val="22"/>
          <w:szCs w:val="22"/>
        </w:rPr>
        <w:t xml:space="preserve"> Voraussetzung ist ein Jahr Leitung deiner deutschen Firma. Die US-Niederlassung braucht tatsächliche Räume, Finanzkraft und einen Plan; ein virtuelles Büro genügt nach den USCIS-Leitlinien in der Regel nicht. Die Erstzulassung gilt ein Jahr.</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Er passt, wenn deine Leistungen die Kriterien erfüllen (siehe oben).</w:t>
      </w:r>
    </w:p>
    <w:p>
      <w:pPr>
        <w:pStyle w:val="ListParagraph"/>
        <w:numPr>
          <w:ilvl w:val="0"/>
          <w:numId w:val="1"/>
        </w:numPr>
        <w:spacing w:lineRule="exact" w:line="288" w:before="0" w:after="60"/>
        <w:rPr/>
      </w:pPr>
      <w:r>
        <w:rPr>
          <w:rFonts w:eastAsia="Cambria" w:cs="Cambria"/>
          <w:b/>
          <w:bCs/>
          <w:i w:val="false"/>
          <w:iCs w:val="false"/>
          <w:sz w:val="22"/>
          <w:szCs w:val="22"/>
        </w:rPr>
        <w:t>International Entrepreneur Rule:</w:t>
      </w:r>
      <w:r>
        <w:rPr>
          <w:rFonts w:eastAsia="Cambria" w:cs="Cambria"/>
          <w:b w:val="false"/>
          <w:bCs w:val="false"/>
          <w:i w:val="false"/>
          <w:iCs w:val="false"/>
          <w:sz w:val="22"/>
          <w:szCs w:val="22"/>
        </w:rPr>
        <w:t xml:space="preserve"> ein Sonderweg mit befristeter Einreiseerlaubnis (</w:t>
      </w:r>
      <w:r>
        <w:rPr>
          <w:rFonts w:eastAsia="Cambria" w:cs="Cambria"/>
          <w:b w:val="false"/>
          <w:bCs w:val="false"/>
          <w:i/>
          <w:iCs/>
          <w:sz w:val="22"/>
          <w:szCs w:val="22"/>
        </w:rPr>
        <w:t>Parole</w:t>
      </w:r>
      <w:r>
        <w:rPr>
          <w:rFonts w:eastAsia="Cambria" w:cs="Cambria"/>
          <w:b w:val="false"/>
          <w:bCs w:val="false"/>
          <w:i w:val="false"/>
          <w:iCs w:val="false"/>
          <w:sz w:val="22"/>
          <w:szCs w:val="22"/>
        </w:rPr>
        <w:t>, kein Visum; Formular I-941) für Gründer mit erheblichen Mitteln qualifizierter US-Investoren. Laut USCIS besteht das Programm weiter, die Schwellen liegen nach Kanzleiangaben bei gut 300.000 $ (Stand Oktober 2024), die Entscheidung ist Ermessenssache.</w:t>
      </w:r>
    </w:p>
    <w:p>
      <w:pPr>
        <w:pStyle w:val="ListParagraph"/>
        <w:numPr>
          <w:ilvl w:val="0"/>
          <w:numId w:val="1"/>
        </w:numPr>
        <w:spacing w:lineRule="exact" w:line="288" w:before="0" w:after="60"/>
        <w:rPr/>
      </w:pPr>
      <w:r>
        <w:rPr>
          <w:rFonts w:eastAsia="Cambria" w:cs="Cambria"/>
          <w:b/>
          <w:bCs/>
          <w:i w:val="false"/>
          <w:iCs w:val="false"/>
          <w:sz w:val="22"/>
          <w:szCs w:val="22"/>
        </w:rPr>
        <w:t>H-1B mit eigener Firma:</w:t>
      </w:r>
      <w:r>
        <w:rPr>
          <w:rFonts w:eastAsia="Cambria" w:cs="Cambria"/>
          <w:b w:val="false"/>
          <w:bCs w:val="false"/>
          <w:i w:val="false"/>
          <w:iCs w:val="false"/>
          <w:sz w:val="22"/>
          <w:szCs w:val="22"/>
        </w:rPr>
        <w:t xml:space="preserve"> Wer mehr als 50 % der Anteile oder Stimmrechte hält, erhält Erstgenehmigung und erste Verlängerung nur für je 18 Monate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B-1 oder ESTA deckt nur die Vorbereitung ab: Gespräche mit Investoren, Marktbesuche, Formalitäten – sobald du das laufende Geschäft führst, arbeitest du.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O-1, E-2 und J-1 gibt es weder Lotterie noch Jahresquote wie beim H-1B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Weg verlangt eine Eintrittskarte: Konzern, Spitzenakte, Kapital oder Programmplatz</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dürfen ohne eigenen Antrag arbeiten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O-1 dürfen Partner nicht arbeiten, beim J-2 ist ein Antrag nötig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L-1 erlaubt Green-Card-Pläne (</w:t>
            </w:r>
            <w:r>
              <w:rPr>
                <w:rFonts w:eastAsia="Cambria" w:cs="Cambria"/>
                <w:b w:val="false"/>
                <w:bCs w:val="false"/>
                <w:i/>
                <w:iCs/>
                <w:sz w:val="18"/>
                <w:szCs w:val="18"/>
              </w:rPr>
              <w:t>Dual Intent</w:t>
            </w:r>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L-1B endet nach fünf Jahren, L-1A nach sieben; E-2 und J-1 führen nicht zur Green Card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lässt sich unbegrenzt, O-1 jährlich verlängern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Konzern, Firma oder Programm; bei Jobverlust bleibt nur eine kurze Frist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und O-1 trägt meist der Arbeitgeber die USCIS-Gebühren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und E-2 brauchen aufwendige Belege und in der Praxis einen Anwalt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sind E-2-berechtigt und von den Einreisestopps 2026 nicht betroffen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Regeln ändern sich schnell (Visa Integrity Fee, Online-Prüfung)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05"/>
        </w:numPr>
        <w:spacing w:lineRule="exact" w:line="288" w:before="0" w:after="60"/>
        <w:rPr/>
      </w:pPr>
      <w:r>
        <w:rPr>
          <w:rFonts w:eastAsia="Cambria" w:cs="Cambria"/>
          <w:b w:val="false"/>
          <w:bCs w:val="false"/>
          <w:i w:val="false"/>
          <w:iCs w:val="false"/>
          <w:sz w:val="22"/>
          <w:szCs w:val="22"/>
        </w:rPr>
        <w:t>Prüfe, welche Eintrittskarte du hast: Konzernverbindung mit einem Jahr im Ausland (L-1), belegbare Spitzenleistung (O-1), Kapital und Geschäftsidee (E-2) oder Programmplatz (J-1).</w:t>
      </w:r>
    </w:p>
    <w:p>
      <w:pPr>
        <w:pStyle w:val="ListParagraph"/>
        <w:numPr>
          <w:ilvl w:val="0"/>
          <w:numId w:val="106"/>
        </w:numPr>
        <w:spacing w:lineRule="exact" w:line="288" w:before="0" w:after="60"/>
        <w:rPr/>
      </w:pPr>
      <w:r>
        <w:rPr>
          <w:rFonts w:eastAsia="Cambria" w:cs="Cambria"/>
          <w:b w:val="false"/>
          <w:bCs w:val="false"/>
          <w:i w:val="false"/>
          <w:iCs w:val="false"/>
          <w:sz w:val="22"/>
          <w:szCs w:val="22"/>
        </w:rPr>
        <w:t>Frage als Konzernbeschäftigte oder Konzernbeschäftigter die Personalabteilung, ob Versetzungen in die USA üblich sind und der Konzern eine Sammelgenehmigung besitzt.</w:t>
      </w:r>
    </w:p>
    <w:p>
      <w:pPr>
        <w:pStyle w:val="ListParagraph"/>
        <w:numPr>
          <w:ilvl w:val="0"/>
          <w:numId w:val="107"/>
        </w:numPr>
        <w:spacing w:lineRule="exact" w:line="288" w:before="0" w:after="60"/>
        <w:rPr/>
      </w:pPr>
      <w:r>
        <w:rPr>
          <w:rFonts w:eastAsia="Cambria" w:cs="Cambria"/>
          <w:b w:val="false"/>
          <w:bCs w:val="false"/>
          <w:i w:val="false"/>
          <w:iCs w:val="false"/>
          <w:sz w:val="22"/>
          <w:szCs w:val="22"/>
        </w:rPr>
        <w:t>Lass bei O-1 und E-2 eine Ersteinschätzung durch eine Einwanderungsanwältin oder einen Einwanderungsanwalt machen, bevor du Geld einsetzt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08"/>
        </w:numPr>
        <w:spacing w:lineRule="exact" w:line="288" w:before="0" w:after="60"/>
        <w:rPr/>
      </w:pPr>
      <w:r>
        <w:rPr>
          <w:rFonts w:eastAsia="Cambria" w:cs="Cambria"/>
          <w:b w:val="false"/>
          <w:bCs w:val="false"/>
          <w:i w:val="false"/>
          <w:iCs w:val="false"/>
          <w:sz w:val="22"/>
          <w:szCs w:val="22"/>
        </w:rPr>
        <w:t>Plane Erkundungsreisen und Vorstellungsgespräche mit ESTA, aber ohne Arbeit.</w:t>
      </w:r>
    </w:p>
    <w:p>
      <w:pPr>
        <w:pStyle w:val="ListParagraph"/>
        <w:numPr>
          <w:ilvl w:val="0"/>
          <w:numId w:val="109"/>
        </w:numPr>
        <w:spacing w:lineRule="exact" w:line="288" w:before="0" w:after="60"/>
        <w:rPr/>
      </w:pPr>
      <w:r>
        <w:rPr>
          <w:rFonts w:eastAsia="Cambria" w:cs="Cambria"/>
          <w:b w:val="false"/>
          <w:bCs w:val="false"/>
          <w:i w:val="false"/>
          <w:iCs w:val="false"/>
          <w:sz w:val="22"/>
          <w:szCs w:val="22"/>
        </w:rPr>
        <w:t>Halte einen Plan B bereit, etwa den Studienweg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im Einzelfall. Ob L-1, O-1 oder E-2 für dich tragen, entscheidet sich an Details, die nur eine Einwanderungsanwältin oder ein Einwanderungsanwalt anhand deiner Unterlagen beurteilen kann.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Eintrittskarte geklärt: Konzernjahr, Leistungsbelege, Kapital oder Programmplatz.</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Konzernbeschäftigung: Personalabteilung nach Versetzung, L-1 und Blanket L gefragt; Zeit im Konzern im Ausland dokumentiert.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O-1: Belege gesammelt (Preise, Veröffentlichungen, Medienberichte, Gutachtertätigkeit, Gehalt) und gegen die acht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E-2: Businessplan, Investitionshöhe und Herkunft des Geldes mit einem Anwalt besprochen.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J-1: Sponsor schriftlich gefragt, ob die Zwei-Jahres-Regel (212(e))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Reisen mit ESTA oder B-1 ohne jede Arbeit geplant; ESTA nur über die offizielle Seite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Lotterie: nur dvprogram.state.gov genutzt, keine Zahlung an Vermittler.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Gebühren mit aktuellem USCIS-Gebührenblatt G-1055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parallel festgelegt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 O-1, E-1/E-2 und weitere Arbeitsvisa (</w:t>
      </w:r>
      <w:hyperlink r:id="rId89">
        <w:r>
          <w:rPr>
            <w:rStyle w:val="ListLabel113"/>
            <w:rFonts w:eastAsia="Cambria" w:cs="Cambria"/>
            <w:b w:val="false"/>
            <w:bCs w:val="false"/>
            <w:i w:val="false"/>
            <w:iCs w:val="false"/>
            <w:color w:val="0563C1"/>
            <w:sz w:val="22"/>
            <w:szCs w:val="22"/>
            <w:u w:val="single"/>
          </w:rPr>
          <w:t>uscis.gov/working-in-the-united-states/temporary-workers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Gebührenblatt G-1055 (</w:t>
      </w:r>
      <w:hyperlink r:id="rId90">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International Entrepreneur Rule (</w:t>
      </w:r>
      <w:hyperlink r:id="rId91">
        <w:r>
          <w:rPr>
            <w:rStyle w:val="ListLabel113"/>
            <w:rFonts w:eastAsia="Cambria" w:cs="Cambria"/>
            <w:b w:val="false"/>
            <w:bCs w:val="false"/>
            <w:i w:val="false"/>
            <w:iCs w:val="false"/>
            <w:color w:val="0563C1"/>
            <w:sz w:val="22"/>
            <w:szCs w:val="22"/>
            <w:u w:val="single"/>
          </w:rPr>
          <w:t>uscis.gov/working-in-the-united-states/international-entrepreneur-rule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J-1-Austauschprogramme (</w:t>
      </w:r>
      <w:hyperlink r:id="rId92">
        <w:r>
          <w:rPr>
            <w:rStyle w:val="ListLabel113"/>
            <w:rFonts w:eastAsia="Cambria" w:cs="Cambria"/>
            <w:b w:val="false"/>
            <w:bCs w:val="false"/>
            <w:i w:val="false"/>
            <w:iCs w:val="false"/>
            <w:color w:val="0563C1"/>
            <w:sz w:val="22"/>
            <w:szCs w:val="22"/>
            <w:u w:val="single"/>
          </w:rPr>
          <w:t>exchanges.state.gov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B-1-Visum, erlaubte Tätigkeiten (</w:t>
      </w:r>
      <w:hyperlink r:id="rId93">
        <w:r>
          <w:rPr>
            <w:rStyle w:val="ListLabel113"/>
            <w:rFonts w:eastAsia="Cambria" w:cs="Cambria"/>
            <w:b w:val="false"/>
            <w:bCs w:val="false"/>
            <w:i w:val="false"/>
            <w:iCs w:val="false"/>
            <w:color w:val="0563C1"/>
            <w:sz w:val="22"/>
            <w:szCs w:val="22"/>
            <w:u w:val="single"/>
          </w:rPr>
          <w:t>travel.state.gov/content/travel/en/us-visas/business/b-1-fact-sheet.html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94">
        <w:r>
          <w:rPr>
            <w:rStyle w:val="ListLabel113"/>
            <w:rFonts w:eastAsia="Cambria" w:cs="Cambria"/>
            <w:b w:val="false"/>
            <w:bCs w:val="false"/>
            <w:i w:val="false"/>
            <w:iCs w:val="false"/>
            <w:color w:val="0563C1"/>
            <w:sz w:val="22"/>
            <w:szCs w:val="22"/>
            <w:u w:val="single"/>
          </w:rPr>
          <w:t>esta.cbp.dhs.gov</w:t>
        </w:r>
      </w:hyperlink>
      <w:r>
        <w:rPr>
          <w:rFonts w:eastAsia="Cambria" w:cs="Cambria"/>
          <w:b w:val="false"/>
          <w:bCs w:val="false"/>
          <w:i w:val="false"/>
          <w:iCs w:val="false"/>
          <w:sz w:val="22"/>
          <w:szCs w:val="22"/>
        </w:rPr>
        <w:t xml:space="preserve">, </w:t>
      </w:r>
      <w:hyperlink r:id="rId95">
        <w:r>
          <w:rPr>
            <w:rStyle w:val="ListLabel113"/>
            <w:rFonts w:eastAsia="Cambria" w:cs="Cambria"/>
            <w:b w:val="false"/>
            <w:bCs w:val="false"/>
            <w:i w:val="false"/>
            <w:iCs w:val="false"/>
            <w:color w:val="0563C1"/>
            <w:sz w:val="22"/>
            <w:szCs w:val="22"/>
            <w:u w:val="single"/>
          </w:rPr>
          <w:t>cbp.gov/travel/international-visitors/visa-waiver-program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Diversity-Visa-Anmeldung (</w:t>
      </w:r>
      <w:hyperlink r:id="rId96">
        <w:r>
          <w:rPr>
            <w:rStyle w:val="ListLabel113"/>
            <w:rFonts w:eastAsia="Cambria" w:cs="Cambria"/>
            <w:b w:val="false"/>
            <w:bCs w:val="false"/>
            <w:i w:val="false"/>
            <w:iCs w:val="false"/>
            <w:color w:val="0563C1"/>
            <w:sz w:val="22"/>
            <w:szCs w:val="22"/>
            <w:u w:val="single"/>
          </w:rPr>
          <w:t>dvprogram.state.gov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US-Vertretungen in Deutschland — Visa (</w:t>
      </w:r>
      <w:hyperlink r:id="rId97">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20.09.2026). Diese Angaben ändern sich schnell: USCIS-Gebühren (G-1055) und Visa Integrity Fee, die Diversity-Visa-Lotterie (DV-2026-Frist 30.09.2026, DV-2027-Start offen), die Klage gegen die Gold Card, die Pflicht zu Social-Media-Angaben bei ESTA (nur vorgeschlagen), der Entwurf zur Abschaffung der 60-Tage-Frist nach Jobverlust (Kommentare bis 10.11.2026) sowie die Regeln zu E-2 und Gründerwegen. Prüfe die offiziellen Seiten vor jeder Entscheidung.</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9" w:name="__RefHeading___Toc56448_3457424410"/>
      <w:bookmarkStart w:id="30" w:name="k10"/>
      <w:bookmarkEnd w:id="29"/>
      <w:r>
        <w:rPr>
          <w:rFonts w:eastAsia="Amazon Ember" w:cs="Amazon Ember" w:ascii="Amazon Ember" w:hAnsi="Amazon Ember"/>
          <w:b/>
          <w:bCs/>
          <w:color w:val="0000FF"/>
          <w:sz w:val="36"/>
          <w:szCs w:val="36"/>
        </w:rPr>
        <w:t>Kapitel 10: Ehepartner und Kinder im Visumssystem</w:t>
      </w:r>
      <w:bookmarkEnd w:id="3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unverheiratete Kinder unter 21 erhalten einen abgeleiteten Status (H-4, L-2, E-2, F-2, J-2, O-3); endet der Status der Hauptperson, endet auch der abgeleitete.</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Arbeiten darf der Partner bei L-2 und E-2 ohne eigenen Antrag, bei J-2 nach Antrag, bei H-4 nur mit Arbeitserlaubnis (erst nach genehmigter I-140 oder H-1B über sechs Jahre hinaus), bei F-2 und O-3 gar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Mit 21 endet der Status der Kinder (</w:t>
            </w:r>
            <w:r>
              <w:rPr>
                <w:rFonts w:eastAsia="Cambria" w:cs="Cambria"/>
                <w:b w:val="false"/>
                <w:bCs w:val="false"/>
                <w:i/>
                <w:iCs/>
                <w:sz w:val="20"/>
                <w:szCs w:val="20"/>
              </w:rPr>
              <w:t>Age-out</w:t>
            </w:r>
            <w:r>
              <w:rPr>
                <w:rFonts w:eastAsia="Cambria" w:cs="Cambria"/>
                <w:b w:val="false"/>
                <w:bCs w:val="false"/>
                <w:i w:val="false"/>
                <w:iCs w:val="false"/>
                <w:sz w:val="20"/>
                <w:szCs w:val="20"/>
              </w:rPr>
              <w:t xml:space="preserve">), auch wenn der Status der Eltern weiterläuft. Der </w:t>
            </w:r>
            <w:r>
              <w:rPr>
                <w:rFonts w:eastAsia="Cambria" w:cs="Cambria"/>
                <w:b w:val="false"/>
                <w:bCs w:val="false"/>
                <w:i/>
                <w:iCs/>
                <w:sz w:val="20"/>
                <w:szCs w:val="20"/>
              </w:rPr>
              <w:t>Child Status Protection Act</w:t>
            </w:r>
            <w:r>
              <w:rPr>
                <w:rFonts w:eastAsia="Cambria" w:cs="Cambria"/>
                <w:b w:val="false"/>
                <w:bCs w:val="false"/>
                <w:i w:val="false"/>
                <w:iCs w:val="false"/>
                <w:sz w:val="20"/>
                <w:szCs w:val="20"/>
              </w:rPr>
              <w:t xml:space="preserve"> schützt die Green-Card-Berechtigung, nicht den H-4.</w:t>
            </w:r>
          </w:p>
          <w:p>
            <w:pPr>
              <w:pStyle w:val="ListParagraph"/>
              <w:numPr>
                <w:ilvl w:val="0"/>
                <w:numId w:val="1"/>
              </w:numPr>
              <w:spacing w:lineRule="exact" w:line="264" w:before="0" w:after="50"/>
              <w:rPr/>
            </w:pPr>
            <w:r>
              <w:rPr>
                <w:rFonts w:eastAsia="Cambria" w:cs="Cambria"/>
                <w:b w:val="false"/>
                <w:bCs w:val="false"/>
                <w:i w:val="false"/>
                <w:iCs w:val="false"/>
                <w:sz w:val="20"/>
                <w:szCs w:val="20"/>
              </w:rPr>
              <w:t>Unverheiratete Paare erhalten keinen Partnerstatus: Wer gemeinsam ausreist, heiratet vorher. Gleichgeschlechtliche Ehen zählen; eine deutsche eingetragene Lebenspartnerschaft zählt nach dem USCIS-Handbuch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Berufsabschlüsse werden nicht bundesweit anerkannt. Lehrkräfte, Pflege und Medizin brauchen eine Lizenz des Bundesstaats; das Verfahren lässt sich oft vor der Arbeitserlaubnis beginnen.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trägt die größte Last des Umzugs – plane Einkommenslücke und Isolation ein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als Familie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und erhält einen abgeleiteten Status (</w:t>
      </w:r>
      <w:r>
        <w:rPr>
          <w:rFonts w:eastAsia="Cambria" w:cs="Cambria"/>
          <w:b w:val="false"/>
          <w:bCs w:val="false"/>
          <w:i/>
          <w:iCs/>
          <w:sz w:val="22"/>
          <w:szCs w:val="22"/>
        </w:rPr>
        <w:t>Dependent Status</w:t>
      </w:r>
      <w:r>
        <w:rPr>
          <w:rFonts w:eastAsia="Cambria" w:cs="Cambria"/>
          <w:b w:val="false"/>
          <w:bCs w:val="false"/>
          <w:i w:val="false"/>
          <w:iCs w:val="false"/>
          <w:sz w:val="22"/>
          <w:szCs w:val="22"/>
        </w:rPr>
        <w:t>), der so lange gilt wie der Status der Hauptperson und mit ihm endet. Das Visum im Pass ermöglicht die Einreise, den erlaubten Aufenthalt legt der I-94 fest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Verliert die Hauptperson die Stelle, läuft für die Familie dieselbe Frist wie für sie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rFonts w:eastAsia="Cambria" w:cs="Cambria"/>
          <w:b w:val="false"/>
          <w:bCs w:val="false"/>
          <w:i/>
          <w:iCs/>
          <w:sz w:val="22"/>
          <w:szCs w:val="22"/>
        </w:rPr>
        <w:t>Obergefell v. Hodges</w:t>
      </w:r>
      <w:r>
        <w:rPr>
          <w:rFonts w:eastAsia="Cambria" w:cs="Cambria"/>
          <w:b w:val="false"/>
          <w:bCs w:val="false"/>
          <w:i w:val="false"/>
          <w:iCs w:val="false"/>
          <w:sz w:val="22"/>
          <w:szCs w:val="22"/>
        </w:rPr>
        <w:t>). Eine deutsche eingetragene Lebenspartnerschaft ist dagegen keine Ehe: Nach dem Handbuch (Band 6, Teil B,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Stand Oktober 2025) zählen Verbindungen nicht, die am Ort ihrer Begründung nicht als Ehe gelten. Das Standesamt kann sie umwandeln; besprich das mit der Kanzlei, bevor die Anträge 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Unverheiratet? Dann vorher heiraten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eigenes Studium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Besuche mit ESTA (bis zu 90 Tage, ohne Arbeit;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Für ein gemeinsames Leben über Jahre taugt das selten.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Kinder unverheirateter Eltern können ebenfalls mitreisen; für die Vaterschaft verlangen die Behörden Nachweise (frage die Kanzlei).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Status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Regel für Angehörige (Stand September 2026). Wer einen eigenen Status hat, etwa einen eigenen H-1B, folgt den Regeln dieses Status.</w:t>
      </w:r>
    </w:p>
    <w:tbl>
      <w:tblPr>
        <w:tblW w:w="6480" w:type="dxa"/>
        <w:jc w:val="left"/>
        <w:tblInd w:w="0" w:type="dxa"/>
        <w:tblLayout w:type="fixed"/>
        <w:tblCellMar>
          <w:top w:w="50" w:type="dxa"/>
          <w:left w:w="80" w:type="dxa"/>
          <w:bottom w:w="50" w:type="dxa"/>
          <w:right w:w="80" w:type="dxa"/>
        </w:tblCellMar>
      </w:tblPr>
      <w:tblGrid>
        <w:gridCol w:w="1408"/>
        <w:gridCol w:w="1690"/>
        <w:gridCol w:w="1690"/>
        <w:gridCol w:w="1691"/>
      </w:tblGrid>
      <w:tr>
        <w:trPr>
          <w:tblHeader w:val="true"/>
          <w:cantSplit w:val="true"/>
        </w:trPr>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darf arbeiten?</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Kinder unter 21</w:t>
            </w:r>
          </w:p>
        </w:tc>
        <w:tc>
          <w:tcPr>
            <w:tcW w:w="1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(zu H-1B)</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(H-4-EAD), erst nach genehmigter I-140 oder H-1B über 6 Jahre</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und Studium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Job in den ersten Jahren; I-765: 520 $ Papier, 470 $ online</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(zu L-1)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 I-94 mit Kennung L-2S genügt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Lizenzpflichtige Berufe brauchen trotzdem eine Lizenz</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(zu E-2-Investor)</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hängt am laufenden Unternehmen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F-2 (zu F-1)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nur Freizeitstudium in Teilzeit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Vollzeit</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in F-1 per I-539 möglich</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(zu J-1)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Antrag (I-765)</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Antrag auf Arbeitserlaubnis möglich</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 darf die J-1-Person nicht unterhalten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O-3 (zu O-1)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erlaubt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Schulbesuch ist in allen diesen Status erlaubt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H-4 und H-4-Arbeitserlaubnis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für H-4 ohne Arbeitserlaubnis gilt nichts anderes. Ohne Arbeitserlaubnis stellt die Sozialversicherungsbehörde in der Regel auch keine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aus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Krankenversicherung für Partner und Kinder läuft meist über den Arbeitgeberplan der Hauptperson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ohne gültige Erlaubnis gefährdet deinen Status und kann spätere Anträge belasten. Echtes Ehrenamt bei einer gemeinnützigen Einrichtung ist in der Regel möglich, solange es unbezahlt ist und keine bezahlte Stelle ersetzt – im Zweifel fragst du vorher die Kanzlei.</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Wann es eine Arbeitserlaubnis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erhalten H-4-Ehepartner nur, wenn der H-1B-Inhaber eine genehmigte I-140 hat – also die Einwanderungspetition seines Arbeitgebers im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 oder wenn sein H-1B nach dem Gesetz </w:t>
      </w:r>
      <w:r>
        <w:rPr>
          <w:rFonts w:eastAsia="Cambria" w:cs="Cambria"/>
          <w:b w:val="false"/>
          <w:bCs w:val="false"/>
          <w:i/>
          <w:iCs/>
          <w:sz w:val="22"/>
          <w:szCs w:val="22"/>
        </w:rPr>
        <w:t>AC21</w:t>
      </w:r>
      <w:r>
        <w:rPr>
          <w:rFonts w:eastAsia="Cambria" w:cs="Cambria"/>
          <w:b w:val="false"/>
          <w:bCs w:val="false"/>
          <w:i w:val="false"/>
          <w:iCs w:val="false"/>
          <w:sz w:val="22"/>
          <w:szCs w:val="22"/>
        </w:rPr>
        <w:t xml:space="preserve"> über sechs Jahre hinaus verlängert wurde. Beantragt wird sie mit Form I-765 (520 $ Papier, 470 $ online); nachweisen musst du die Ehe, den H-1B-Status der Hauptperson und deinen H-4-Status. Kinder mit H-4 bekommen keine 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das dauert, hängt vom Start des Green-Card-Verfahrens ab. Beginnt der Arbeitgeber am ersten Tag, vergehen nach den Zeiten aus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gut anderthalb Jahre bis zur genehmigten I-140 (eigene Rechnung: Lohnfestlegung etwa vier Monate, Stellenanzeigen zwei bis drei, Prüfung beim Arbeitsministerium im August 2026 im Schnitt 336 Tage, dazu die I-140). Startet das Verfahren später, verschiebt sich alles – rechne mit mindestens zwei Jahren ohne zweites Einkommen (zum richtigen Startzeitpunkt: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Wird der H-1B im Inland verlängert, verlängerst du den H-4 mit Form I-539 (470 $ Papier, 420 $ online), für jede Person einzeln. Ob die Arbeitserlaubnis nach einem Jobverlust der Hauptperson weitergilt, bestätigt dir die Kanzlei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die Verlängerung der Arbeitserlaubnis so früh ein, wie es erlaubt ist, also 180 Tage vor Ablauf. Jeder Tag zwischen Ablaufdatum und neuer Karte ist Arbeitsverbot: Der Arbeitgeber darf dich dann nicht beschäftigen, und dein Gehalt fällt aus.</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 ähnliche Pläne aus dem Jahr 2017 wurden nie umgesetzt, in Kraft ist nichts. Behandle die Arbeitserlaubnis dennoch als Zugabe, nicht als Grundlage: Das Familienbudget sollte mit einem Einkommen tragen.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durch eine Einwanderungsanwältin oder einen Einwanderungsanwalt. Wie du jemanden findest,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L-2, E-2, F-2 und J-2: die anderen Status</w:t>
      </w:r>
    </w:p>
    <w:p>
      <w:pPr>
        <w:pStyle w:val="Normal"/>
        <w:keepNext w:val="false"/>
        <w:keepLines w:val="false"/>
        <w:spacing w:lineRule="exact" w:line="288" w:before="0" w:after="140"/>
        <w:jc w:val="left"/>
        <w:rPr/>
      </w:pPr>
      <w:r>
        <w:rPr>
          <w:rFonts w:eastAsia="Cambria" w:cs="Cambria"/>
          <w:b/>
          <w:bCs/>
          <w:i w:val="false"/>
          <w:iCs w:val="false"/>
          <w:sz w:val="22"/>
          <w:szCs w:val="22"/>
        </w:rPr>
        <w:t>L-2 und E-2.</w:t>
      </w:r>
      <w:r>
        <w:rPr>
          <w:rFonts w:eastAsia="Cambria" w:cs="Cambria"/>
          <w:b w:val="false"/>
          <w:bCs w:val="false"/>
          <w:i w:val="false"/>
          <w:iCs w:val="false"/>
          <w:sz w:val="22"/>
          <w:szCs w:val="22"/>
        </w:rPr>
        <w:t xml:space="preserve"> Ehepartner von L-1- und E-2-Inhabern gelten als </w:t>
      </w:r>
      <w:r>
        <w:rPr>
          <w:rFonts w:eastAsia="Cambria" w:cs="Cambria"/>
          <w:b w:val="false"/>
          <w:bCs w:val="false"/>
          <w:i/>
          <w:iCs/>
          <w:sz w:val="22"/>
          <w:szCs w:val="22"/>
        </w:rPr>
        <w:t>employment authorized incident to status</w:t>
      </w:r>
      <w:r>
        <w:rPr>
          <w:rFonts w:eastAsia="Cambria" w:cs="Cambria"/>
          <w:b w:val="false"/>
          <w:bCs w:val="false"/>
          <w:i w:val="false"/>
          <w:iCs w:val="false"/>
          <w:sz w:val="22"/>
          <w:szCs w:val="22"/>
        </w:rPr>
        <w:t>,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(i94.cbp.dhs.gov), ob die Kennung mit dem „S“ eingetragen ist, und kläre Abweichungen sofort mit der Kanzlei. Der Partner darf bei jedem Arbeitgeber arbeiten, Kinder dürfen es nicht.</w:t>
      </w:r>
    </w:p>
    <w:p>
      <w:pPr>
        <w:pStyle w:val="Normal"/>
        <w:keepNext w:val="false"/>
        <w:keepLines w:val="false"/>
        <w:spacing w:lineRule="exact" w:line="288" w:before="0" w:after="140"/>
        <w:jc w:val="left"/>
        <w:rPr/>
      </w:pPr>
      <w:r>
        <w:rPr>
          <w:rFonts w:eastAsia="Cambria" w:cs="Cambria"/>
          <w:b/>
          <w:bCs/>
          <w:i w:val="false"/>
          <w:iCs w:val="false"/>
          <w:sz w:val="22"/>
          <w:szCs w:val="22"/>
        </w:rPr>
        <w:t>F-2.</w:t>
      </w:r>
      <w:r>
        <w:rPr>
          <w:rFonts w:eastAsia="Cambria" w:cs="Cambria"/>
          <w:b w:val="false"/>
          <w:bCs w:val="false"/>
          <w:i w:val="false"/>
          <w:iCs w:val="false"/>
          <w:sz w:val="22"/>
          <w:szCs w:val="22"/>
        </w:rPr>
        <w:t xml:space="preserve"> Der Partner darf nicht arbeiten und nur ein Freizeitstudium in Teilzeit aufnehmen. Wer selbst studieren will, wechselt per Form I-539 in den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Kinder besuchen die Schule in Vollzeit.</w:t>
      </w:r>
    </w:p>
    <w:p>
      <w:pPr>
        <w:pStyle w:val="Normal"/>
        <w:keepNext w:val="false"/>
        <w:keepLines w:val="false"/>
        <w:spacing w:lineRule="exact" w:line="288" w:before="0" w:after="140"/>
        <w:jc w:val="left"/>
        <w:rPr/>
      </w:pPr>
      <w:r>
        <w:rPr>
          <w:rFonts w:eastAsia="Cambria" w:cs="Cambria"/>
          <w:b/>
          <w:bCs/>
          <w:i w:val="false"/>
          <w:iCs w:val="false"/>
          <w:sz w:val="22"/>
          <w:szCs w:val="22"/>
        </w:rPr>
        <w:t>J-2.</w:t>
      </w:r>
      <w:r>
        <w:rPr>
          <w:rFonts w:eastAsia="Cambria" w:cs="Cambria"/>
          <w:b w:val="false"/>
          <w:bCs w:val="false"/>
          <w:i w:val="false"/>
          <w:iCs w:val="false"/>
          <w:sz w:val="22"/>
          <w:szCs w:val="22"/>
        </w:rP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 für ein Familienbudget auf zwei Gehältern keine verlässliche Grundlage (zur Zwei-Jahres-Heimatregel des J-1: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Age-out mit 21 und der Child Status Protection Act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sind im Einwanderungsrecht unverheiratet und unter 21. Am 21. Geburtstag verliert ein Kind seinen abgeleiteten Status, auch wenn der Status der Eltern noch Jahre läuft; eine Heirat beendet den Kinderstatus ebenfalls. Dieses Herauswachsen heißt </w:t>
      </w:r>
      <w:r>
        <w:rPr>
          <w:rFonts w:eastAsia="Cambria" w:cs="Cambria"/>
          <w:b w:val="false"/>
          <w:bCs w:val="false"/>
          <w:i/>
          <w:iCs/>
          <w:sz w:val="22"/>
          <w:szCs w:val="22"/>
        </w:rPr>
        <w:t>Age-out</w:t>
      </w:r>
      <w:r>
        <w:rPr>
          <w:rFonts w:eastAsia="Cambria" w:cs="Cambria"/>
          <w:b w:val="false"/>
          <w:bCs w:val="false"/>
          <w:i w:val="false"/>
          <w:iCs w:val="false"/>
          <w:sz w:val="22"/>
          <w:szCs w:val="22"/>
        </w:rPr>
        <w:t>. Rechne früh: Wer mit 16 einreist, wird nach fünf Jahren 21, wer mit 18, nach drei – der H-1B der Eltern läuft dann oft noch. Der Geburtstag, der in Deutschland nur eine Familienfeier ist, wird hier zum Stichtag mit Aktenzeichen.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dann bleibt, sind vier Wege:</w:t>
      </w:r>
    </w:p>
    <w:p>
      <w:pPr>
        <w:pStyle w:val="ListParagraph"/>
        <w:numPr>
          <w:ilvl w:val="0"/>
          <w:numId w:val="1"/>
        </w:numPr>
        <w:spacing w:lineRule="exact" w:line="288" w:before="0" w:after="60"/>
        <w:rPr/>
      </w:pPr>
      <w:r>
        <w:rPr>
          <w:rFonts w:eastAsia="Cambria" w:cs="Cambria"/>
          <w:b/>
          <w:bCs/>
          <w:i w:val="false"/>
          <w:iCs w:val="false"/>
          <w:sz w:val="22"/>
          <w:szCs w:val="22"/>
        </w:rPr>
        <w:t>Statuswechsel vor dem 21. Geburtstag</w:t>
      </w:r>
      <w:r>
        <w:rPr>
          <w:rFonts w:eastAsia="Cambria" w:cs="Cambria"/>
          <w:b w:val="false"/>
          <w:bCs w:val="false"/>
          <w:i w:val="false"/>
          <w:iCs w:val="false"/>
          <w:sz w:val="22"/>
          <w:szCs w:val="22"/>
        </w:rPr>
        <w:t xml:space="preserve"> (</w:t>
      </w:r>
      <w:r>
        <w:rPr>
          <w:rFonts w:eastAsia="Cambria" w:cs="Cambria"/>
          <w:b w:val="false"/>
          <w:bCs w:val="false"/>
          <w:i/>
          <w:iCs/>
          <w:sz w:val="22"/>
          <w:szCs w:val="22"/>
        </w:rPr>
        <w:t>Change of Status</w:t>
      </w:r>
      <w:r>
        <w:rPr>
          <w:rFonts w:eastAsia="Cambria" w:cs="Cambria"/>
          <w:b w:val="false"/>
          <w:bCs w:val="false"/>
          <w:i w:val="false"/>
          <w:iCs w:val="false"/>
          <w:sz w:val="22"/>
          <w:szCs w:val="22"/>
        </w:rPr>
        <w:t>), meist in den F-1 für ein Studium: Form I-539 (470 $ Papier, 420 $ online) plus Zulassung und Form I-20 einer Hochschule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Antrag muss gestellt sein, solange das Kind unter 21 ist und der H-4 gültig ist.</w:t>
      </w:r>
    </w:p>
    <w:p>
      <w:pPr>
        <w:pStyle w:val="ListParagraph"/>
        <w:numPr>
          <w:ilvl w:val="0"/>
          <w:numId w:val="1"/>
        </w:numPr>
        <w:spacing w:lineRule="exact" w:line="288" w:before="0" w:after="60"/>
        <w:rPr/>
      </w:pPr>
      <w:r>
        <w:rPr>
          <w:rFonts w:eastAsia="Cambria" w:cs="Cambria"/>
          <w:b/>
          <w:bCs/>
          <w:i w:val="false"/>
          <w:iCs w:val="false"/>
          <w:sz w:val="22"/>
          <w:szCs w:val="22"/>
        </w:rPr>
        <w:t>Ein eigener Arbeitsstatus,</w:t>
      </w:r>
      <w:r>
        <w:rPr>
          <w:rFonts w:eastAsia="Cambria" w:cs="Cambria"/>
          <w:b w:val="false"/>
          <w:bCs w:val="false"/>
          <w:i w:val="false"/>
          <w:iCs w:val="false"/>
          <w:sz w:val="22"/>
          <w:szCs w:val="22"/>
        </w:rPr>
        <w:t xml:space="preserve"> etwa ein H-1B nach einem US-Abschluss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Die Green Card,</w:t>
      </w:r>
      <w:r>
        <w:rPr>
          <w:rFonts w:eastAsia="Cambria" w:cs="Cambria"/>
          <w:b w:val="false"/>
          <w:bCs w:val="false"/>
          <w:i w:val="false"/>
          <w:iCs w:val="false"/>
          <w:sz w:val="22"/>
          <w:szCs w:val="22"/>
        </w:rPr>
        <w:t xml:space="preserve"> wenn das Kind im Verfahren der Eltern mitläuft (siehe unten).</w:t>
      </w:r>
    </w:p>
    <w:p>
      <w:pPr>
        <w:pStyle w:val="ListParagraph"/>
        <w:numPr>
          <w:ilvl w:val="0"/>
          <w:numId w:val="1"/>
        </w:numPr>
        <w:spacing w:lineRule="exact" w:line="288" w:before="0" w:after="60"/>
        <w:rPr/>
      </w:pPr>
      <w:r>
        <w:rPr>
          <w:rFonts w:eastAsia="Cambria" w:cs="Cambria"/>
          <w:b/>
          <w:bCs/>
          <w:i w:val="false"/>
          <w:iCs w:val="false"/>
          <w:sz w:val="22"/>
          <w:szCs w:val="22"/>
        </w:rPr>
        <w:t>Die Rückkehr</w:t>
      </w:r>
      <w:r>
        <w:rPr>
          <w:rFonts w:eastAsia="Cambria" w:cs="Cambria"/>
          <w:b w:val="false"/>
          <w:bCs w:val="false"/>
          <w:i w:val="false"/>
          <w:iCs w:val="false"/>
          <w:sz w:val="22"/>
          <w:szCs w:val="22"/>
        </w:rPr>
        <w:t xml:space="preserve"> zum Studium oder Beruf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im </w:t>
      </w:r>
      <w:r>
        <w:rPr>
          <w:rFonts w:eastAsia="Cambria" w:cs="Cambria"/>
          <w:b w:val="false"/>
          <w:bCs w:val="false"/>
          <w:i/>
          <w:iCs/>
          <w:sz w:val="22"/>
          <w:szCs w:val="22"/>
        </w:rPr>
        <w:t>Visa Bulletin</w:t>
      </w:r>
      <w:r>
        <w:rPr>
          <w:rFonts w:eastAsia="Cambria" w:cs="Cambria"/>
          <w:b w:val="false"/>
          <w:bCs w:val="false"/>
          <w:i w:val="false"/>
          <w:iCs w:val="false"/>
          <w:sz w:val="22"/>
          <w:szCs w:val="22"/>
        </w:rPr>
        <w:t>, dem monatlichen Stichtagsbericht des Außenministeriums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Deutsche ist das im September 2026 günstig: EB-1 und EB-2 waren „current“, bei EB-3 lag der Stichtag beim 1. September 2024.</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CSPA schützt nur die Green-Card-Berechtigung, nicht den H-4 –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Green-Card-Verfahren laufen Ehepartner und Kinder als Mitantragstellende (</w:t>
      </w:r>
      <w:r>
        <w:rPr>
          <w:rFonts w:eastAsia="Cambria" w:cs="Cambria"/>
          <w:b w:val="false"/>
          <w:bCs w:val="false"/>
          <w:i/>
          <w:iCs/>
          <w:sz w:val="22"/>
          <w:szCs w:val="22"/>
        </w:rPr>
        <w:t>Derivate</w:t>
      </w:r>
      <w:r>
        <w:rPr>
          <w:rFonts w:eastAsia="Cambria" w:cs="Cambria"/>
          <w:b w:val="false"/>
          <w:bCs w:val="false"/>
          <w:i w:val="false"/>
          <w:iCs w:val="false"/>
          <w:sz w:val="22"/>
          <w:szCs w:val="22"/>
        </w:rPr>
        <w:t>) mit und teilen Kategorie und Prioritätsdatum (</w:t>
      </w:r>
      <w:r>
        <w:rPr>
          <w:rFonts w:eastAsia="Cambria" w:cs="Cambria"/>
          <w:b w:val="false"/>
          <w:bCs w:val="false"/>
          <w:i/>
          <w:iCs/>
          <w:sz w:val="22"/>
          <w:szCs w:val="22"/>
        </w:rPr>
        <w:t>Priority Date</w:t>
      </w:r>
      <w:r>
        <w:rPr>
          <w:rFonts w:eastAsia="Cambria" w:cs="Cambria"/>
          <w:b w:val="false"/>
          <w:bCs w:val="false"/>
          <w:i w:val="false"/>
          <w:iCs w:val="false"/>
          <w:sz w:val="22"/>
          <w:szCs w:val="22"/>
        </w:rPr>
        <w:t>) der Hauptperson. Die Gebühren tragen in der Praxis die Beschäftigten: Das Formular I-485 kostet 1.440 $ (Papier) bzw. 1.390 $ (online), für Kinder unter 14, die mit einem Elternteil einreichen, 950 $ bzw. 900 $ – ein Paar mit zwei kleinen Kindern zahlt damit 4.780 $ (Papier) bzw. 4.580 $ (online), ohne Untersuchung, Anwalt sowie Arbeits- und Reiseerlaubnis (eigene Summe aus dem Gebührenblatt G-1055).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die in den USA zur Welt kommen, sind nach der Entscheidung des Supreme Court vom 30. Juni 2026 (</w:t>
      </w:r>
      <w:r>
        <w:rPr>
          <w:rFonts w:eastAsia="Cambria" w:cs="Cambria"/>
          <w:b w:val="false"/>
          <w:bCs w:val="false"/>
          <w:i/>
          <w:iCs/>
          <w:sz w:val="22"/>
          <w:szCs w:val="22"/>
        </w:rPr>
        <w:t>Trump v. Barbara</w:t>
      </w:r>
      <w:r>
        <w:rPr>
          <w:rFonts w:eastAsia="Cambria" w:cs="Cambria"/>
          <w:b w:val="false"/>
          <w:bCs w:val="false"/>
          <w:i w:val="false"/>
          <w:iCs w:val="false"/>
          <w:sz w:val="22"/>
          <w:szCs w:val="22"/>
        </w:rPr>
        <w:t>) US-Bürger und brauchen keinen Status, auch bei Eltern mit H-1B oder L-1. Einzelheiten und die deutsche Seite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mit H-4</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rFonts w:eastAsia="Cambria" w:cs="Cambria"/>
          <w:b w:val="false"/>
          <w:bCs w:val="false"/>
          <w:i/>
          <w:iCs/>
          <w:sz w:val="22"/>
          <w:szCs w:val="22"/>
        </w:rPr>
        <w:t>OPT</w:t>
      </w:r>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bei Kindern kurz vor dem Age-out. Der F-1 ist anders als H-1B und L nicht von der Einwanderungsvermutung ausgenommen, sprich vor dem Wechsel mit der Kanzlei, wenn ein Green-Card-Verfahren läuft oder geplant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Unterschied ist der Preis: Laut College Board kostet ein Bachelor-Jahr 2025/26 an einer öffentlichen Hochschule im Durchschnitt 11.950 $ für Landeskinder (</w:t>
      </w:r>
      <w:r>
        <w:rPr>
          <w:rFonts w:eastAsia="Cambria" w:cs="Cambria"/>
          <w:b w:val="false"/>
          <w:bCs w:val="false"/>
          <w:i/>
          <w:iCs/>
          <w:sz w:val="22"/>
          <w:szCs w:val="22"/>
        </w:rPr>
        <w:t>In-State</w:t>
      </w:r>
      <w:r>
        <w:rPr>
          <w:rFonts w:eastAsia="Cambria" w:cs="Cambria"/>
          <w:b w:val="false"/>
          <w:bCs w:val="false"/>
          <w:i w:val="false"/>
          <w:iCs w:val="false"/>
          <w:sz w:val="22"/>
          <w:szCs w:val="22"/>
        </w:rPr>
        <w:t>), 31.880 $ für Auswärtige (</w:t>
      </w:r>
      <w:r>
        <w:rPr>
          <w:rFonts w:eastAsia="Cambria" w:cs="Cambria"/>
          <w:b w:val="false"/>
          <w:bCs w:val="false"/>
          <w:i/>
          <w:iCs/>
          <w:sz w:val="22"/>
          <w:szCs w:val="22"/>
        </w:rPr>
        <w:t>Out-of-State</w:t>
      </w:r>
      <w:r>
        <w:rPr>
          <w:rFonts w:eastAsia="Cambria" w:cs="Cambria"/>
          <w:b w:val="false"/>
          <w:bCs w:val="false"/>
          <w:i w:val="false"/>
          <w:iCs w:val="false"/>
          <w:sz w:val="22"/>
          <w:szCs w:val="22"/>
        </w:rPr>
        <w:t>) und 45.000 $ an einer privaten Hochschule, jeweils ohne Wohnen. Ein Community College im eigenen Bezirk kostet im Schnitt 4.150 $. Ob dich eine Hochschule als Landeskind einstuft, regeln Bundesstaat und oft die Hochschule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Frage die Zulassungsstelle vor der Bewerbung, welche Regeln für Inhaber von H-4 zur </w:t>
            </w:r>
            <w:r>
              <w:rPr>
                <w:rFonts w:eastAsia="Cambria" w:cs="Cambria"/>
                <w:b w:val="false"/>
                <w:bCs w:val="false"/>
                <w:i/>
                <w:iCs/>
                <w:sz w:val="20"/>
                <w:szCs w:val="20"/>
              </w:rPr>
              <w:t>In-State Tuition</w:t>
            </w:r>
            <w:r>
              <w:rPr>
                <w:rFonts w:eastAsia="Cambria" w:cs="Cambria"/>
                <w:b w:val="false"/>
                <w:bCs w:val="false"/>
                <w:i w:val="false"/>
                <w:iCs w:val="false"/>
                <w:sz w:val="20"/>
                <w:szCs w:val="20"/>
              </w:rPr>
              <w:t xml:space="preserve"> gelten (Wohnsitzfrist, Nachweise). Im Durchschnitt trennen Landeskinder und Auswärtige fast 20.000 $ pro Jahr.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kann für den H-4-Partner zum Weg in einen eigenen Status werden: F-1, dann OPT und STEM-OPT (zusammen bis zu 36 Monate), dann ein eigener H-1B, auch im Master-Kontingent mit 20.000 Plätzen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Das ist teuer (Gesamtkosten im Schnitt rund 62.820 $ laut einer Auswertung von 2026, für alle Studierenden) und ohne Garantie, denn auch dieser Weg führt durch die Lotterie.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Partnerkarriere, Berufsanerkennung und Lizenzen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Berufsqualifikation gilt in den USA nicht automatisch. Es gibt keine bundesweite Anerkennung: Über die Zulassung in regulierten Berufen entscheiden die Bundesstaaten und ihre Fachbehörden (</w:t>
      </w:r>
      <w:r>
        <w:rPr>
          <w:rFonts w:eastAsia="Cambria" w:cs="Cambria"/>
          <w:b w:val="false"/>
          <w:bCs w:val="false"/>
          <w:i/>
          <w:iCs/>
          <w:sz w:val="22"/>
          <w:szCs w:val="22"/>
        </w:rPr>
        <w:t>Licensing Boards</w:t>
      </w:r>
      <w:r>
        <w:rPr>
          <w:rFonts w:eastAsia="Cambria" w:cs="Cambria"/>
          <w:b w:val="false"/>
          <w:bCs w:val="false"/>
          <w:i w:val="false"/>
          <w:iCs w:val="false"/>
          <w:sz w:val="22"/>
          <w:szCs w:val="22"/>
        </w:rP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rFonts w:eastAsia="Cambria" w:cs="Cambria"/>
          <w:b w:val="false"/>
          <w:bCs w:val="false"/>
          <w:i/>
          <w:iCs/>
          <w:sz w:val="22"/>
          <w:szCs w:val="22"/>
        </w:rPr>
        <w:t>Credential Evaluation</w:t>
      </w:r>
      <w:r>
        <w:rPr>
          <w:rFonts w:eastAsia="Cambria" w:cs="Cambria"/>
          <w:b w:val="false"/>
          <w:bCs w:val="false"/>
          <w:i w:val="false"/>
          <w:iCs w:val="false"/>
          <w:sz w:val="22"/>
          <w:szCs w:val="22"/>
        </w:rPr>
        <w:t>) und die Übersetzungen behandelt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850"/>
        <w:gridCol w:w="1966"/>
        <w:gridCol w:w="2664"/>
      </w:tblGrid>
      <w:tr>
        <w:trPr>
          <w:tblHeader w:val="true"/>
          <w:cantSplit w:val="true"/>
        </w:trPr>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19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 entscheidet</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Lehrkräfte an öffentlichen Schulen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Abschlüsse, Staatsprüfungen,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Board of Nursing</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(NCLEX),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Physiotherapie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(NPTE),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Medical Board</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US-Prüfungen, meist US-Facharztausbildung (</w:t>
            </w:r>
            <w:r>
              <w:rPr>
                <w:rFonts w:eastAsia="Cambria" w:cs="Cambria"/>
                <w:b w:val="false"/>
                <w:bCs w:val="false"/>
                <w:i/>
                <w:iCs/>
                <w:sz w:val="18"/>
                <w:szCs w:val="18"/>
              </w:rPr>
              <w:t>Residency</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Regeln unterscheiden sich von Staat zu Staat, die Verfahren dauern oft Monate. Deshalb lohnt es, früh zu beginnen:</w:t>
      </w:r>
    </w:p>
    <w:p>
      <w:pPr>
        <w:pStyle w:val="ListParagraph"/>
        <w:numPr>
          <w:ilvl w:val="0"/>
          <w:numId w:val="110"/>
        </w:numPr>
        <w:spacing w:lineRule="exact" w:line="288" w:before="0" w:after="60"/>
        <w:rPr/>
      </w:pPr>
      <w:r>
        <w:rPr>
          <w:rFonts w:eastAsia="Cambria" w:cs="Cambria"/>
          <w:b/>
          <w:bCs/>
          <w:i w:val="false"/>
          <w:iCs w:val="false"/>
          <w:sz w:val="22"/>
          <w:szCs w:val="22"/>
        </w:rPr>
        <w:t>Behörde finden:</w:t>
      </w:r>
      <w:r>
        <w:rPr>
          <w:rFonts w:eastAsia="Cambria" w:cs="Cambria"/>
          <w:b w:val="false"/>
          <w:bCs w:val="false"/>
          <w:i w:val="false"/>
          <w:iCs w:val="false"/>
          <w:sz w:val="22"/>
          <w:szCs w:val="22"/>
        </w:rPr>
        <w:t xml:space="preserve"> Bundesstaat, Beruf und „licensing board“ suchen.</w:t>
      </w:r>
    </w:p>
    <w:p>
      <w:pPr>
        <w:pStyle w:val="ListParagraph"/>
        <w:numPr>
          <w:ilvl w:val="0"/>
          <w:numId w:val="111"/>
        </w:numPr>
        <w:spacing w:lineRule="exact" w:line="288" w:before="0" w:after="60"/>
        <w:rPr/>
      </w:pPr>
      <w:r>
        <w:rPr>
          <w:rFonts w:eastAsia="Cambria" w:cs="Cambria"/>
          <w:b/>
          <w:bCs/>
          <w:i w:val="false"/>
          <w:iCs w:val="false"/>
          <w:sz w:val="22"/>
          <w:szCs w:val="22"/>
        </w:rPr>
        <w:t>Abschlüsse bewerten lassen:</w:t>
      </w:r>
      <w:r>
        <w:rPr>
          <w:rFonts w:eastAsia="Cambria" w:cs="Cambria"/>
          <w:b w:val="false"/>
          <w:bCs w:val="false"/>
          <w:i w:val="false"/>
          <w:iCs w:val="false"/>
          <w:sz w:val="22"/>
          <w:szCs w:val="22"/>
        </w:rPr>
        <w:t xml:space="preserve"> Viele Behörden schreiben Dienst oder Berichtstyp vor.</w:t>
      </w:r>
    </w:p>
    <w:p>
      <w:pPr>
        <w:pStyle w:val="ListParagraph"/>
        <w:numPr>
          <w:ilvl w:val="0"/>
          <w:numId w:val="112"/>
        </w:numPr>
        <w:spacing w:lineRule="exact" w:line="288" w:before="0" w:after="60"/>
        <w:rPr/>
      </w:pPr>
      <w:r>
        <w:rPr>
          <w:rFonts w:eastAsia="Cambria" w:cs="Cambria"/>
          <w:b/>
          <w:bCs/>
          <w:i w:val="false"/>
          <w:iCs w:val="false"/>
          <w:sz w:val="22"/>
          <w:szCs w:val="22"/>
        </w:rPr>
        <w:t>Prüfungen und Zusatzleistungen klären:</w:t>
      </w:r>
      <w:r>
        <w:rPr>
          <w:rFonts w:eastAsia="Cambria" w:cs="Cambria"/>
          <w:b w:val="false"/>
          <w:bCs w:val="false"/>
          <w:i w:val="false"/>
          <w:iCs w:val="false"/>
          <w:sz w:val="22"/>
          <w:szCs w:val="22"/>
        </w:rPr>
        <w:t xml:space="preserve"> Kurse, Praxisstunden, Sprachnachweis.</w:t>
      </w:r>
    </w:p>
    <w:p>
      <w:pPr>
        <w:pStyle w:val="ListParagraph"/>
        <w:numPr>
          <w:ilvl w:val="0"/>
          <w:numId w:val="113"/>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Fristen und Gebühren beachten; frage vorher, ob die Behörde Aufenthaltsstatus oder SSN verlangt.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Aufenthaltsstatus, Arbeitserlaubnis und Berufslizenz sind drei getrennte Dinge. Für die Arbeit im erlernten Beruf brauchst du alle drei, und die Lizenz lässt sich oft schon vor der Arbeitserlaubnis erwerben.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Anna, 36, Grundschullehrerin, reist mit H-4 nach Michigan und darf zunächst nicht arbeiten. Sie nutzt die Zeit: Noch in Deutschland lässt sie Studium und Lehrerausbildung von einem Bewertungsdienst begutachten, der zu NACES oder AICE gehört, den Zusammenschlüssen anerkannter Dienste. Das Michigan Department of Education verlangt diesen Bericht (</w:t>
            </w:r>
            <w:r>
              <w:rPr>
                <w:rFonts w:eastAsia="Cambria" w:cs="Cambria"/>
                <w:b w:val="false"/>
                <w:bCs w:val="false"/>
                <w:i/>
                <w:iCs/>
                <w:sz w:val="20"/>
                <w:szCs w:val="20"/>
              </w:rPr>
              <w:t>Course-by-Course Evaluation</w:t>
            </w:r>
            <w:r>
              <w:rPr>
                <w:rFonts w:eastAsia="Cambria" w:cs="Cambria"/>
                <w:b w:val="false"/>
                <w:bCs w:val="false"/>
                <w:i w:val="false"/>
                <w:iCs w:val="false"/>
                <w:sz w:val="20"/>
                <w:szCs w:val="20"/>
              </w:rPr>
              <w:t>) statt deutscher Zeugnisse. Er zeigt, ob ihre Ausbildung als abgeschlossene Lehrerausbildung gilt und welche Prüfungen (</w:t>
            </w:r>
            <w:r>
              <w:rPr>
                <w:rFonts w:eastAsia="Cambria" w:cs="Cambria"/>
                <w:b w:val="false"/>
                <w:bCs w:val="false"/>
                <w:i/>
                <w:iCs/>
                <w:sz w:val="20"/>
                <w:szCs w:val="20"/>
              </w:rPr>
              <w:t>MTTC</w:t>
            </w:r>
            <w:r>
              <w:rPr>
                <w:rFonts w:eastAsia="Cambria" w:cs="Cambria"/>
                <w:b w:val="false"/>
                <w:bCs w:val="false"/>
                <w:i w:val="false"/>
                <w:iCs w:val="false"/>
                <w:sz w:val="20"/>
                <w:szCs w:val="20"/>
              </w:rPr>
              <w:t>) noch fehlen; hat sie nach der Zulassung im Ausland mindestens drei Jahre erfolgreich unterrichtet, kann sie laut Behörde davon befreit sein. Als der Bericht drei Monate später ankommt und bestätigt, dass ihre Berufserfahrung die MTTC-Pflicht aufhebt, ist das für Anna der erste Moment seit der Ausreise, an dem sich Michigan nach einem Plan anfühlt und nicht nur nach Warten. Die H-4-Arbeitserlaubnis kann sie erst beantragen, wenn Markus’ I-140 genehmigt ist. Bis dahin ist ihre Lehrbefähigung geklärt.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Katrin, 44, Physiotherapeutin, darf als L-2-Ehefrau von Jan in Phoenix sofort arbeiten; ihr I-94 trägt die Kennung L-2S. Trotzdem kann sie nicht am ersten Tag in einer Praxis anfangen: Physiotherapie verlangt in Arizona wie in jedem Bundesstaat eine Lizenz, mit Bewertung der Ausbildung und bundesweiter Prüfung (NPTE). Katrin beginnt das Verfahren schon vor dem Umzug. Ihre Arbeitsberechtigung ist mit der Landung da, ihre Berufsberechtigung erst mit der Lizenz.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Berufstätige, zwei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Paare wollen nicht auf ein Einkommen setzen. Das geht, wenn jede Person einen eigenen Status hat. Die Wege im Überblick:</w:t>
      </w:r>
    </w:p>
    <w:p>
      <w:pPr>
        <w:pStyle w:val="ListParagraph"/>
        <w:numPr>
          <w:ilvl w:val="0"/>
          <w:numId w:val="1"/>
        </w:numPr>
        <w:spacing w:lineRule="exact" w:line="288" w:before="0" w:after="60"/>
        <w:rPr/>
      </w:pPr>
      <w:r>
        <w:rPr>
          <w:rFonts w:eastAsia="Cambria" w:cs="Cambria"/>
          <w:b/>
          <w:bCs/>
          <w:i w:val="false"/>
          <w:iCs w:val="false"/>
          <w:sz w:val="22"/>
          <w:szCs w:val="22"/>
        </w:rPr>
        <w:t>Zwei Sponsoren.</w:t>
      </w:r>
      <w:r>
        <w:rPr>
          <w:rFonts w:eastAsia="Cambria" w:cs="Cambria"/>
          <w:b w:val="false"/>
          <w:bCs w:val="false"/>
          <w:i w:val="false"/>
          <w:iCs w:val="false"/>
          <w:sz w:val="22"/>
          <w:szCs w:val="22"/>
        </w:rPr>
        <w:t xml:space="preserve"> Beide bewerben sich bei Arbeitgebern, die Visa sponsern. Beim H-1B heißt das zwei Registrierungen im März und zwei unabhängige Lose. Gewinnt nur eine Person, reist die andere als H-4 mit und versucht es im Folgejahr erneut. Ein Statuswechsel vom H-4 zum H-1B im Inland fällt nach der USCIS-Leitlinie vom 20. Oktober 2025 nicht unter die 100.000-$-Zahlung; der Entwurf über 103.265 $ würde ihn nach Kanzleiangaben erfassen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Cap-exempt.</w:t>
      </w:r>
      <w:r>
        <w:rPr>
          <w:rFonts w:eastAsia="Cambria" w:cs="Cambria"/>
          <w:b w:val="false"/>
          <w:bCs w:val="false"/>
          <w:i w:val="false"/>
          <w:iCs w:val="false"/>
          <w:sz w:val="22"/>
          <w:szCs w:val="22"/>
        </w:rPr>
        <w:t xml:space="preserve"> Eine Person arbeitet an einer Hochschule oder Forschungseinrichtung, ohne Lotterie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Hochschulen bieten für Partner häufig Unterstützung an (</w:t>
      </w:r>
      <w:r>
        <w:rPr>
          <w:rFonts w:eastAsia="Cambria" w:cs="Cambria"/>
          <w:b w:val="false"/>
          <w:bCs w:val="false"/>
          <w:i/>
          <w:iCs/>
          <w:sz w:val="22"/>
          <w:szCs w:val="22"/>
        </w:rPr>
        <w:t>Dual Career</w:t>
      </w:r>
      <w:r>
        <w:rPr>
          <w:rFonts w:eastAsia="Cambria" w:cs="Cambria"/>
          <w:b w:val="false"/>
          <w:bCs w:val="false"/>
          <w:i w:val="false"/>
          <w:iCs w:val="false"/>
          <w:sz w:val="22"/>
          <w:szCs w:val="22"/>
        </w:rPr>
        <w:t>), fragen lohnt sich.</w:t>
      </w:r>
    </w:p>
    <w:p>
      <w:pPr>
        <w:pStyle w:val="ListParagraph"/>
        <w:numPr>
          <w:ilvl w:val="0"/>
          <w:numId w:val="1"/>
        </w:numPr>
        <w:spacing w:lineRule="exact" w:line="288" w:before="0" w:after="60"/>
        <w:rPr/>
      </w:pPr>
      <w:r>
        <w:rPr>
          <w:rFonts w:eastAsia="Cambria" w:cs="Cambria"/>
          <w:b/>
          <w:bCs/>
          <w:i w:val="false"/>
          <w:iCs w:val="false"/>
          <w:sz w:val="22"/>
          <w:szCs w:val="22"/>
        </w:rPr>
        <w:t>Gemischte Status.</w:t>
      </w:r>
      <w:r>
        <w:rPr>
          <w:rFonts w:eastAsia="Cambria" w:cs="Cambria"/>
          <w:b w:val="false"/>
          <w:bCs w:val="false"/>
          <w:i w:val="false"/>
          <w:iCs w:val="false"/>
          <w:sz w:val="22"/>
          <w:szCs w:val="22"/>
        </w:rPr>
        <w:t xml:space="preserve"> Ein Partner mit L-1 oder E-2, der andere mit H-1B: möglich, aber jede Person hat eigene Fristen, eigene Bindung an den Arbeitgeber und einen eigenen Arbeitsort.</w:t>
      </w:r>
    </w:p>
    <w:p>
      <w:pPr>
        <w:pStyle w:val="ListParagraph"/>
        <w:numPr>
          <w:ilvl w:val="0"/>
          <w:numId w:val="1"/>
        </w:numPr>
        <w:spacing w:lineRule="exact" w:line="288" w:before="0" w:after="60"/>
        <w:rPr/>
      </w:pPr>
      <w:r>
        <w:rPr>
          <w:rFonts w:eastAsia="Cambria" w:cs="Cambria"/>
          <w:b/>
          <w:bCs/>
          <w:i w:val="false"/>
          <w:iCs w:val="false"/>
          <w:sz w:val="22"/>
          <w:szCs w:val="22"/>
        </w:rPr>
        <w:t>Rückfallposition.</w:t>
      </w:r>
      <w:r>
        <w:rPr>
          <w:rFonts w:eastAsia="Cambria" w:cs="Cambria"/>
          <w:b w:val="false"/>
          <w:bCs w:val="false"/>
          <w:i w:val="false"/>
          <w:iCs w:val="false"/>
          <w:sz w:val="22"/>
          <w:szCs w:val="22"/>
        </w:rPr>
        <w:t xml:space="preserve"> Verliert eine Person den Job, kommt ein Wechsel in den H-4 unter dem anderen Partner in Betracht; den Antrag stellst du rechtzeitig innerhalb der 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zweier Karrieren ist die Ortsbindung: Ein Umzug in ein anderes Beschäftigungsgebiet verlangt bei jeder Person eine neue Arbeitsbedingungserklärung und eine geänderte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Für die Green Card können beide getrennt antreten, oder eine Person folgt der anderen als Mitantragstellende – das entscheidet die Kanzlei mit dir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mitreisende Partner: Isolation und Einkommenslücke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mitreisende Partner ist der wunde Punkt des Systems. Die arbeitende Person hat Kollegen, die Kinder haben die Schule, wer zu Hause bleibt, hat oft nichts von beidem – nur die stille Wohnung am Nachmittag und die Frage, was man dem Nachbarn beim Small Talk auf „And what do you do?“ antwortet. Beim H-4 kommen Einkommenslücke, Karrierebruch und eine fehlende SSN zusammen, und das über Jahre. Sprich vor dem Abflug offen darüber, wer worauf verzichtet und wie lange, und vereinbart, wann ihr Bilanz zieht.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Wartezeit lässt sich nutzen: für Lizenzverfahren, Kurse (H-4 erlaubt Studium), Sprachpraxis, Ehrenamt und Kontakte (Anschluss finden: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Kulturschock, Krisenpunkte und wann Hilfe sinnvoll ist: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reisen mit, ohne eigene Lotterie oder eigenen Sponsor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in den ersten Jahren meist nicht arbeiten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arbeiten sofort und ohne eigenen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H-4-Arbeitserlaubnis ist Verordnungsrecht; ein Abschaffungsvorhaben steht auf der Agenda</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erlaubt Studium ohne Statuswechsel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Auswärtige kostet das Studium im Schnitt 31.880 $ statt 11.950 $ pro Jahr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Familie läuft im Green-Card-Verfahren mit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verlieren den Status mit 21 (Age-out)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besuchen die öffentliche Schule ihres Distrikts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Paare erhalten keinen Partnerstatus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Wartezeit lässt sich für Lizenz, Studium und Weiterbildung nutzen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Berufslizenzen sind Sache jedes Bundesstaats und dauern oft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eigene Status sichern zwei 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Einkommenslücke, Karrierepause und Isolation belasten die Beziehung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der Zusage, welcher Status für Partner und Kinder gilt. Heirate, falls nötig, vor dem Konsulatstermin, rechne die Altersgrenzen der Kinder durch, und stoße die Lizenzfrage für den Beruf des Partners an, solange noch keine Arbeitserlaubnis besteht.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Familienstand klären: Unverheiratete Paare heiraten vor dem Konsulatstermin; Heiratsurkunde, Übersetzung und Apostille mit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eingetragener Lebenspartnerschaft: Umwandlung in eine Ehe mit Standesamt und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 Person ein eigenes DS-160, einen Termin und die Gebühr einplanen; Social-Media-Profile vor dem Termin öffentlich stellen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Angebotsschreiben festhalten, wer die Kosten für Ehepartner und Kinder trägt (Konsulargebühren, I-539,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H-4: Haushaltsbudget mit einem Einkommen rechnen und den Start des Green-Card-Verfahrens mit dem Arbeitgeber klären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L-2 und E-2: nach der Landung den I-94 im Portal prüfen (Kennung L-2S bzw. E-2S).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21. Geburtstag aller Kinder in den Kalender eintragen; Age-out-Plan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Lizenzpflichtigen Beruf des Partners erkennen: Behörde des Zielstaats, Bewertungsdienst, Prüfungen und Kosten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Studium mit H-4: bei der Hochschule die Regeln zur In-State Tuition erfragen, bevor du dich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Verlängerung der Arbeitserlaubnis 180 Tage vor Ablauf einplanen; Kopien aller Bescheide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für die Wartezeit festlegen: Kurse, Ehrenamt, Kontakte, Termine für die gemeinsame Bilanz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Arbeitserlaubnis, Form I-765 (</w:t>
      </w:r>
      <w:hyperlink r:id="rId98">
        <w:r>
          <w:rPr>
            <w:rStyle w:val="ListLabel113"/>
            <w:rFonts w:eastAsia="Cambria" w:cs="Cambria"/>
            <w:b w:val="false"/>
            <w:bCs w:val="false"/>
            <w:i w:val="false"/>
            <w:iCs w:val="false"/>
            <w:color w:val="0563C1"/>
            <w:sz w:val="22"/>
            <w:szCs w:val="22"/>
            <w:u w:val="single"/>
          </w:rPr>
          <w:t>uscis.gov/i-765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9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L-1A und Arbeitsberechtigung der L-2-Ehepartner (</w:t>
      </w:r>
      <w:hyperlink r:id="rId100">
        <w:r>
          <w:rPr>
            <w:rStyle w:val="ListLabel113"/>
            <w:rFonts w:eastAsia="Cambria" w:cs="Cambria"/>
            <w:b w:val="false"/>
            <w:bCs w:val="false"/>
            <w:i w:val="false"/>
            <w:iCs w:val="false"/>
            <w:color w:val="0563C1"/>
            <w:sz w:val="22"/>
            <w:szCs w:val="22"/>
            <w:u w:val="single"/>
          </w:rPr>
          <w:t>uscis.gov/working-in-the-united-states/temporary-workers/l-1a-intracompany-transferee-executive-or-manager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Ehe und Ehepartner (</w:t>
      </w:r>
      <w:hyperlink r:id="rId101">
        <w:r>
          <w:rPr>
            <w:rStyle w:val="ListLabel113"/>
            <w:rFonts w:eastAsia="Cambria" w:cs="Cambria"/>
            <w:b w:val="false"/>
            <w:bCs w:val="false"/>
            <w:i w:val="false"/>
            <w:iCs w:val="false"/>
            <w:color w:val="0563C1"/>
            <w:sz w:val="22"/>
            <w:szCs w:val="22"/>
            <w:u w:val="single"/>
          </w:rPr>
          <w:t>uscis.gov/policy-manual/volume-6-part-b-chapter-6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Child Status Protection Act (</w:t>
      </w:r>
      <w:hyperlink r:id="rId102">
        <w:r>
          <w:rPr>
            <w:rStyle w:val="ListLabel113"/>
            <w:rFonts w:eastAsia="Cambria" w:cs="Cambria"/>
            <w:b w:val="false"/>
            <w:bCs w:val="false"/>
            <w:i w:val="false"/>
            <w:iCs w:val="false"/>
            <w:color w:val="0563C1"/>
            <w:sz w:val="22"/>
            <w:szCs w:val="22"/>
            <w:u w:val="single"/>
          </w:rPr>
          <w:t>uscis.gov/policy-manual/volume-7-part-a-chapter-7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 CBP — I-94-Portal (</w:t>
      </w:r>
      <w:hyperlink r:id="rId103">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Regelungsagenda der US-Regierung — Vorhaben RIN 1615-AD14 (</w:t>
      </w:r>
      <w:hyperlink r:id="rId104">
        <w:r>
          <w:rPr>
            <w:rStyle w:val="ListLabel113"/>
            <w:rFonts w:eastAsia="Cambria" w:cs="Cambria"/>
            <w:b w:val="false"/>
            <w:bCs w:val="false"/>
            <w:i w:val="false"/>
            <w:iCs w:val="false"/>
            <w:color w:val="0563C1"/>
            <w:sz w:val="22"/>
            <w:szCs w:val="22"/>
            <w:u w:val="single"/>
          </w:rPr>
          <w:t>reginfo.gov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Department of Education — Lehrkräfte aus dem Ausland (</w:t>
      </w:r>
      <w:hyperlink r:id="rId105">
        <w:r>
          <w:rPr>
            <w:rStyle w:val="ListLabel113"/>
            <w:rFonts w:eastAsia="Cambria" w:cs="Cambria"/>
            <w:b w:val="false"/>
            <w:bCs w:val="false"/>
            <w:i w:val="false"/>
            <w:iCs w:val="false"/>
            <w:color w:val="0563C1"/>
            <w:sz w:val="22"/>
            <w:szCs w:val="22"/>
            <w:u w:val="single"/>
          </w:rPr>
          <w:t>michigan.gov/mde</w:t>
        </w:r>
      </w:hyperlink>
      <w:r>
        <w:rPr>
          <w:rFonts w:eastAsia="Cambria" w:cs="Cambria"/>
          <w:b w:val="false"/>
          <w:bCs w:val="false"/>
          <w:i w:val="false"/>
          <w:iCs w:val="false"/>
          <w:sz w:val="22"/>
          <w:szCs w:val="22"/>
        </w:rPr>
        <w:t>, Suche: Out-of-Country Applicants)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4"/>
              </w:numPr>
              <w:spacing w:lineRule="exact" w:line="264" w:before="0" w:after="50"/>
              <w:rPr/>
            </w:pPr>
            <w:r>
              <w:rPr>
                <w:rFonts w:eastAsia="Cambria" w:cs="Cambria"/>
                <w:b w:val="false"/>
                <w:bCs w:val="false"/>
                <w:i w:val="false"/>
                <w:iCs w:val="false"/>
                <w:sz w:val="20"/>
                <w:szCs w:val="20"/>
              </w:rPr>
              <w:t>September 2026. Diese Angaben ändern sich schnell: das Vorhaben zur Abschaffung der H-4-Arbeitserlaubnis (RIN 1615-AD14, kein Entwurf veröffentlicht), die Gebühren für I-765, I-539 und I-485 (G-1055), die Regeln zur Verlängerung von Arbeitserlaubnissen, die Stichtage im Visa Bulletin und damit der Schutz durch den CSPA, die Entwürfe zu 103.265 $ und zur 60-Tage-Frist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sowie die Regeln der Bundesstaaten und Hochschulen zu Lizenzen und Studiengebühren. Prüfe vor jeder Entscheidung uscis.gov und die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1" w:name="__RefHeading___Toc56450_3457424410"/>
      <w:bookmarkStart w:id="32" w:name="k11"/>
      <w:bookmarkEnd w:id="31"/>
      <w:r>
        <w:rPr>
          <w:rFonts w:eastAsia="Amazon Ember" w:cs="Amazon Ember" w:ascii="Amazon Ember" w:hAnsi="Amazon Ember"/>
          <w:b/>
          <w:bCs/>
          <w:color w:val="0000FF"/>
          <w:sz w:val="36"/>
          <w:szCs w:val="36"/>
        </w:rPr>
        <w:t>Kapitel 11: Antrag, Konsulat, Anwalt, Kosten</w:t>
      </w:r>
      <w:bookmarkEnd w:id="3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Mail der Kanzlei kommt an einem Dienstagabend, Betreff: „Approved“. Im Anhang liegt der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und du atmest auf – bis du weiterliest: DS-160 ausfüllen, Gebühr zahlen, Termin buchen, Interview. Die Genehmigung der Einwanderungsbehörde ist erst die erste von drei Entscheidungen. Dieses Kapitel führt durch alles, was danach kommt: wer was macht, was es kostet und wo es hakt.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Dein Arbeitgeber ist Antragsteller, zahlt die Petition und beauftragt die Kanzlei; diese vertritt ihn, nicht dich. DS-160, Konsulargebühr und Interview sind deine Sache.</w:t>
            </w:r>
          </w:p>
          <w:p>
            <w:pPr>
              <w:pStyle w:val="ListParagraph"/>
              <w:numPr>
                <w:ilvl w:val="0"/>
                <w:numId w:val="1"/>
              </w:numPr>
              <w:spacing w:lineRule="exact" w:line="264" w:before="0" w:after="50"/>
              <w:rPr/>
            </w:pPr>
            <w:r>
              <w:rPr>
                <w:rFonts w:eastAsia="Cambria" w:cs="Cambria"/>
                <w:b w:val="false"/>
                <w:bCs w:val="false"/>
                <w:i w:val="false"/>
                <w:iCs w:val="false"/>
                <w:sz w:val="20"/>
                <w:szCs w:val="20"/>
              </w:rPr>
              <w:t>In Frankfurt, Berlin oder München erscheinst du persönlich: Ausnahmen vom Interview gibt es für H-1B und H-4 seit dem 2. September 2025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Neu sind die Prüfung deiner Online-Profile (seit 15. Dezember 2025) und kürzere Fristen bei Nachforderungen (seit 5. August 2026); die 250 $ Visa Integrity Fee werden uneinheitlich erhoben.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Kosten: 205 $ je Person, dazu möglicherweise 250 $ je Visum. Der Arbeitgeber investiert grob 5.600–11.600 $ je H-1B-Erstpetition.</w:t>
            </w:r>
          </w:p>
          <w:p>
            <w:pPr>
              <w:pStyle w:val="ListParagraph"/>
              <w:numPr>
                <w:ilvl w:val="0"/>
                <w:numId w:val="1"/>
              </w:numPr>
              <w:spacing w:lineRule="exact" w:line="264" w:before="0" w:after="50"/>
              <w:rPr/>
            </w:pPr>
            <w:r>
              <w:rPr>
                <w:rFonts w:eastAsia="Cambria" w:cs="Cambria"/>
                <w:b w:val="false"/>
                <w:bCs w:val="false"/>
                <w:i w:val="false"/>
                <w:iCs w:val="false"/>
                <w:sz w:val="20"/>
                <w:szCs w:val="20"/>
              </w:rPr>
              <w:t>Ein 221(g)-Vermerk (</w:t>
            </w:r>
            <w:r>
              <w:rPr>
                <w:rFonts w:eastAsia="Cambria" w:cs="Cambria"/>
                <w:b w:val="false"/>
                <w:bCs w:val="false"/>
                <w:i/>
                <w:iCs/>
                <w:sz w:val="20"/>
                <w:szCs w:val="20"/>
              </w:rPr>
              <w:t>Administrative Processing</w:t>
            </w:r>
            <w:r>
              <w:rPr>
                <w:rFonts w:eastAsia="Cambria" w:cs="Cambria"/>
                <w:b w:val="false"/>
                <w:bCs w:val="false"/>
                <w:i w:val="false"/>
                <w:iCs w:val="false"/>
                <w:sz w:val="20"/>
                <w:szCs w:val="20"/>
              </w:rPr>
              <w:t>) kann Wochen bis Monate dauern: Kündige erst, wenn das Visum im Pass steht.</w:t>
            </w:r>
          </w:p>
          <w:p>
            <w:pPr>
              <w:pStyle w:val="ListParagraph"/>
              <w:numPr>
                <w:ilvl w:val="0"/>
                <w:numId w:val="1"/>
              </w:numPr>
              <w:spacing w:lineRule="exact" w:line="264" w:before="0" w:after="50"/>
              <w:rPr/>
            </w:pPr>
            <w:r>
              <w:rPr>
                <w:rFonts w:eastAsia="Cambria" w:cs="Cambria"/>
                <w:b w:val="false"/>
                <w:bCs w:val="false"/>
                <w:i w:val="false"/>
                <w:iCs w:val="false"/>
                <w:sz w:val="20"/>
                <w:szCs w:val="20"/>
              </w:rPr>
              <w:t>Vertreten dürfen dich nur zugelassene Anwälte, „Visa-Berater“ und Notare gehören nicht dazu.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Kanzlei und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arbeitgebergestützten Visa (H-1B, L-1, O-1) ist dein Arbeitgeber der </w:t>
      </w:r>
      <w:r>
        <w:rPr>
          <w:rFonts w:eastAsia="Cambria" w:cs="Cambria"/>
          <w:b w:val="false"/>
          <w:bCs w:val="false"/>
          <w:i/>
          <w:iCs/>
          <w:sz w:val="22"/>
          <w:szCs w:val="22"/>
        </w:rPr>
        <w:t>Petitioner</w:t>
      </w:r>
      <w:r>
        <w:rPr>
          <w:rFonts w:eastAsia="Cambria" w:cs="Cambria"/>
          <w:b w:val="false"/>
          <w:bCs w:val="false"/>
          <w:i w:val="false"/>
          <w:iCs w:val="false"/>
          <w:sz w:val="22"/>
          <w:szCs w:val="22"/>
        </w:rPr>
        <w:t xml:space="preserve"> (Antragsteller), du der </w:t>
      </w:r>
      <w:r>
        <w:rPr>
          <w:rFonts w:eastAsia="Cambria" w:cs="Cambria"/>
          <w:b w:val="false"/>
          <w:bCs w:val="false"/>
          <w:i/>
          <w:iCs/>
          <w:sz w:val="22"/>
          <w:szCs w:val="22"/>
        </w:rPr>
        <w:t>Beneficiary</w:t>
      </w:r>
      <w:r>
        <w:rPr>
          <w:rFonts w:eastAsia="Cambria" w:cs="Cambria"/>
          <w:b w:val="false"/>
          <w:bCs w:val="false"/>
          <w:i w:val="false"/>
          <w:iCs w:val="false"/>
          <w:sz w:val="22"/>
          <w:szCs w:val="22"/>
        </w:rPr>
        <w:t xml:space="preserve"> (Begünstigter). Er reicht die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bei USCIS) und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934"/>
        <w:gridCol w:w="1591"/>
        <w:gridCol w:w="1478"/>
        <w:gridCol w:w="1476"/>
      </w:tblGrid>
      <w:tr>
        <w:trPr>
          <w:tblHeader w:val="true"/>
          <w:cantSplit w:val="true"/>
        </w:trPr>
        <w:tc>
          <w:tcPr>
            <w:tcW w:w="1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5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 und Kanzlei</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c>
          <w:tcPr>
            <w:tcW w:w="1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Lohn-Level, Diplombewertung</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prüfen und entscheiden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(März)</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trägt ein, meldet das Lohn-Level</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Passdaten korrekt melden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und Petition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erstellen und reichen ein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Rückfragen zügig beantworten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antwortet fristgerecht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erklären den Ablauf</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buchen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oft erstattet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schicken Bescheid und Briefing</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erscheinst persönlich</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I-94</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prüfst den Eintrag</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bereits in den USA ist, etwa als Student mit Statuswechsel von F-1 zu H-1B, braucht kein Konsulat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Für Ehepartner und Kinder (H-4) gilt der Ablauf ab dem DS-160 genauso – jede Person mit eigenem Formular und eigener Gebühr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Drei Stellen, drei Entscheidungen. USCIS genehmigt die Petition, das Konsulat erteilt das </w:t>
            </w:r>
            <w:r>
              <w:rPr>
                <w:rFonts w:eastAsia="Cambria" w:cs="Cambria"/>
                <w:b w:val="false"/>
                <w:bCs w:val="false"/>
                <w:i/>
                <w:iCs/>
                <w:sz w:val="20"/>
                <w:szCs w:val="20"/>
              </w:rPr>
              <w:t>Visum</w:t>
            </w:r>
            <w:r>
              <w:rPr>
                <w:rFonts w:eastAsia="Cambria" w:cs="Cambria"/>
                <w:b w:val="false"/>
                <w:bCs w:val="false"/>
                <w:i w:val="false"/>
                <w:iCs w:val="false"/>
                <w:sz w:val="20"/>
                <w:szCs w:val="20"/>
              </w:rPr>
              <w:t xml:space="preserve"> (das Einreisedokument im Pass), der Grenzschutz CBP gewährt bei der Einreise den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(das Aufenthaltsrecht, dokumentiert im I-94). Eine Genehmigung garantiert kein Visum, und ein Visum garantiert keine Einreise.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eigenen Anwalt finden und bezahlen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eigener Anwalt lohnt sich, wenn dein Fall über den Standard hinausgeht: Du hast eine Vorgeschichte (verweigertes Visum, Aufenthalt über die erlaubte Zeit, Vorstrafe), du gründest selbst (E-2,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dein Arbeitgeber hat wenig Visa-Erfahrung, oder du willst eine Zweitmeinung zu Zeitplan, Lohn-Level und Risiken – die Kanzlei deines Arbeitgebers ist an dessen Interessen gebunden.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Einwanderungsrecht ist Bundesrecht, deshalb genügt in der Regel die Zulassung in irgendeinem Bundesstaat; der Zielort spielt keine Rolle, Videotermine sind üblich. Die Anwaltskammer des Bundesstaats (</w:t>
      </w:r>
      <w:r>
        <w:rPr>
          <w:rFonts w:eastAsia="Cambria" w:cs="Cambria"/>
          <w:b w:val="false"/>
          <w:bCs w:val="false"/>
          <w:i/>
          <w:iCs/>
          <w:sz w:val="22"/>
          <w:szCs w:val="22"/>
        </w:rPr>
        <w:t>State Bar</w:t>
      </w:r>
      <w:r>
        <w:rPr>
          <w:rFonts w:eastAsia="Cambria" w:cs="Cambria"/>
          <w:b w:val="false"/>
          <w:bCs w:val="false"/>
          <w:i w:val="false"/>
          <w:iCs w:val="false"/>
          <w:sz w:val="22"/>
          <w:szCs w:val="22"/>
        </w:rPr>
        <w:t>) führt eine öffentliche Suche mit Zulassungsstatus und Disziplinarverfahren, der Berufsverband AILA betreibt unter ailalawyer.com eine Anwaltssuche. Frage im Erstgespräch nach der Zahl vergleichbarer Fälle pro Jahr, wer deinen Fall bearbeitet (Partner oder Mitarbeiter) und ob die Antwort auf eine Nachforderung im Preis enthalten ist. Lass dir alles schriftlich geben (</w:t>
      </w:r>
      <w:r>
        <w:rPr>
          <w:rFonts w:eastAsia="Cambria" w:cs="Cambria"/>
          <w:b w:val="false"/>
          <w:bCs w:val="false"/>
          <w:i/>
          <w:iCs/>
          <w:sz w:val="22"/>
          <w:szCs w:val="22"/>
        </w:rPr>
        <w:t>Retainer Agreement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Honorare (Marktangaben von Kanzleien und Vergleichsportalen 2026, kein amtlicher Tarif):</w:t>
      </w:r>
    </w:p>
    <w:p>
      <w:pPr>
        <w:pStyle w:val="ListParagraph"/>
        <w:numPr>
          <w:ilvl w:val="0"/>
          <w:numId w:val="1"/>
        </w:numPr>
        <w:spacing w:lineRule="exact" w:line="288" w:before="0" w:after="60"/>
        <w:rPr/>
      </w:pPr>
      <w:r>
        <w:rPr>
          <w:rFonts w:eastAsia="Cambria" w:cs="Cambria"/>
          <w:b w:val="false"/>
          <w:bCs w:val="false"/>
          <w:i w:val="false"/>
          <w:iCs w:val="false"/>
          <w:sz w:val="22"/>
          <w:szCs w:val="22"/>
        </w:rPr>
        <w:t>Erstberatung: 100–400 $, manche Kanzleien bieten sie kostenlos an.</w:t>
      </w:r>
    </w:p>
    <w:p>
      <w:pPr>
        <w:pStyle w:val="ListParagraph"/>
        <w:numPr>
          <w:ilvl w:val="0"/>
          <w:numId w:val="1"/>
        </w:numPr>
        <w:spacing w:lineRule="exact" w:line="288" w:before="0" w:after="60"/>
        <w:rPr/>
      </w:pPr>
      <w:r>
        <w:rPr>
          <w:rFonts w:eastAsia="Cambria" w:cs="Cambria"/>
          <w:b w:val="false"/>
          <w:bCs w:val="false"/>
          <w:i w:val="false"/>
          <w:iCs w:val="false"/>
          <w:sz w:val="22"/>
          <w:szCs w:val="22"/>
        </w:rPr>
        <w:t>Stundensatz: meist 250–500 $, Spanne 150–600 $.</w:t>
      </w:r>
    </w:p>
    <w:p>
      <w:pPr>
        <w:pStyle w:val="ListParagraph"/>
        <w:numPr>
          <w:ilvl w:val="0"/>
          <w:numId w:val="1"/>
        </w:numPr>
        <w:spacing w:lineRule="exact" w:line="288" w:before="0" w:after="60"/>
        <w:rPr/>
      </w:pPr>
      <w:r>
        <w:rPr>
          <w:rFonts w:eastAsia="Cambria" w:cs="Cambria"/>
          <w:b w:val="false"/>
          <w:bCs w:val="false"/>
          <w:i w:val="false"/>
          <w:iCs w:val="false"/>
          <w:sz w:val="22"/>
          <w:szCs w:val="22"/>
        </w:rPr>
        <w:t>H-1B-Erstpetition als Pauschale: meist 2.000–5.000 $, bezahlt vom Arbeitgeber.</w:t>
      </w:r>
    </w:p>
    <w:p>
      <w:pPr>
        <w:pStyle w:val="ListParagraph"/>
        <w:numPr>
          <w:ilvl w:val="0"/>
          <w:numId w:val="1"/>
        </w:numPr>
        <w:spacing w:lineRule="exact" w:line="288" w:before="0" w:after="60"/>
        <w:rPr/>
      </w:pPr>
      <w:r>
        <w:rPr>
          <w:rFonts w:eastAsia="Cambria" w:cs="Cambria"/>
          <w:b w:val="false"/>
          <w:bCs w:val="false"/>
          <w:i w:val="false"/>
          <w:iCs w:val="false"/>
          <w:sz w:val="22"/>
          <w:szCs w:val="22"/>
        </w:rPr>
        <w:t>Antwort auf eine Nachforderung: 1.000–3.000 $, teils mehr; manche Pauschalen enthalten sie.</w:t>
      </w:r>
    </w:p>
    <w:p>
      <w:pPr>
        <w:pStyle w:val="ListParagraph"/>
        <w:numPr>
          <w:ilvl w:val="0"/>
          <w:numId w:val="1"/>
        </w:numPr>
        <w:spacing w:lineRule="exact" w:line="288" w:before="0" w:after="60"/>
        <w:rPr/>
      </w:pPr>
      <w:r>
        <w:rPr>
          <w:rFonts w:eastAsia="Cambria" w:cs="Cambria"/>
          <w:b w:val="false"/>
          <w:bCs w:val="false"/>
          <w:i w:val="false"/>
          <w:iCs w:val="false"/>
          <w:sz w:val="22"/>
          <w:szCs w:val="22"/>
        </w:rPr>
        <w:t>Zweitmeinung für dich: ein bis zwei Stunden, also grob 300–1.000 $.</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Eigener Anwalt zusätzlich zur Kanzlei des Arbeitgebers:</w:t>
      </w:r>
    </w:p>
    <w:tbl>
      <w:tblPr>
        <w:tblW w:w="6480" w:type="dxa"/>
        <w:jc w:val="left"/>
        <w:tblInd w:w="0" w:type="dxa"/>
        <w:tblLayout w:type="fixed"/>
        <w:tblCellMar>
          <w:top w:w="50" w:type="dxa"/>
          <w:left w:w="80" w:type="dxa"/>
          <w:bottom w:w="50" w:type="dxa"/>
          <w:right w:w="80" w:type="dxa"/>
        </w:tblCellMar>
      </w:tblPr>
      <w:tblGrid>
        <w:gridCol w:w="3506"/>
        <w:gridCol w:w="2973"/>
      </w:tblGrid>
      <w:tr>
        <w:trPr>
          <w:tblHeader w:val="true"/>
          <w:cantSplit w:val="true"/>
        </w:trPr>
        <w:tc>
          <w:tcPr>
            <w:tcW w:w="3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Berät nur dich, nicht deinen Arbeitgeber</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Erstberatung 100–400 $, danach 250–500 $ pro Stunde</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zu Lohn-Level, Zeitplan und Risiken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Petition reicht weiter die Kanzlei des Arbeitgebers ein</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Ansprechpartner, auch wenn du die Stelle wechselst</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Anwälte bedeuten mehr Abstimmung</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Hilft bei Vorgeschichte, Familie und Sonderfällen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er kann kein Ergebnis garantieren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erkennen: Notario, Visa-Vermittler, falsche Sponsoren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bekannteste Falle heißt </w:t>
      </w:r>
      <w:r>
        <w:rPr>
          <w:rFonts w:eastAsia="Cambria" w:cs="Cambria"/>
          <w:b w:val="false"/>
          <w:bCs w:val="false"/>
          <w:i/>
          <w:iCs/>
          <w:sz w:val="22"/>
          <w:szCs w:val="22"/>
        </w:rPr>
        <w:t>Notario</w:t>
      </w:r>
      <w:r>
        <w:rPr>
          <w:rFonts w:eastAsia="Cambria" w:cs="Cambria"/>
          <w:b w:val="false"/>
          <w:bCs w:val="false"/>
          <w:i w:val="false"/>
          <w:iCs w:val="false"/>
          <w:sz w:val="22"/>
          <w:szCs w:val="22"/>
        </w:rPr>
        <w:t xml:space="preserve">: In manchen Ländern ist der </w:t>
      </w:r>
      <w:r>
        <w:rPr>
          <w:rFonts w:eastAsia="Cambria" w:cs="Cambria"/>
          <w:b w:val="false"/>
          <w:bCs w:val="false"/>
          <w:i/>
          <w:iCs/>
          <w:sz w:val="22"/>
          <w:szCs w:val="22"/>
        </w:rPr>
        <w:t>notario público</w:t>
      </w:r>
      <w:r>
        <w:rPr>
          <w:rFonts w:eastAsia="Cambria" w:cs="Cambria"/>
          <w:b w:val="false"/>
          <w:bCs w:val="false"/>
          <w:i w:val="false"/>
          <w:iCs w:val="false"/>
          <w:sz w:val="22"/>
          <w:szCs w:val="22"/>
        </w:rPr>
        <w:t xml:space="preserve"> ein Jurist mit weitreichenden Befugnissen. In den USA beglaubigt ein </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nur Unterschriften; er ist kein Anwalt und darf keinen Rechtsrat geben. Der einzige Titel, den ein US-</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zuverlässig trägt, ist der eines Stempelkissenbesitzers. Auch wer beim Wort „Notar” an den deutschen Volljuristen denkt, liegt falsch. Betrüger nutzen die Verwechslung, kassieren Vorkasse und reichen falsche oder gar keine Formulare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Anwalt, Vermittler oder „Berater“ kann ein Visum garantieren oder beschleunigen; Entscheidungen fallen nach Aktenlage, nicht nach Bekanntschaft. Prüfe die Zulassung bei der Anwaltskammer, bevor du zahlst, und unterschreibe nie ein leeres Formular.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Es ersetzt keine Beratung durch eine zugelassene Einwanderungsanwältin oder einen zugelassenen Einwanderungsanwalt. Regeln und Gebühren ändern sich; im Einzelfall entscheidet dein Sachverhalt.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Konsularverfahren in Deutschland: die Schritte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ESTA reisen Deutsche in die USA, arbeiten dürfen sie damit nicht. Für H-1B, L-1 oder O-1 brauchst du ein Visum vom Konsulat. Der Ablauf, sobald USCIS genehmigt hat:</w:t>
      </w:r>
    </w:p>
    <w:p>
      <w:pPr>
        <w:pStyle w:val="ListParagraph"/>
        <w:numPr>
          <w:ilvl w:val="0"/>
          <w:numId w:val="115"/>
        </w:numPr>
        <w:spacing w:lineRule="exact" w:line="288" w:before="0" w:after="60"/>
        <w:rPr/>
      </w:pPr>
      <w:r>
        <w:rPr>
          <w:rFonts w:eastAsia="Cambria" w:cs="Cambria"/>
          <w:b/>
          <w:bCs/>
          <w:i w:val="false"/>
          <w:iCs w:val="false"/>
          <w:sz w:val="22"/>
          <w:szCs w:val="22"/>
        </w:rPr>
        <w:t>Bescheid und Petitionsnummer.</w:t>
      </w:r>
      <w:r>
        <w:rPr>
          <w:rFonts w:eastAsia="Cambria" w:cs="Cambria"/>
          <w:b w:val="false"/>
          <w:bCs w:val="false"/>
          <w:i w:val="false"/>
          <w:iCs w:val="false"/>
          <w:sz w:val="22"/>
          <w:szCs w:val="22"/>
        </w:rPr>
        <w:t xml:space="preserve"> Die Kanzlei schickt dir den Bescheid (Form I-797) mit der Nummer der Petition (</w:t>
      </w:r>
      <w:r>
        <w:rPr>
          <w:rFonts w:eastAsia="Cambria" w:cs="Cambria"/>
          <w:b w:val="false"/>
          <w:bCs w:val="false"/>
          <w:i/>
          <w:iCs/>
          <w:sz w:val="22"/>
          <w:szCs w:val="22"/>
        </w:rPr>
        <w:t>Receipt Number</w:t>
      </w:r>
      <w:r>
        <w:rPr>
          <w:rFonts w:eastAsia="Cambria" w:cs="Cambria"/>
          <w:b w:val="false"/>
          <w:bCs w:val="false"/>
          <w:i w:val="false"/>
          <w:iCs w:val="false"/>
          <w:sz w:val="22"/>
          <w:szCs w:val="22"/>
        </w:rPr>
        <w:t>), die das DS-160 verlangt. Bitte auch um Kopien von Petition und LCA, damit deine Angaben dazu passen.</w:t>
      </w:r>
    </w:p>
    <w:p>
      <w:pPr>
        <w:pStyle w:val="ListParagraph"/>
        <w:numPr>
          <w:ilvl w:val="0"/>
          <w:numId w:val="116"/>
        </w:numPr>
        <w:spacing w:lineRule="exact" w:line="288" w:before="0" w:after="60"/>
        <w:rPr/>
      </w:pPr>
      <w:r>
        <w:rPr>
          <w:rFonts w:eastAsia="Cambria" w:cs="Cambria"/>
          <w:b/>
          <w:bCs/>
          <w:i w:val="false"/>
          <w:iCs w:val="false"/>
          <w:sz w:val="22"/>
          <w:szCs w:val="22"/>
        </w:rPr>
        <w:t>DS-160 ausfüllen.</w:t>
      </w:r>
      <w:r>
        <w:rPr>
          <w:rFonts w:eastAsia="Cambria" w:cs="Cambria"/>
          <w:b w:val="false"/>
          <w:bCs w:val="false"/>
          <w:i w:val="false"/>
          <w:iCs w:val="false"/>
          <w:sz w:val="22"/>
          <w:szCs w:val="22"/>
        </w:rPr>
        <w:t xml:space="preserve"> Das Online-Formular (ceac.state.gov/genniv) ist kostenlos und auf Englisch. Es fragt nach Person, Reisen, Arbeitgebern, Ausbildung, Familie und Social-Media-Konten der letzten fünf Jahre. Drucke die Bestätigungsseite mit Barcode aus.</w:t>
      </w:r>
    </w:p>
    <w:p>
      <w:pPr>
        <w:pStyle w:val="ListParagraph"/>
        <w:numPr>
          <w:ilvl w:val="0"/>
          <w:numId w:val="117"/>
        </w:numPr>
        <w:spacing w:lineRule="exact" w:line="288" w:before="0" w:after="60"/>
        <w:rPr/>
      </w:pPr>
      <w:r>
        <w:rPr>
          <w:rFonts w:eastAsia="Cambria" w:cs="Cambria"/>
          <w:b/>
          <w:bCs/>
          <w:i w:val="false"/>
          <w:iCs w:val="false"/>
          <w:sz w:val="22"/>
          <w:szCs w:val="22"/>
        </w:rPr>
        <w:t>Gebühr zahlen.</w:t>
      </w:r>
      <w:r>
        <w:rPr>
          <w:rFonts w:eastAsia="Cambria" w:cs="Cambria"/>
          <w:b w:val="false"/>
          <w:bCs w:val="false"/>
          <w:i w:val="false"/>
          <w:iCs w:val="false"/>
          <w:sz w:val="22"/>
          <w:szCs w:val="22"/>
        </w:rPr>
        <w:t xml:space="preserve"> Die Konsulargebühr (</w:t>
      </w:r>
      <w:r>
        <w:rPr>
          <w:rFonts w:eastAsia="Cambria" w:cs="Cambria"/>
          <w:b w:val="false"/>
          <w:bCs w:val="false"/>
          <w:i/>
          <w:iCs/>
          <w:sz w:val="22"/>
          <w:szCs w:val="22"/>
        </w:rPr>
        <w:t>MRV fee</w:t>
      </w:r>
      <w:r>
        <w:rPr>
          <w:rFonts w:eastAsia="Cambria" w:cs="Cambria"/>
          <w:b w:val="false"/>
          <w:bCs w:val="false"/>
          <w:i w:val="false"/>
          <w:iCs w:val="false"/>
          <w:sz w:val="22"/>
          <w:szCs w:val="22"/>
        </w:rPr>
        <w:t>) beträgt 205 $ je Person, auch für H-4. Der Beleg gilt 365 Tage, ohne Zahlung gibt es keinen Termin. Ob für deine Staatsangehörigkeit zusätzlich eine Reziprozitätsgebühr anfällt, zeigt die Länderseite Deutschland auf travel.state.gov.</w:t>
      </w:r>
    </w:p>
    <w:p>
      <w:pPr>
        <w:pStyle w:val="ListParagraph"/>
        <w:numPr>
          <w:ilvl w:val="0"/>
          <w:numId w:val="118"/>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Nichteinwanderervisa vergeben Frankfurt, Berlin und München. Der nächste freie Termin für H/L/O/P/Q lag am 20. September 2026 laut Aggregatoren (Daten des State Department) in Frankfurt bei ca. zwei Monaten, in Berlin bei ca. einem Monat, in München unter zwei Wochen. Familien buchen gemeinsam.</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Wartezeiten schwanken wöchentlich; aktuelle Werte zeigt das </w:t>
      </w:r>
      <w:r>
        <w:rPr>
          <w:rFonts w:eastAsia="Cambria" w:cs="Cambria"/>
          <w:b w:val="false"/>
          <w:bCs w:val="false"/>
          <w:i/>
          <w:iCs/>
          <w:sz w:val="22"/>
          <w:szCs w:val="22"/>
        </w:rPr>
        <w:t>Global Visa Wait Times</w:t>
      </w:r>
      <w:r>
        <w:rPr>
          <w:rFonts w:eastAsia="Cambria" w:cs="Cambria"/>
          <w:b w:val="false"/>
          <w:bCs w:val="false"/>
          <w:i w:val="false"/>
          <w:iCs w:val="false"/>
          <w:sz w:val="22"/>
          <w:szCs w:val="22"/>
        </w:rPr>
        <w:t>-Tool auf travel.state.gov. Ein Standort mit kürzerer Wartezeit lohnt oft die Bahnfahrt, soweit das Portal ihn anbietet.</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Standort</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 und Telefon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 für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Frankfurt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Gießener Str. 30, 60435 Frankfurt · (069) 7535-0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Baden-Württemberg, Hessen, Nordrhein-Westfalen, Rheinland-Pfalz und das Saarland; außerdem alle Einwanderungsvisa für ganz Deutschland (Green Card, Verlobten- und Ehepartnervisum)</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Berlin, Konsularabteilung</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Clayallee 170, 14195 Berlin · (030) 8305-0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Berlin und die nordöstlichen Bundesländer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München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Königinstraße 5, 80539 München · (089) 2888-0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Bayern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Vertretung zuständig ist, richtet sich nach deinem deutschen Wohnsitz, nicht nach freier Wahl; das DS-160-System schlägt sie automatisch vor. Beim Green-Card-Verfahren über das Konsulat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sowie bei Verlobten- und Ehepartnervisa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landest du unabhängig vom Wohnort in Frankfurt.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Unvollständige oder falsche Angaben im DS-160 können zu einer dauerhaften Einreisesperre führen (</w:t>
            </w:r>
            <w:r>
              <w:rPr>
                <w:rFonts w:eastAsia="Cambria" w:cs="Cambria"/>
                <w:b w:val="false"/>
                <w:bCs w:val="false"/>
                <w:i/>
                <w:iCs/>
                <w:sz w:val="20"/>
                <w:szCs w:val="20"/>
              </w:rPr>
              <w:t>Misrepresentation</w:t>
            </w:r>
            <w:r>
              <w:rPr>
                <w:rFonts w:eastAsia="Cambria" w:cs="Cambria"/>
                <w:b w:val="false"/>
                <w:bCs w:val="false"/>
                <w:i w:val="false"/>
                <w:iCs w:val="false"/>
                <w:sz w:val="20"/>
                <w:szCs w:val="20"/>
              </w:rPr>
              <w:t>), das gilt auch für vergessene Konten: Wer „None“ angibt, obwohl Profile existieren, macht eine Falschangabe. Gleiche Jobtitel, Daten und Arbeitgeber mit Petition und Lebenslauf ab, bevor du auf „Absenden“ klickst.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Interview: Regeln, Unterlagen, Fragen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Interview ist Pflicht und findet persönlich statt, mit Fingerabdrücken vor Ort. Seit dem 2. September 2025 ist der Verzicht (</w:t>
      </w:r>
      <w:r>
        <w:rPr>
          <w:rFonts w:eastAsia="Cambria" w:cs="Cambria"/>
          <w:b w:val="false"/>
          <w:bCs w:val="false"/>
          <w:i/>
          <w:iCs/>
          <w:sz w:val="22"/>
          <w:szCs w:val="22"/>
        </w:rPr>
        <w:t>Interview Waiver</w:t>
      </w:r>
      <w:r>
        <w:rPr>
          <w:rFonts w:eastAsia="Cambria" w:cs="Cambria"/>
          <w:b w:val="false"/>
          <w:bCs w:val="false"/>
          <w:i w:val="false"/>
          <w:iCs w:val="false"/>
          <w:sz w:val="22"/>
          <w:szCs w:val="22"/>
        </w:rPr>
        <w:t>, im Alltag „Dropbox“) fast abgeschafft: Er gilt nur noch für Verlängerungen von B-Visa binnen zwölf Monaten nach Ablauf und für diplomatische Visa. Für H-1B und H-4 gibt es keine Ausnahme, auch Kinder unter 14 und Personen über 79 müssen erscheinen – dasselbe gilt später für jede Visumerneuerung. Anträge stellst du im Land deiner Staatsangehörigkeit oder deines Wohnsitzes (seit 6. September 2025); das Ausweichen in ein Drittland ist nicht mehr vorgesehen.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Mitbringen solltest du, in einer Mappe: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Reisepass (samt früherer Pässe mit US-Visa)</w:t>
      </w:r>
    </w:p>
    <w:p>
      <w:pPr>
        <w:pStyle w:val="ListParagraph"/>
        <w:numPr>
          <w:ilvl w:val="0"/>
          <w:numId w:val="1"/>
        </w:numPr>
        <w:spacing w:lineRule="exact" w:line="288" w:before="0" w:after="60"/>
        <w:rPr/>
      </w:pPr>
      <w:r>
        <w:rPr>
          <w:rFonts w:eastAsia="Cambria" w:cs="Cambria"/>
          <w:b w:val="false"/>
          <w:bCs w:val="false"/>
          <w:i w:val="false"/>
          <w:iCs w:val="false"/>
          <w:sz w:val="22"/>
          <w:szCs w:val="22"/>
        </w:rPr>
        <w:t>Bestätigungsseite des DS-160, Terminbestätigung, Gebührenbeleg</w:t>
      </w:r>
    </w:p>
    <w:p>
      <w:pPr>
        <w:pStyle w:val="ListParagraph"/>
        <w:numPr>
          <w:ilvl w:val="0"/>
          <w:numId w:val="1"/>
        </w:numPr>
        <w:spacing w:lineRule="exact" w:line="288" w:before="0" w:after="60"/>
        <w:rPr/>
      </w:pPr>
      <w:r>
        <w:rPr>
          <w:rFonts w:eastAsia="Cambria" w:cs="Cambria"/>
          <w:b w:val="false"/>
          <w:bCs w:val="false"/>
          <w:i w:val="false"/>
          <w:iCs w:val="false"/>
          <w:sz w:val="22"/>
          <w:szCs w:val="22"/>
        </w:rPr>
        <w:t>Genehmigungsbescheid I-797 (Original) und Kopie der Petition samt Arbeitgeberbrief und LCA</w:t>
      </w:r>
    </w:p>
    <w:p>
      <w:pPr>
        <w:pStyle w:val="ListParagraph"/>
        <w:numPr>
          <w:ilvl w:val="0"/>
          <w:numId w:val="1"/>
        </w:numPr>
        <w:spacing w:lineRule="exact" w:line="288" w:before="0" w:after="60"/>
        <w:rPr/>
      </w:pPr>
      <w:r>
        <w:rPr>
          <w:rFonts w:eastAsia="Cambria" w:cs="Cambria"/>
          <w:b w:val="false"/>
          <w:bCs w:val="false"/>
          <w:i w:val="false"/>
          <w:iCs w:val="false"/>
          <w:sz w:val="22"/>
          <w:szCs w:val="22"/>
        </w:rPr>
        <w:t>Diplome und Zeugnisse (Übersetzungen: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Lebenslauf, Arbeitszeugnisse</w:t>
      </w:r>
    </w:p>
    <w:p>
      <w:pPr>
        <w:pStyle w:val="ListParagraph"/>
        <w:numPr>
          <w:ilvl w:val="0"/>
          <w:numId w:val="1"/>
        </w:numPr>
        <w:spacing w:lineRule="exact" w:line="288" w:before="0" w:after="60"/>
        <w:rPr/>
      </w:pPr>
      <w:r>
        <w:rPr>
          <w:rFonts w:eastAsia="Cambria" w:cs="Cambria"/>
          <w:b w:val="false"/>
          <w:bCs w:val="false"/>
          <w:i w:val="false"/>
          <w:iCs w:val="false"/>
          <w:sz w:val="22"/>
          <w:szCs w:val="22"/>
        </w:rPr>
        <w:t>bei H-4: Heirats- und Geburtsurkunden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Elektronische Geräte sind oft nur eingeschränkt erlaubt (Hinweise in der Terminbestätigung).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wahrheitsgemäß und im Einklang mit den Unterlagen; übe, deine Stelle in zwei englischen Sätzen zu erklären. Anders als bei Studien- oder Besuchervisa musst du nicht beweisen, dass du zurückkehrst (</w:t>
      </w:r>
      <w:r>
        <w:rPr>
          <w:rFonts w:eastAsia="Cambria" w:cs="Cambria"/>
          <w:b w:val="false"/>
          <w:bCs w:val="false"/>
          <w:i/>
          <w:iCs/>
          <w:sz w:val="22"/>
          <w:szCs w:val="22"/>
        </w:rPr>
        <w:t>Dual Intent</w:t>
      </w:r>
      <w:r>
        <w:rPr>
          <w:rFonts w:eastAsia="Cambria" w:cs="Cambria"/>
          <w:b w:val="false"/>
          <w:bCs w:val="false"/>
          <w:i w:val="false"/>
          <w:iCs w:val="false"/>
          <w:sz w:val="22"/>
          <w:szCs w:val="22"/>
        </w:rPr>
        <w:t>), der H-1B verträgt spätere Green-Card-Pläne. Das Gespräch dauert oft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(33, München) bucht nach der Genehmigung ihres H-1B-Antrags den Termin im Konsulat München, wo der nächste Slot in zwei Wochen frei ist. Vorher gleicht sie DS-160 und Lebenslauf ab und stellt ihre Konten auf „öffentlich“. Am Schalter fragt die Beamtin nach Arbeitgeber, Aufgaben und Abschluss und behält nach vier Minuten den Pass. Kosten für Sabine: 205 $ Konsulargebühr, dazu 250 $ Visa Integrity Fee, falls erhoben. Sabine kündigt ihren Job erst, als der Pass mit dem Visum zurück ist.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dem Interview: Visum, Prüfung, Ablehnung</w:t>
      </w:r>
    </w:p>
    <w:p>
      <w:pPr>
        <w:pStyle w:val="Normal"/>
        <w:keepNext w:val="false"/>
        <w:keepLines w:val="false"/>
        <w:spacing w:lineRule="exact" w:line="288" w:before="0" w:after="140"/>
        <w:jc w:val="left"/>
        <w:rPr/>
      </w:pPr>
      <w:r>
        <w:rPr>
          <w:rFonts w:eastAsia="Cambria" w:cs="Cambria"/>
          <w:b/>
          <w:bCs/>
          <w:i w:val="false"/>
          <w:iCs w:val="false"/>
          <w:sz w:val="22"/>
          <w:szCs w:val="22"/>
        </w:rPr>
        <w:t>Genehmigung.</w:t>
      </w:r>
      <w:r>
        <w:rPr>
          <w:rFonts w:eastAsia="Cambria" w:cs="Cambria"/>
          <w:b w:val="false"/>
          <w:bCs w:val="false"/>
          <w:i w:val="false"/>
          <w:iCs w:val="false"/>
          <w:sz w:val="22"/>
          <w:szCs w:val="22"/>
        </w:rP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Einreisen darfst du frühestens zehn Tage vor Beginn der Petition, arbeiten ab dem Startdatum.</w:t>
      </w:r>
    </w:p>
    <w:p>
      <w:pPr>
        <w:pStyle w:val="Normal"/>
        <w:keepNext w:val="false"/>
        <w:keepLines w:val="false"/>
        <w:spacing w:lineRule="exact" w:line="288" w:before="0" w:after="140"/>
        <w:jc w:val="left"/>
        <w:rPr/>
      </w:pPr>
      <w:r>
        <w:rPr>
          <w:rFonts w:eastAsia="Cambria" w:cs="Cambria"/>
          <w:b/>
          <w:bCs/>
          <w:i w:val="false"/>
          <w:iCs w:val="false"/>
          <w:sz w:val="22"/>
          <w:szCs w:val="22"/>
        </w:rPr>
        <w:t>Administrative Processing (221(g)).</w:t>
      </w:r>
      <w:r>
        <w:rPr>
          <w:rFonts w:eastAsia="Cambria" w:cs="Cambria"/>
          <w:b w:val="false"/>
          <w:bCs w:val="false"/>
          <w:i w:val="false"/>
          <w:iCs w:val="false"/>
          <w:sz w:val="22"/>
          <w:szCs w:val="22"/>
        </w:rPr>
        <w:t xml:space="preserve"> Manchmal entscheidet das Konsulat nicht sofort. Nach § 221(g) des </w:t>
      </w:r>
      <w:r>
        <w:rPr>
          <w:rFonts w:eastAsia="Cambria" w:cs="Cambria"/>
          <w:b w:val="false"/>
          <w:bCs w:val="false"/>
          <w:i/>
          <w:iCs/>
          <w:sz w:val="22"/>
          <w:szCs w:val="22"/>
        </w:rPr>
        <w:t>Immigration and Nationality Act</w:t>
      </w:r>
      <w:r>
        <w:rPr>
          <w:rFonts w:eastAsia="Cambria" w:cs="Cambria"/>
          <w:b w:val="false"/>
          <w:bCs w:val="false"/>
          <w:i w:val="false"/>
          <w:iCs w:val="false"/>
          <w:sz w:val="22"/>
          <w:szCs w:val="22"/>
        </w:rPr>
        <w:t xml:space="preserve"> (INA, dem Einwanderungsgesetz) kann es den Antrag vorläufig zurückstellen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ceac.state.gov – wer die Seite in dieser Zeit täglich neu lädt, handelt nur menschlich. Buche keinen neuen Termin und stelle keinen neuen Antrag: Das beschleunigt nichts und kostet eine weitere Gebühr, lass die Kanzlei nachhaken. Kanzleien warnen zudem, dass ein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später die Nutzung von ESTA für Privatreisen erschweren kann; kläre das vor der nächsten Urlaubsreise.</w:t>
      </w:r>
    </w:p>
    <w:p>
      <w:pPr>
        <w:pStyle w:val="Normal"/>
        <w:keepNext w:val="false"/>
        <w:keepLines w:val="false"/>
        <w:spacing w:lineRule="exact" w:line="288" w:before="0" w:after="140"/>
        <w:jc w:val="left"/>
        <w:rPr/>
      </w:pPr>
      <w:r>
        <w:rPr>
          <w:rFonts w:eastAsia="Cambria" w:cs="Cambria"/>
          <w:b/>
          <w:bCs/>
          <w:i w:val="false"/>
          <w:iCs w:val="false"/>
          <w:sz w:val="22"/>
          <w:szCs w:val="22"/>
        </w:rPr>
        <w:t>Ablehnung.</w:t>
      </w:r>
      <w:r>
        <w:rPr>
          <w:rFonts w:eastAsia="Cambria" w:cs="Cambria"/>
          <w:b w:val="false"/>
          <w:bCs w:val="false"/>
          <w:i w:val="false"/>
          <w:iCs w:val="false"/>
          <w:sz w:val="22"/>
          <w:szCs w:val="22"/>
        </w:rPr>
        <w:t xml:space="preserve"> Eine endgültige Ablehnung kommt mit einem Schreiben, das die Rechtsgrundlage nennt: Zweifel an Stelle oder Qualifikation, widersprüchliche Angaben oder Falschangaben. Gegen Konsularentscheidungen gibt es in der Regel kein förmliches Rechtsmittel. Üblich ist ein neuer Antrag (neues DS-160, neue Gebühr) mit ausgeräumten Zweifeln und neuen Belegen; liegt das Problem in der Petition, klärt die Kanzlei es mit USCIS. Ehepartner und Kinder (H-4) hängen am Verfahren der Hauptperson.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deinen Job erst, wenn das Visum im Pass steht, und buche Flüge und Container erst dann fest. Bei der Wohnung (in Deutschland meist drei Monate Kündigungsfrist) wägst du Kosten und Risiko ab und planst mit Puffer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Ein 221(g)-Vermerk kann das Startdatum um Wochen verschieben.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Aktuelle Verfahrensänderungen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Verfahren ist seit 2025 strenger und teurer geworden. Wichtig ist die Trennung zwischen geltenden Regeln und bloßen Vorschlägen.</w:t>
      </w:r>
    </w:p>
    <w:p>
      <w:pPr>
        <w:pStyle w:val="Normal"/>
        <w:keepNext w:val="false"/>
        <w:keepLines w:val="false"/>
        <w:spacing w:lineRule="exact" w:line="288" w:before="0" w:after="140"/>
        <w:jc w:val="left"/>
        <w:rPr/>
      </w:pPr>
      <w:r>
        <w:rPr>
          <w:rFonts w:eastAsia="Cambria" w:cs="Cambria"/>
          <w:b/>
          <w:bCs/>
          <w:i w:val="false"/>
          <w:iCs w:val="false"/>
          <w:sz w:val="22"/>
          <w:szCs w:val="22"/>
        </w:rPr>
        <w:t>Gilt heute:</w:t>
      </w:r>
    </w:p>
    <w:p>
      <w:pPr>
        <w:pStyle w:val="ListParagraph"/>
        <w:numPr>
          <w:ilvl w:val="0"/>
          <w:numId w:val="1"/>
        </w:numPr>
        <w:spacing w:lineRule="exact" w:line="288" w:before="0" w:after="60"/>
        <w:rPr/>
      </w:pPr>
      <w:r>
        <w:rPr>
          <w:rFonts w:eastAsia="Cambria" w:cs="Cambria"/>
          <w:b/>
          <w:bCs/>
          <w:i w:val="false"/>
          <w:iCs w:val="false"/>
          <w:sz w:val="22"/>
          <w:szCs w:val="22"/>
        </w:rPr>
        <w:t>Interview für fast alle</w:t>
      </w:r>
      <w:r>
        <w:rPr>
          <w:rFonts w:eastAsia="Cambria" w:cs="Cambria"/>
          <w:b w:val="false"/>
          <w:bCs w:val="false"/>
          <w:i w:val="false"/>
          <w:iCs w:val="false"/>
          <w:sz w:val="22"/>
          <w:szCs w:val="22"/>
        </w:rPr>
        <w:t xml:space="preserve"> und Antrag im Land der Staatsangehörigkeit oder des Wohnsitzes (siehe oben).</w:t>
      </w:r>
    </w:p>
    <w:p>
      <w:pPr>
        <w:pStyle w:val="ListParagraph"/>
        <w:numPr>
          <w:ilvl w:val="0"/>
          <w:numId w:val="1"/>
        </w:numPr>
        <w:spacing w:lineRule="exact" w:line="288" w:before="0" w:after="60"/>
        <w:rPr/>
      </w:pPr>
      <w:r>
        <w:rPr>
          <w:rFonts w:eastAsia="Cambria" w:cs="Cambria"/>
          <w:b/>
          <w:bCs/>
          <w:i w:val="false"/>
          <w:iCs w:val="false"/>
          <w:sz w:val="22"/>
          <w:szCs w:val="22"/>
        </w:rPr>
        <w:t>Online-Präsenz-Prüfung</w:t>
      </w:r>
      <w:r>
        <w:rPr>
          <w:rFonts w:eastAsia="Cambria" w:cs="Cambria"/>
          <w:b w:val="false"/>
          <w:bCs w:val="false"/>
          <w:i w:val="false"/>
          <w:iCs w:val="false"/>
          <w:sz w:val="22"/>
          <w:szCs w:val="22"/>
        </w:rPr>
        <w:t xml:space="preserve"> seit 15. Dezember 2025: H-1B- und H-4-Antragsteller sollen ihre Profile in sozialen Netzwerken öffentlich stellen. Laut Kanzleien achten Konsulate auf Widersprüche zu DS-160 und Petition, auf Feindseligkeit gegenüber den USA und bei H-1B auf die Beteiligung an „Zensur“ amerikanischer Bürger; berichtet wird eine interne Weisung, die Tätigkeiten in Content-Moderation, Faktenprüfung oder Online-Sicherheit erfasst. Private Profile können negative Schlüsse zulassen, Verzögerungen sind wahrscheinlicher – lösche nichts hektisch, kläre Zweifel vorher mit der Kanzlei.</w:t>
      </w:r>
    </w:p>
    <w:p>
      <w:pPr>
        <w:pStyle w:val="ListParagraph"/>
        <w:numPr>
          <w:ilvl w:val="0"/>
          <w:numId w:val="1"/>
        </w:numPr>
        <w:spacing w:lineRule="exact" w:line="288" w:before="0" w:after="60"/>
        <w:rPr/>
      </w:pPr>
      <w:r>
        <w:rPr>
          <w:rFonts w:eastAsia="Cambria" w:cs="Cambria"/>
          <w:b/>
          <w:bCs/>
          <w:i w:val="false"/>
          <w:iCs w:val="false"/>
          <w:sz w:val="22"/>
          <w:szCs w:val="22"/>
        </w:rPr>
        <w:t>Visa Integrity Fee:</w:t>
      </w:r>
      <w:r>
        <w:rPr>
          <w:rFonts w:eastAsia="Cambria" w:cs="Cambria"/>
          <w:b w:val="false"/>
          <w:bCs w:val="false"/>
          <w:i w:val="false"/>
          <w:iCs w:val="false"/>
          <w:sz w:val="22"/>
          <w:szCs w:val="22"/>
        </w:rPr>
        <w:t xml:space="preserve"> gesetzlich 250 $ je Visum, fällig bei Ausstellung, nicht für ESTA-Reisende. Die Erhebung ist uneinheitlich, ein Rückerstattungsverfahren nicht etabliert. Ob Frankfurt, Berlin und München sie aktuell verlangen, war nicht bestätigt – plane sie ein und frage bei der Buchung nach.</w:t>
      </w:r>
    </w:p>
    <w:p>
      <w:pPr>
        <w:pStyle w:val="ListParagraph"/>
        <w:numPr>
          <w:ilvl w:val="0"/>
          <w:numId w:val="1"/>
        </w:numPr>
        <w:spacing w:lineRule="exact" w:line="288" w:before="0" w:after="60"/>
        <w:rPr/>
      </w:pPr>
      <w:r>
        <w:rPr>
          <w:rFonts w:eastAsia="Cambria" w:cs="Cambria"/>
          <w:b/>
          <w:bCs/>
          <w:i w:val="false"/>
          <w:iCs w:val="false"/>
          <w:sz w:val="22"/>
          <w:szCs w:val="22"/>
        </w:rPr>
        <w:t>100.000-$-Zahlung</w:t>
      </w:r>
      <w:r>
        <w:rPr>
          <w:rFonts w:eastAsia="Cambria" w:cs="Cambria"/>
          <w:b w:val="false"/>
          <w:bCs w:val="false"/>
          <w:i w:val="false"/>
          <w:iCs w:val="false"/>
          <w:sz w:val="22"/>
          <w:szCs w:val="22"/>
        </w:rPr>
        <w:t xml:space="preserve"> (Proklamation 10973, am 18. September 2026 bis 21. September 2027 verlängert): Die Zahlung trifft neue Petitionen für Personen im Ausland, also grundsätzlich Deutsche im Konsularverfahren. Ein Gericht in Massachusetts hob die Umsetzung am 8. Juni 2026 auf, der First Circuit lehnte am 24. Juli 2026 die Aussetzung ab; derzeit wird die Zahlung nicht erhoben, die Berufung läuft, die Lage ist volatil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Kürzere RFE-Fristen</w:t>
      </w:r>
      <w:r>
        <w:rPr>
          <w:rFonts w:eastAsia="Cambria" w:cs="Cambria"/>
          <w:b w:val="false"/>
          <w:bCs w:val="false"/>
          <w:i w:val="false"/>
          <w:iCs w:val="false"/>
          <w:sz w:val="22"/>
          <w:szCs w:val="22"/>
        </w:rPr>
        <w:t xml:space="preserve"> seit 5. August 2026 (siehe unten).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Nur Vorschläge oder offen:</w:t>
      </w:r>
    </w:p>
    <w:p>
      <w:pPr>
        <w:pStyle w:val="ListParagraph"/>
        <w:numPr>
          <w:ilvl w:val="0"/>
          <w:numId w:val="1"/>
        </w:numPr>
        <w:spacing w:lineRule="exact" w:line="288" w:before="0" w:after="60"/>
        <w:rPr/>
      </w:pPr>
      <w:r>
        <w:rPr>
          <w:rFonts w:eastAsia="Cambria" w:cs="Cambria"/>
          <w:b/>
          <w:bCs/>
          <w:i w:val="false"/>
          <w:iCs w:val="false"/>
          <w:sz w:val="22"/>
          <w:szCs w:val="22"/>
        </w:rPr>
        <w:t>103.265 $ je Cap-Petition</w:t>
      </w:r>
      <w:r>
        <w:rPr>
          <w:rFonts w:eastAsia="Cambria" w:cs="Cambria"/>
          <w:b w:val="false"/>
          <w:bCs w:val="false"/>
          <w:i w:val="false"/>
          <w:iCs w:val="false"/>
          <w:sz w:val="22"/>
          <w:szCs w:val="22"/>
        </w:rPr>
        <w:t xml:space="preserve"> (Entwurf vom 25. August 2026, Kommentare bis 24. September 2026): soll laut Kanzleien auch für Statuswechsel im Inland und das Master-Kontingent gelten; frühester Start: die Saison ab April 2027.</w:t>
      </w:r>
    </w:p>
    <w:p>
      <w:pPr>
        <w:pStyle w:val="ListParagraph"/>
        <w:numPr>
          <w:ilvl w:val="0"/>
          <w:numId w:val="1"/>
        </w:numPr>
        <w:spacing w:lineRule="exact" w:line="288" w:before="0" w:after="60"/>
        <w:rPr/>
      </w:pPr>
      <w:r>
        <w:rPr>
          <w:rFonts w:eastAsia="Cambria" w:cs="Cambria"/>
          <w:b/>
          <w:bCs/>
          <w:i w:val="false"/>
          <w:iCs w:val="false"/>
          <w:sz w:val="22"/>
          <w:szCs w:val="22"/>
        </w:rPr>
        <w:t>Wegfall der 60-Tage-Frist</w:t>
      </w:r>
      <w:r>
        <w:rPr>
          <w:rFonts w:eastAsia="Cambria" w:cs="Cambria"/>
          <w:b w:val="false"/>
          <w:bCs w:val="false"/>
          <w:i w:val="false"/>
          <w:iCs w:val="false"/>
          <w:sz w:val="22"/>
          <w:szCs w:val="22"/>
        </w:rPr>
        <w:t xml:space="preserve"> nach Jobverlust (Entwurf vom 11. September 2026, Kommentare bis 10. November 2026): Bis zu einer Endfassung gilt die Frist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Höhere Pflichtlöhne</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w:t>
      </w:r>
      <w:r>
        <w:rPr>
          <w:rFonts w:eastAsia="Cambria" w:cs="Cambria"/>
          <w:b w:val="false"/>
          <w:bCs w:val="false"/>
          <w:i w:val="false"/>
          <w:iCs w:val="false"/>
          <w:sz w:val="22"/>
          <w:szCs w:val="22"/>
        </w:rPr>
        <w:t>, Entwurf des Arbeitsministeriums vom 27. März 2026): bis zum 20. September 2026 keine Endfassung.</w:t>
      </w:r>
    </w:p>
    <w:p>
      <w:pPr>
        <w:pStyle w:val="ListParagraph"/>
        <w:numPr>
          <w:ilvl w:val="0"/>
          <w:numId w:val="1"/>
        </w:numPr>
        <w:spacing w:lineRule="exact" w:line="288" w:before="0" w:after="60"/>
        <w:rPr/>
      </w:pPr>
      <w:r>
        <w:rPr>
          <w:rFonts w:eastAsia="Cambria" w:cs="Cambria"/>
          <w:b/>
          <w:bCs/>
          <w:i w:val="false"/>
          <w:iCs w:val="false"/>
          <w:sz w:val="22"/>
          <w:szCs w:val="22"/>
        </w:rPr>
        <w:t>Executive Order vom 18. September 2026:</w:t>
      </w:r>
      <w:r>
        <w:rPr>
          <w:rFonts w:eastAsia="Cambria" w:cs="Cambria"/>
          <w:b w:val="false"/>
          <w:bCs w:val="false"/>
          <w:i w:val="false"/>
          <w:iCs w:val="false"/>
          <w:sz w:val="22"/>
          <w:szCs w:val="22"/>
        </w:rPr>
        <w:t xml:space="preserve"> Entlassungen ähnlich qualifizierter US-Beschäftigter beim Arbeitgeber sollen bei LCA, Petition und Visum berücksichtigt werden; die Umsetzung ist offen. Frage vor dem Angebot nach Stellenabbau der letzten zwölf Monate.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Petition zahlt der Arbeitgeber, alles, was an dir als Person hängt, zahlst du oder verhandelst es. Zahlen Stand September 2026 (USCIS-Gebührenblatt G-1055, 22 CFR 22.1):</w:t>
      </w:r>
    </w:p>
    <w:tbl>
      <w:tblPr>
        <w:tblW w:w="6480" w:type="dxa"/>
        <w:jc w:val="left"/>
        <w:tblInd w:w="0" w:type="dxa"/>
        <w:tblLayout w:type="fixed"/>
        <w:tblCellMar>
          <w:top w:w="50" w:type="dxa"/>
          <w:left w:w="80" w:type="dxa"/>
          <w:bottom w:w="50" w:type="dxa"/>
          <w:right w:w="80" w:type="dxa"/>
        </w:tblCellMar>
      </w:tblPr>
      <w:tblGrid>
        <w:gridCol w:w="990"/>
        <w:gridCol w:w="1335"/>
        <w:gridCol w:w="2404"/>
        <w:gridCol w:w="1750"/>
      </w:tblGrid>
      <w:tr>
        <w:trPr>
          <w:tblHeader w:val="true"/>
          <w:cantSplit w:val="true"/>
        </w:trPr>
        <w:tc>
          <w:tcPr>
            <w:tcW w:w="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je Person</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Petition oder Verfahren</w:t>
            </w:r>
          </w:p>
        </w:tc>
        <w:tc>
          <w:tcPr>
            <w:tcW w:w="1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 die Petition</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3.380 $ (ab 26 Beschäftigte, Papier) bzw. 2.010 $ (Kleinbetrieb), plus 215 $ Registrierung</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2.485 $ (Kleinbetrieb 1.495 $)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1.655 $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oder Agent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Konsulat keine Petition; I-129 (1.015 $) nur bei Statuswechsel im Inland</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350 $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220 $ (Au-pair 35 $)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oder Sponsor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Hinzu kommen beim H-1B auf Wunsch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 für 2.965 $ und eine Zusatzgebühr von 4.000 $ (L-1: 4.500 $) für Firmen mit mindestens 50 Beschäftigten, von denen über die Hälfte im H-1B- oder L-1-Status arbeitet – sie trifft vor allem Outsourcing-Firmen. Rechnet man Registrierung (215 $), Behördengebühren (3.380 $) und Kanzlei (2.000–5.000 $) zusammen, kostet eine H-1B-Erstpetition den Arbeitgeber rund 5.600–8.600 $, mit Premium Processing rund 8.500–11.600 $ (eigene Rechnung, ohne 100.000-$-Zahlung).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dich betrifft: Die ACWIA-Gebühr sowie Anwalts- und Petitionskosten darf der Arbeitgeber nicht vom Lohn zurückholen. Konsulargebühren, Visa Integrity Fee, H-4-Anträge und Umzug zahlst du, sofern nichts anderes vereinbart ist – eine feste Regel gibt es nicht, es zählt, was im Angebotsschreiben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(Markus, Anna, Lena, Jonas) bucht vier Termine in München statt Frankfurt: Dort ist der nächste frei in zwei Wochen, in Frankfurt erst in acht. Die Rechnung: 4 × 205 $ = 820 $ Konsulargebühr, dazu möglicherweise 4 × 250 $ = 1.000 $ Visa Integrity Fee, zusammen bis zu 1.820 $. Im Angebot stand die Erstattung. Markus’ Interview endet mit einem 221(g)-Vermerk: Die Beamtin verlangt eine Arbeitgeberbestätigung und die Diplome. Nach fünf Wochen liegen alle vier Visa vor; das ist kein Richtwert. Als der Kurierumschlag mit den Pässen ankommt, breitet Anna alle vier aufgeschlagenen Visumseiten auf dem Küchentisch aus und fotografiert sie – der erste Beweis, dass der Umzug wirklich passiert.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im Angebotsschreiben ausdrücklich zusichern, dass der Arbeitgeber Konsulargebühren, Visa Integrity Fee und H-4-Kosten für die ganze Familie erstattet. Bei vier Personen sind das bis zu rund 1.800 $. Die Umzugskosten gehören in dieselbe Verhandlung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Request for Evidence: wenn USCIS nachfragt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Request for Evidence</w:t>
      </w:r>
      <w:r>
        <w:rPr>
          <w:rFonts w:eastAsia="Cambria" w:cs="Cambria"/>
          <w:b w:val="false"/>
          <w:bCs w:val="false"/>
          <w:i w:val="false"/>
          <w:iCs w:val="false"/>
          <w:sz w:val="22"/>
          <w:szCs w:val="22"/>
        </w:rPr>
        <w:t xml:space="preserve"> (RFE, Nachforderung) heißt: USCIS hält die Belege für unzureichend und will mehr sehen, bevor die Behörde entscheidet – keine Ablehnung, aber ernst. Typische Themen: ob die Stelle eine </w:t>
      </w:r>
      <w:r>
        <w:rPr>
          <w:rFonts w:eastAsia="Cambria" w:cs="Cambria"/>
          <w:b w:val="false"/>
          <w:bCs w:val="false"/>
          <w:i/>
          <w:iCs/>
          <w:sz w:val="22"/>
          <w:szCs w:val="22"/>
        </w:rPr>
        <w:t>Specialty Occupation</w:t>
      </w:r>
      <w:r>
        <w:rPr>
          <w:rFonts w:eastAsia="Cambria" w:cs="Cambria"/>
          <w:b w:val="false"/>
          <w:bCs w:val="false"/>
          <w:i w:val="false"/>
          <w:iCs w:val="false"/>
          <w:sz w:val="22"/>
          <w:szCs w:val="22"/>
        </w:rPr>
        <w:t xml:space="preserve"> ist, ob dein Abschluss zur Stelle passt (für deutsche Abschlüsse ist ein Äquivalenzgutachten üblich,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Arbeitsort und Kunde bei Einsätzen bei Dritten sowie die Lohnhöhe.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 für die Antwort beträgt nach der Regel bis zu 84 Tage. Seit einer USCIS-Richtlinie vom 5. August 2026 dürfen Sachbearbeiter kürzere, fallbezogene Fristen setzen; Kanzleien berichten von RFE mit nur 30 Tagen. Die Antwort muss bei USCIS eingehen, nicht nur abgeschickt sein, und USCIS lehnt Anträge mit fehlenden Pflichtbelegen laut Kanzleien jetzt öfter ohne vorherige Nachforderung ab. Beim Premium Processing steht die 15-Werktage-Uhr während der RFE still. Die Antwort kostet 1.000–3.000 $ und geht zulasten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30 Tagen zählt jede Woche. Halte Diplome, Zeugnisse, Arbeitszeugnisse und Stellenbeschreibung griffbereit, bleibe auch im Urlaub erreichbar und liefere angeforderte Unterlagen der Kanzlei binnen zwei Tagen.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Zeitplan: vom Jobangebot bis zum Umzug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H-1B mit Lotterie bestimmt der Kalender alles. Die Tabelle zeigt die Saison FY2027 (Fiskaljahr 1. Oktober 2026 bis 30. September 2027); Zeiten ab der Entscheidung sind Praxis- und Aggregatorwerte:</w:t>
      </w:r>
    </w:p>
    <w:tbl>
      <w:tblPr>
        <w:tblW w:w="6480" w:type="dxa"/>
        <w:jc w:val="left"/>
        <w:tblInd w:w="0" w:type="dxa"/>
        <w:tblLayout w:type="fixed"/>
        <w:tblCellMar>
          <w:top w:w="50" w:type="dxa"/>
          <w:left w:w="80" w:type="dxa"/>
          <w:bottom w:w="50" w:type="dxa"/>
          <w:right w:w="80" w:type="dxa"/>
        </w:tblCellMar>
      </w:tblPr>
      <w:tblGrid>
        <w:gridCol w:w="1373"/>
        <w:gridCol w:w="1964"/>
        <w:gridCol w:w="1276"/>
        <w:gridCol w:w="1866"/>
      </w:tblGrid>
      <w:tr>
        <w:trPr>
          <w:tblHeader w:val="true"/>
          <w:cantSplit w:val="true"/>
        </w:trPr>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19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Hinweis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schriftliche Sponsoring-Zusage, Lohn-Level, Diplombewertung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vor der Registrierung stehen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(215 $)</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FY2027: 4.–19. März 2026; Ergebnis bis 31. März</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 bis Juni</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dann Petition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Kanzlei</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LCA-Prüfung sieben Werktage; Filing-Fenster mindestens 90 Tage</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Einreichung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ggf. RFE</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15 Werktage; regulär mehrere Monate (uscis.gov/processing-times)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Genehmigung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Frankfurt ca. zwei Monate, Berlin ca. ein Monat, München unter zwei Wochen</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Interviewtag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 ggf. 221(g)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 bei 221(g)</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dem Visum</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Flug, Umzug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Kündigungsfrist im Job einplanen; 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w:t>
            </w:r>
            <w:hyperlink w:anchor="k20">
              <w:r>
                <w:rPr>
                  <w:rStyle w:val="ListLabel112"/>
                  <w:rFonts w:eastAsia="Cambria" w:cs="Cambria"/>
                  <w:b w:val="false"/>
                  <w:bCs w:val="false"/>
                  <w:i w:val="false"/>
                  <w:iCs w:val="false"/>
                  <w:sz w:val="18"/>
                  <w:szCs w:val="18"/>
                </w:rPr>
                <w:t>20</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21. September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zehn Tage vor Petitionsbeginn 1. Oktober</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 dem Startdatum der Petition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dauert die Strecke von der Einreichung bis zum Visum mit Premium Processing oft nur wenige Monate (abgeleitet aus Premium-Frist und Terminwartezeiten, ohne Garantie).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Angebot im April bedeutet: Die März-Registrierung ist verpasst, der Start frühestens im Oktober des Folgejahres. Frage bei jedem Angebot, wann und wie der Arbeitgeber registriert, und plane ein Ausweichmodell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Angebotsschreiben: Sponsoring, Startdatum und Kostenübernahme (Konsulargebühren, Visa Integrity Fee, H-4, Umzug)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Kanzlei, Ansprechperson und Kopien von Petition und LCA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du zusätzlich einen eigenen Anwalt brauchst; Zulassung bei der Anwaltskammer geprüft, Honorarvereinbarung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Arbeitszeugnisse und Lebenslauf bereit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bei Familie Heirats- und Geburtsurkunden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DS-160 für jede Person ausgefüllt (Petitionsnummer aus dem Bescheid I-797), mit Petition und Lebenslauf abgeglichen, alle Social-Media-Konten angegeben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Konsulargebühr (205 $ je Person) gezahlt, Termin für die Familie gemeinsam gebucht, Standorte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Profile in sozialen Netzwerken vor dem Termin auf „öffentlich“ gestellt, nichts hektisch gelöscht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Interview-Mappe gepackt: Pass, DS-160-Bestätigung, Terminbestätigung, Gebührenbeleg, I-797, Kopien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geprüft (Name, Kategorie, Datum); erst danach gekündigt, Flüge gebucht, Umzug beauftragt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Visa, Gebühren, Wartezeiten: </w:t>
      </w:r>
      <w:hyperlink r:id="rId106">
        <w:r>
          <w:rPr>
            <w:rStyle w:val="ListLabel113"/>
            <w:rFonts w:eastAsia="Cambria" w:cs="Cambria"/>
            <w:b w:val="false"/>
            <w:bCs w:val="false"/>
            <w:i w:val="false"/>
            <w:iCs w:val="false"/>
            <w:color w:val="0563C1"/>
            <w:sz w:val="22"/>
            <w:szCs w:val="22"/>
            <w:u w:val="single"/>
          </w:rPr>
          <w:t>travel.state.gov/visas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US-Botschaft und Konsulate in Deutschland — Visaverfahren und Terminportal: </w:t>
      </w:r>
      <w:hyperlink r:id="rId107">
        <w:r>
          <w:rPr>
            <w:rStyle w:val="ListLabel113"/>
            <w:rFonts w:eastAsia="Cambria" w:cs="Cambria"/>
            <w:b w:val="false"/>
            <w:bCs w:val="false"/>
            <w:i w:val="false"/>
            <w:iCs w:val="false"/>
            <w:color w:val="0563C1"/>
            <w:sz w:val="22"/>
            <w:szCs w:val="22"/>
            <w:u w:val="single"/>
          </w:rPr>
          <w:t>de.usembassy.gov/visas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DS-160 und Statusabfrage: </w:t>
      </w:r>
      <w:hyperlink r:id="rId108">
        <w:r>
          <w:rPr>
            <w:rStyle w:val="ListLabel113"/>
            <w:rFonts w:eastAsia="Cambria" w:cs="Cambria"/>
            <w:b w:val="false"/>
            <w:bCs w:val="false"/>
            <w:i w:val="false"/>
            <w:iCs w:val="false"/>
            <w:color w:val="0563C1"/>
            <w:sz w:val="22"/>
            <w:szCs w:val="22"/>
            <w:u w:val="single"/>
          </w:rPr>
          <w:t>ceac.state.gov/genniv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(G-1055): </w:t>
      </w:r>
      <w:hyperlink r:id="rId109">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w:t>
      </w:r>
      <w:hyperlink r:id="rId11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11">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Betrug vermeiden: </w:t>
      </w:r>
      <w:hyperlink r:id="rId112">
        <w:r>
          <w:rPr>
            <w:rStyle w:val="ListLabel113"/>
            <w:rFonts w:eastAsia="Cambria" w:cs="Cambria"/>
            <w:b w:val="false"/>
            <w:bCs w:val="false"/>
            <w:i w:val="false"/>
            <w:iCs w:val="false"/>
            <w:color w:val="0563C1"/>
            <w:sz w:val="22"/>
            <w:szCs w:val="22"/>
            <w:u w:val="single"/>
          </w:rPr>
          <w:t>uscis.gov/avoid-scams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Verbraucherschutzbehörde FTC — Betrug melden: </w:t>
      </w:r>
      <w:hyperlink r:id="rId113">
        <w:r>
          <w:rPr>
            <w:rStyle w:val="ListLabel113"/>
            <w:rFonts w:eastAsia="Cambria" w:cs="Cambria"/>
            <w:b w:val="false"/>
            <w:bCs w:val="false"/>
            <w:i w:val="false"/>
            <w:iCs w:val="false"/>
            <w:color w:val="0563C1"/>
            <w:sz w:val="22"/>
            <w:szCs w:val="22"/>
            <w:u w:val="single"/>
          </w:rPr>
          <w:t>reportfraud.ftc.gov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9"/>
              </w:numPr>
              <w:spacing w:lineRule="exact" w:line="264" w:before="0" w:after="50"/>
              <w:rPr/>
            </w:pPr>
            <w:r>
              <w:rPr>
                <w:rFonts w:eastAsia="Cambria" w:cs="Cambria"/>
                <w:b w:val="false"/>
                <w:bCs w:val="false"/>
                <w:i w:val="false"/>
                <w:iCs w:val="false"/>
                <w:sz w:val="20"/>
                <w:szCs w:val="20"/>
              </w:rPr>
              <w:t>September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tc>
      </w:tr>
    </w:tbl>
    <w:p>
      <w:pPr>
        <w:sectPr>
          <w:footerReference w:type="even" r:id="rId114"/>
          <w:footerReference w:type="default" r:id="rId115"/>
          <w:footerReference w:type="first" r:id="rId1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33" w:name="__RefHeading___Toc56452_3457424410"/>
      <w:bookmarkEnd w:id="33"/>
      <w:r>
        <w:rPr>
          <w:rFonts w:eastAsia="Amazon Ember" w:cs="Amazon Ember" w:ascii="Amazon Ember" w:hAnsi="Amazon Ember"/>
          <w:b/>
          <w:bCs/>
          <w:color w:val="0000FF"/>
        </w:rPr>
        <w:t>TEIL III — Wohnort und Wohnen</w:t>
      </w:r>
    </w:p>
    <w:p>
      <w:pPr>
        <w:sectPr>
          <w:footerReference w:type="even" r:id="rId117"/>
          <w:footerReference w:type="default" r:id="rId118"/>
          <w:footerReference w:type="first" r:id="rId1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Wo du lebst, entscheidet über Gehalt, Schule, Steuern und Freundeskreis. Und ob du mietest oder kaufst, über einen großen Teil deines Vermögens.</w:t>
      </w:r>
      <w:r>
        <w:br w:type="page"/>
      </w:r>
    </w:p>
    <w:p>
      <w:pPr>
        <w:pStyle w:val="Heading2"/>
        <w:keepNext w:val="true"/>
        <w:spacing w:lineRule="exact" w:line="340" w:before="0" w:after="300"/>
        <w:jc w:val="center"/>
        <w:rPr/>
      </w:pPr>
      <w:bookmarkStart w:id="34" w:name="__RefHeading___Toc56454_3457424410"/>
      <w:bookmarkStart w:id="35" w:name="k12"/>
      <w:bookmarkEnd w:id="34"/>
      <w:r>
        <w:rPr>
          <w:rFonts w:eastAsia="Amazon Ember" w:cs="Amazon Ember" w:ascii="Amazon Ember" w:hAnsi="Amazon Ember"/>
          <w:b/>
          <w:bCs/>
          <w:color w:val="0000FF"/>
          <w:sz w:val="36"/>
          <w:szCs w:val="36"/>
        </w:rPr>
        <w:t>Kapitel 12: Wo leben? Die besten Orte nach Berufsfeld</w:t>
      </w:r>
      <w:bookmarkEnd w:id="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ersten Job bestimmt fast immer der Arbeitgeber den Ort; freie Wahl kommt meist erst beim zweiten oder dritten Job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Gehalt, Wohnkosten und Steuern immer zusammen: 130.000 $ bedeuten in Columbus etwas anderes als in San Francisco.</w:t>
            </w:r>
          </w:p>
          <w:p>
            <w:pPr>
              <w:pStyle w:val="ListParagraph"/>
              <w:numPr>
                <w:ilvl w:val="0"/>
                <w:numId w:val="1"/>
              </w:numPr>
              <w:spacing w:lineRule="exact" w:line="264" w:before="0" w:after="50"/>
              <w:rPr/>
            </w:pPr>
            <w:r>
              <w:rPr>
                <w:rFonts w:eastAsia="Cambria" w:cs="Cambria"/>
                <w:b w:val="false"/>
                <w:bCs w:val="false"/>
                <w:i w:val="false"/>
                <w:iCs w:val="false"/>
                <w:sz w:val="20"/>
                <w:szCs w:val="20"/>
              </w:rPr>
              <w:t>Tech zahlt am besten, aber 2026 mit Entlassungswelle und schwachem Einstiegsmarkt; Halbleiter-Jobs entstehen schon in Arizona, Idaho und Texas, in Ohio erst ab 2030.</w:t>
            </w:r>
          </w:p>
          <w:p>
            <w:pPr>
              <w:pStyle w:val="ListParagraph"/>
              <w:numPr>
                <w:ilvl w:val="0"/>
                <w:numId w:val="1"/>
              </w:numPr>
              <w:spacing w:lineRule="exact" w:line="264" w:before="0" w:after="50"/>
              <w:rPr/>
            </w:pPr>
            <w:r>
              <w:rPr>
                <w:rFonts w:eastAsia="Cambria" w:cs="Cambria"/>
                <w:b w:val="false"/>
                <w:bCs w:val="false"/>
                <w:i w:val="false"/>
                <w:iCs w:val="false"/>
                <w:sz w:val="20"/>
                <w:szCs w:val="20"/>
              </w:rPr>
              <w:t>Acht Bundesstaaten erheben keine Einkommensteuer – das ersetzt aber keine Rechnung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Miete das erste Jahr, auch wenn du dich schon entschieden hast; das spart teure Fehlentscheidungen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Job den Ort bestimmt – und warum sich das später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ein Jobangebot in der Tasche hat, sucht sich aus, in welcher Stadt er lebt. Tatsächlich entscheidest du beim ersten Job in den USA selten selbst, wo du wohnst. Kommst du über ein Arbeitgeber-Visum wie H-1B oder L-1, nennt die Petition deines Arbeitgebers einen festen Arbeitsort, meist eine Metropolregion (englisch </w:t>
      </w:r>
      <w:r>
        <w:rPr>
          <w:rFonts w:eastAsia="Cambria" w:cs="Cambria"/>
          <w:b w:val="false"/>
          <w:bCs w:val="false"/>
          <w:i/>
          <w:iCs/>
          <w:sz w:val="22"/>
          <w:szCs w:val="22"/>
        </w:rPr>
        <w:t>Metro Area</w:t>
      </w:r>
      <w:r>
        <w:rPr>
          <w:rFonts w:eastAsia="Cambria" w:cs="Cambria"/>
          <w:b w:val="false"/>
          <w:bCs w:val="false"/>
          <w:i w:val="false"/>
          <w:iCs w:val="false"/>
          <w:sz w:val="22"/>
          <w:szCs w:val="22"/>
        </w:rPr>
        <w:t xml:space="preserve">, eine zusammenhängende Wirtschafts- und Pendlerregion um eine Kernstadt).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die dein Arbeitgeber beim Arbeitsministerium einreicht, bindet dich an dieses Gebiet; ein Umzug in eine andere Region braucht in der Regel eine neue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über ein Studium kommt (F-1, OPT,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hat beim ersten Arbeitgeber ebenfalls wenig Spielraum, weil schon das Jobangebot selbst rar ist. Nur wer über E-2, L-1A oder O-1 selbständig oder als Führungskraft kommt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oder bereits eine Green Card besitzt, wählt den Ort wirklich 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klingt einschränkender, als es ist. Amerikaner bleiben im Median nur 3,9 Jahre bei einem Arbeitgeber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Wohnort folgt fast immer dem ersten Job, nicht umgekehrt. Wer die Wahl hat, sollte die Kriterien dieses Kapitels schon beim Jobangebot prüfen, nicht erst nach der Zusage.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bei der Wahl zählt: Gehalt, Kosten und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Sobald du wählen kannst oder das zugewiesene Angebot bewerten willst, zählt zuerst das Verhältnis von Gehalt zu Lebenshaltungskosten, nicht das Gehalt allein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zeigt das Rechenmodell). Ein Softwareentwickler verdient im Median 213.110 $ in San José, aber ein Einfamilienhaus kostet dort 2.050.000 $; in Columbus, Ohio, sind es 122.340 $ Gehalt bei 363.100 $ Kaufpreis – ein deutlich günstigeres Verhältnis, auch wenn die absolute Zahl kleiner wirkt. Ein hohes Nominalgehalt in San Francisco oder Boston lässt nach Steuern und Wohnkosten oft weniger übrig als ein niedrigeres Gehalt in Columbus oder Raleigh – wer nur auf die Zahl im Angebotsschreiben schaut, wundert sich am Monatsende, wohin das Geld verschwunden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variiert ebenfalls stark, von rund 0,3 % des Hauswerts in Hawaii bis 1,9 % in New Jersey und Illinois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ist Schulqualität oft das gewichtigste Kriterium: Die öffentliche Schule richtet sich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des Wohnorts, nicht nach der Stadt insgesamt, und gefragte Bezirke kosten beim Kauf oder Mieten einen spürbaren Aufschlag. Wie du Schulbezirke bewertest, erklärt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die Steckbriefe weiter unten nennen je Region Beispiele gefragter Bezirke.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Naturgefahren und der Alltag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andere den Alltag – Hitzeperioden, Winterstürme, Rauch von Waldbränden.</w:t>
      </w:r>
    </w:p>
    <w:tbl>
      <w:tblPr>
        <w:tblW w:w="6480" w:type="dxa"/>
        <w:jc w:val="left"/>
        <w:tblInd w:w="0" w:type="dxa"/>
        <w:tblLayout w:type="fixed"/>
        <w:tblCellMar>
          <w:top w:w="50" w:type="dxa"/>
          <w:left w:w="80" w:type="dxa"/>
          <w:bottom w:w="50" w:type="dxa"/>
          <w:right w:w="80" w:type="dxa"/>
        </w:tblCellMar>
      </w:tblPr>
      <w:tblGrid>
        <w:gridCol w:w="1400"/>
        <w:gridCol w:w="2703"/>
        <w:gridCol w:w="2377"/>
      </w:tblGrid>
      <w:tr>
        <w:trPr>
          <w:tblHeader w:val="true"/>
          <w:cantSplit w:val="true"/>
        </w:trPr>
        <w:tc>
          <w:tcPr>
            <w:tcW w:w="1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Naturgefahr</w:t>
            </w:r>
          </w:p>
        </w:tc>
        <w:tc>
          <w:tcPr>
            <w:tcW w:w="2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Betroffene Regionen (Beispiele)</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Golfküste, Florida, Houston, Carolinas, teils Washington DC</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Sturmsaison Juni bis November, Evakuierungszonen, Selbstbehalt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 Colorado, Pacific-Northwest-Rauch</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FEMA-Gefahrenkarten, Versicherbarkeit vor dem Kauf prüfen</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Francisco/Los Angeles, Seattle/Portland, Salt Lake City</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Standardpolice deckt Erdbeben meist nicht; Zusatzpolice nötig</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 Houston, Nashville, Huntsville, Atlanta, Minneapolis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Sturmkeller oder sicherer Innenraum, Warn-Apps</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 Austin, Houston, Dallas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 ist Pflichtausgabe, hohe Stromrechnung im Sommer</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 Winter</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 Chicago, Denver, Upstate New York</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Heizkosten, Winterreifen, Schneeräumpflicht am eigenen Grundstück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Faustregel gilt: Wer eine Immobilie in einer Hochrisikozone kauft, holt vor der Kaufentscheidung ein Versicherungsangebot ein,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w:t>
            </w:r>
            <w:r>
              <w:rPr>
                <w:rFonts w:eastAsia="Cambria" w:cs="Cambria"/>
                <w:b w:val="false"/>
                <w:bCs w:val="false"/>
                <w:i/>
                <w:iCs/>
                <w:sz w:val="20"/>
                <w:szCs w:val="20"/>
              </w:rPr>
              <w:t>FAIR Plan</w:t>
            </w:r>
            <w:r>
              <w:rPr>
                <w:rFonts w:eastAsia="Cambria" w:cs="Cambria"/>
                <w:b w:val="false"/>
                <w:bCs w:val="false"/>
                <w:i w:val="false"/>
                <w:iCs w:val="false"/>
                <w:sz w:val="20"/>
                <w:szCs w:val="20"/>
              </w:rPr>
              <w:t xml:space="preserve"> auf (663.000 Policen, Stand März 2026). Prüfe die Versicherbarkeit, bevor du kaufst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Direktflüge, deutsche Community und ÖPNV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(Stand September 2026; Streckenpläne ändern sich saisonal). Ohne Nonstop-Verbindung reist du unter anderem ab Phoenix, Salt Lake City, Boise, Columbus, Nashville, Greenville–Spartanburg und Huntsville – meist mit Umstieg über eines der genannten Drehkreuze.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mit Kindern kann eine Deutsche Auslandsschule mit Deutschem Internationalen Abitur (</w:t>
      </w:r>
      <w:r>
        <w:rPr>
          <w:rFonts w:eastAsia="Cambria" w:cs="Cambria"/>
          <w:b w:val="false"/>
          <w:bCs w:val="false"/>
          <w:i/>
          <w:iCs/>
          <w:sz w:val="22"/>
          <w:szCs w:val="22"/>
        </w:rPr>
        <w:t>DIA</w:t>
      </w:r>
      <w:r>
        <w:rPr>
          <w:rFonts w:eastAsia="Cambria" w:cs="Cambria"/>
          <w:b w:val="false"/>
          <w:bCs w:val="false"/>
          <w:i w:val="false"/>
          <w:iCs w:val="false"/>
          <w:sz w:val="22"/>
          <w:szCs w:val="22"/>
        </w:rPr>
        <w:t>)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Tech, Software und Halbleiter: hohe Löhne, unsichere 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Softwareentwickler verdienen bundesweit im Median 135.980 $ im Jahr (Mai 2025) – in den teuersten Metros deutlich mehr: San José 213.110 $, San Francisco/Oakland 186.640 $, New York 166.830 $, Boston 166.090 $, Boulder 164.560 $, Los Angeles 160.920 $. Das beste Verhältnis von Gehalt zu Lebenshaltungskosten findest du eher in Raleigh–Durham (132.770–135.620 $), Atlanta (132.960 $), Dallas–Fort Worth (133.290 $), Charlotte (135.920 $) oder Phoenix (131.750 $) – Regionen mit spürbar niedrigeren Kauf- und Mietpreisen. Seattle und der Großraum Washington sind ebenfalls wichtige Tech-Standorte (Amazon, Microsoft, Cloud-Rechenzentren); für sie liegen derzeit keine belastbaren Gehaltszahlen nach Metro vor. Sabine Keller (fiktiv) etwa zieht als Softwareentwicklerin mit H-1B-Visum nach Seattle, wo Amazon, Microsoft und ein dichtes Cloud- und KI-Ökosystem hohe Gehälter zahlen – aber auch die Entlassungswelle der Branche zuerst zuschlägt; was ein Stellenabbau (</w:t>
      </w:r>
      <w:r>
        <w:rPr>
          <w:rFonts w:eastAsia="Cambria" w:cs="Cambria"/>
          <w:b w:val="false"/>
          <w:bCs w:val="false"/>
          <w:i/>
          <w:iCs/>
          <w:sz w:val="22"/>
          <w:szCs w:val="22"/>
        </w:rPr>
        <w:t>Layoff</w:t>
      </w:r>
      <w:r>
        <w:rPr>
          <w:rFonts w:eastAsia="Cambria" w:cs="Cambria"/>
          <w:b w:val="false"/>
          <w:bCs w:val="false"/>
          <w:i w:val="false"/>
          <w:iCs w:val="false"/>
          <w:sz w:val="22"/>
          <w:szCs w:val="22"/>
        </w:rPr>
        <w:t>) für deinen Status bedeutet, erklärt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zusätzlich um 7,5 % gegenüber dem Vorjahr. Ein Jobangebot in der Tech-Branche ist 2026 kein Selbstläufer mehr, besonders nicht für den ersten Job.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Halbleiter-Standorte sind stark ortsgebunden, mit sehr unterschiedlichen Zeitplänen. In Arizona fertigt Intels Fab 52 in 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wechselt als Prozessingenieur in der Halbleiterfertigung von Dresden mit einem L-1-Visum in den Großraum Phoenix, Arizona. Sein Arbeitgeber verlegt ihn an ein Werk, das seit Herbst 2025 in Serie fertigt – anders als das Intel-Werk in Ohio, das laut Zeitplan erst 2030/31 anläuft. Katrin, seine Frau, arbeitet als Physiotherapeutin und braucht in Arizona eine eigene Zulassung; Sohn Paul, 15, wechselt mitten im Schuljahr die Schule. Die Familie kalkuliert mit 477.700 $ Median-Kaufpreis für ein Einfamilienhaus und mietet im ersten Jahr für rund 1.480 $ eine Zweizimmerwohnung – auch, weil sie die Sommerhitze erst erleben will, bevor sie kauft: Schon der erste Weg zum Auto im August fühlt sich an, als hielte jemand einen Fön ins Gesicht, ein Wetter, das sich von Fotos allein nicht vorstellen lässt.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Automobil und Maschinenbau: Zulieferer unter Zolldruck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 die höchsten Gehälter gibt es eher außerhalb, in Denver (128.180 $), Ann Arbor (127.310 $) oder Houston (125.350 $).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 ob und wie das umgesetzt wird, war im September 2026 nicht abschließend geklärt. Deutsche Zulieferer bauen als Reaktion in Deutschland Stellen ab (Bosch, ZF, Schaeffler); welche Folgen das für die US-Werke selbst hat, ist nicht sicher beziffert.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H-1B-Visum in den Großraum Detroit, Michigan; Markus arbeitet dort als Maschinenbauingenieur bei einem Automobilzulieferer. Der Median-Kaufpreis für ein Einfamilienhaus liegt bei 311.800 $, deutlich unter dem US-Durchschnitt von 434.900 $, die Zweizimmermiete bei rund 1.100 $. Dass Michigan 4,25 % Einkommensteuer erhebt und die Stadt Detroit selbst zusätzlich eine Lohnsteuer verlangt, gleicht die niedrigen Wohnkosten teilweise aus. Weil die Zollpolitik die Zulieferbranche unter Druck setzt, fragt Markus im Vorstellungsgespräch offen nach der Auftragslage des Werks. Die Antwort des Personalchefs – ein vorsichtiges „Wir planen langfristig“ – klingt beruhigender, als sie gemeint ist, doch Markus nimmt den Job trotzdem an. Anna informiert sich parallel über die Schuldistrikte in Auburn Hills und Novi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im ersten Jahr mietet die Familie, bevor sie über einen Kauf entscheidet.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für einen Job bei einem deutschen Automobilzulieferer in die USA zieht, erfragt die Auftragslage und Zollrisiken des konkreten Werks, nicht nur die Konzernzahlen. Stellenabbau in Deutschland ist keine verlässliche Prognose für den US-Standort, aber ein Warnsignal.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Pharma, Biotech, Medtech und Gesundheitsberufe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breit vertreten: Bayer (New Jersey, Kalifornien, North Carolina), Boehringer Ingelheim (Connecticut), Merck KGaA/EMD Serono und Fresenius (Massachusetts), Siemens Healthineers (Pennsylvania), BioNTech (Massachusetts), B. Braun (Pennsylvania). Seit Herbst 2025 gilt für Marken-Arzneimittel ein Einfuhrzoll von 100 %, gedeckelt auf 15 % für Länder mit Handelsabkommen wie die EU; welche Folgen das für Produktionsentscheidungen in den USA hat, ist noch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Pflegefachkräfte (</w:t>
      </w:r>
      <w:r>
        <w:rPr>
          <w:rFonts w:eastAsia="Cambria" w:cs="Cambria"/>
          <w:b w:val="false"/>
          <w:bCs w:val="false"/>
          <w:i/>
          <w:iCs/>
          <w:sz w:val="22"/>
          <w:szCs w:val="22"/>
        </w:rPr>
        <w:t>Registered Nurses</w:t>
      </w:r>
      <w:r>
        <w:rPr>
          <w:rFonts w:eastAsia="Cambria" w:cs="Cambria"/>
          <w:b w:val="false"/>
          <w:bCs w:val="false"/>
          <w:i w:val="false"/>
          <w:iCs w:val="false"/>
          <w:sz w:val="22"/>
          <w:szCs w:val="22"/>
        </w:rP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rFonts w:eastAsia="Cambria" w:cs="Cambria"/>
          <w:b w:val="false"/>
          <w:bCs w:val="false"/>
          <w:i/>
          <w:iCs/>
          <w:sz w:val="22"/>
          <w:szCs w:val="22"/>
        </w:rPr>
        <w:t>State Board of Nursing</w:t>
      </w:r>
      <w:r>
        <w:rPr>
          <w:rFonts w:eastAsia="Cambria" w:cs="Cambria"/>
          <w:b w:val="false"/>
          <w:bCs w:val="false"/>
          <w:i w:val="false"/>
          <w:iCs w:val="false"/>
          <w:sz w:val="22"/>
          <w:szCs w:val="22"/>
        </w:rPr>
        <w:t xml:space="preserve">), die Prüfung </w:t>
      </w:r>
      <w:r>
        <w:rPr>
          <w:rFonts w:eastAsia="Cambria" w:cs="Cambria"/>
          <w:b w:val="false"/>
          <w:bCs w:val="false"/>
          <w:i/>
          <w:iCs/>
          <w:sz w:val="22"/>
          <w:szCs w:val="22"/>
        </w:rPr>
        <w:t>NCLEX-RN</w:t>
      </w:r>
      <w:r>
        <w:rPr>
          <w:rFonts w:eastAsia="Cambria" w:cs="Cambria"/>
          <w:b w:val="false"/>
          <w:bCs w:val="false"/>
          <w:i w:val="false"/>
          <w:iCs w:val="false"/>
          <w:sz w:val="22"/>
          <w:szCs w:val="22"/>
        </w:rPr>
        <w:t xml:space="preserve"> und meist über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Ärzte durchlaufen zusätzlich die Anerkennung durch ECFMG und das Auswahlverfahren </w:t>
      </w:r>
      <w:r>
        <w:rPr>
          <w:rFonts w:eastAsia="Cambria" w:cs="Cambria"/>
          <w:b w:val="false"/>
          <w:bCs w:val="false"/>
          <w:i/>
          <w:iCs/>
          <w:sz w:val="22"/>
          <w:szCs w:val="22"/>
        </w:rPr>
        <w:t>Match</w:t>
      </w:r>
      <w:r>
        <w:rPr>
          <w:rFonts w:eastAsia="Cambria" w:cs="Cambria"/>
          <w:b w:val="false"/>
          <w:bCs w:val="false"/>
          <w:i w:val="false"/>
          <w:iCs w:val="false"/>
          <w:sz w:val="22"/>
          <w:szCs w:val="22"/>
        </w:rPr>
        <w:t>. Große Versorgungszentren wie das Texas Medical Center in Houston, die Cleveland Clinic, Duke in Durham oder HCA in Nashville stellen regelmäßig internationales Personal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Finanzen, Energie und Luft-/Raumfahrt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Elektroingenieure verdienen dort oft über 130.000 $ im Median (Houston 131.070 $).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Stellen in der Rüstungs- und Raumfahrtindustrie verlangen eine </w:t>
            </w:r>
            <w:r>
              <w:rPr>
                <w:rFonts w:eastAsia="Cambria" w:cs="Cambria"/>
                <w:b w:val="false"/>
                <w:bCs w:val="false"/>
                <w:i/>
                <w:iCs/>
                <w:sz w:val="20"/>
                <w:szCs w:val="20"/>
              </w:rPr>
              <w:t>Security Clearance</w:t>
            </w:r>
            <w:r>
              <w:rPr>
                <w:rFonts w:eastAsia="Cambria" w:cs="Cambria"/>
                <w:b w:val="false"/>
                <w:bCs w:val="false"/>
                <w:i w:val="false"/>
                <w:iCs w:val="false"/>
                <w:sz w:val="20"/>
                <w:szCs w:val="20"/>
              </w:rPr>
              <w:t xml:space="preserve"> (Sicherheitsüberprüfung) und oft die US-Staatsbürgerschaft, weil sie der Exportkontrolle (ITAR/EAR) unterliegen. Für Inhaber eines Arbeitsvisums sind solche Stellen häufig von vornherein nicht zugänglich – frage vor der Bewerbung gezielt nach, ob die Position für Ausländer offen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Forschung, Handwerk und Selbständigkeit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ein Vorteil für den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hängen stärker an Bundesstaat und Kommune als an der Metropolregion: Elektriker verdienen bundesweit im Median 63.190 $, mit den höchsten Werten in Portland (105.090 $), Chicago (102.350 $)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Nachfrage entsteht vor allem durch Rechenzentren, neue Fabriken und den Netzausbau, unter anderem in Virginia, Texas, Georgia, Ohio und Arizona.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Selbständigkeit allein verschafft kein Aufenthaltsrecht; die Wege führen über E-2 (für Deutsche offen), L-1A oder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der Standortwahl zählt zusätzlich das Unternehmensrecht: Viele Gründer errichten ihre Gesellschaft (</w:t>
      </w:r>
      <w:r>
        <w:rPr>
          <w:rFonts w:eastAsia="Cambria" w:cs="Cambria"/>
          <w:b w:val="false"/>
          <w:bCs w:val="false"/>
          <w:i/>
          <w:iCs/>
          <w:sz w:val="22"/>
          <w:szCs w:val="22"/>
        </w:rPr>
        <w:t>LLC</w:t>
      </w:r>
      <w:r>
        <w:rPr>
          <w:rFonts w:eastAsia="Cambria" w:cs="Cambria"/>
          <w:b w:val="false"/>
          <w:bCs w:val="false"/>
          <w:i w:val="false"/>
          <w:iCs w:val="false"/>
          <w:sz w:val="22"/>
          <w:szCs w:val="22"/>
        </w:rPr>
        <w:t>) in Delaware oder Wyoming und registrieren sie ergänzend am tatsächlichen Geschäftsort (</w:t>
      </w:r>
      <w:r>
        <w:rPr>
          <w:rFonts w:eastAsia="Cambria" w:cs="Cambria"/>
          <w:b w:val="false"/>
          <w:bCs w:val="false"/>
          <w:i/>
          <w:iCs/>
          <w:sz w:val="22"/>
          <w:szCs w:val="22"/>
        </w:rPr>
        <w:t>Foreign Qualification</w:t>
      </w:r>
      <w:r>
        <w:rPr>
          <w:rFonts w:eastAsia="Cambria" w:cs="Cambria"/>
          <w:b w:val="false"/>
          <w:bCs w:val="false"/>
          <w:i w:val="false"/>
          <w:iCs w:val="false"/>
          <w:sz w:val="22"/>
          <w:szCs w:val="22"/>
        </w:rPr>
        <w:t>). Kalifornien erhebt unabhängig vom Gewinn eine Mindeststeuer von 800 $ im Jahr für Kapitalgesellschaften (</w:t>
      </w:r>
      <w:r>
        <w:rPr>
          <w:rFonts w:eastAsia="Cambria" w:cs="Cambria"/>
          <w:b w:val="false"/>
          <w:bCs w:val="false"/>
          <w:i/>
          <w:iCs/>
          <w:sz w:val="22"/>
          <w:szCs w:val="22"/>
        </w:rPr>
        <w:t>Franchise Tax</w:t>
      </w:r>
      <w:r>
        <w:rPr>
          <w:rFonts w:eastAsia="Cambria" w:cs="Cambria"/>
          <w:b w:val="false"/>
          <w:bCs w:val="false"/>
          <w:i w:val="false"/>
          <w:iCs w:val="false"/>
          <w:sz w:val="22"/>
          <w:szCs w:val="22"/>
        </w:rPr>
        <w:t>); andere Staaten staffeln sie nach Umsatz. Wer keinen festen Bürostandort braucht, wägt oft zwischen einem Staat ohne Einkommensteuer und einem starken Branchen-Ökosystem wie San Francisco, Austin oder Boston.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Steckbriefe: 26 Metropolregionen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 beide Werte schwanken je nach Quelle und ändern sich laufend, sieh sie als Orientierung. Wo keine Miete steht, lag zum Redaktionsschluss keine belastbare Stadt-Miete vor („nicht ermittelt“); nutze Immobilienportale für aktuelle Werte.</w:t>
      </w:r>
    </w:p>
    <w:p>
      <w:pPr>
        <w:pStyle w:val="Normal"/>
        <w:keepNext w:val="false"/>
        <w:keepLines w:val="false"/>
        <w:spacing w:lineRule="exact" w:line="288" w:before="0" w:after="140"/>
        <w:jc w:val="left"/>
        <w:rPr/>
      </w:pPr>
      <w:r>
        <w:rPr>
          <w:rFonts w:eastAsia="Cambria" w:cs="Cambria"/>
          <w:b/>
          <w:bCs/>
          <w:i w:val="false"/>
          <w:iCs w:val="false"/>
          <w:sz w:val="22"/>
          <w:szCs w:val="22"/>
        </w:rPr>
        <w:t>Westküste und Bergstaaten: hohe bis sehr hohe Kosten, Tech- und Halbleiternähe</w:t>
      </w:r>
    </w:p>
    <w:tbl>
      <w:tblPr>
        <w:tblW w:w="6480" w:type="dxa"/>
        <w:jc w:val="left"/>
        <w:tblInd w:w="0" w:type="dxa"/>
        <w:tblLayout w:type="fixed"/>
        <w:tblCellMar>
          <w:top w:w="50" w:type="dxa"/>
          <w:left w:w="80" w:type="dxa"/>
          <w:bottom w:w="50" w:type="dxa"/>
          <w:right w:w="80" w:type="dxa"/>
        </w:tblCellMar>
      </w:tblPr>
      <w:tblGrid>
        <w:gridCol w:w="1093"/>
        <w:gridCol w:w="2297"/>
        <w:gridCol w:w="1295"/>
        <w:gridCol w:w="179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22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Bay/Silicon Valley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Tech, KI, Halbleiter-Design, Biotech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 1.500.000 $ / 4.300–6.120 $; San José 2.050.000 $ / 2.880–3.660 $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bis 13,3 %; Erdbeben, Waldbrandrauch;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 Microsoft, Boeing, Cloud/KI</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815.000 $ / 1.930–2.720 $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 keine Lohnsteuer; Erdbebenrisiko;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Portland/Hillsboro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Intel-Forschung, Halbleiterausrüstung, adidas NA</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611.100 $ / 1.400–1.710 $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 bis 9,9 %; Waldbrandrauch; kein Nonstop ganzjährig</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 Angeles/Orange County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Medien, Luft-/Raumfahrt, Medtech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 879.900 $ / 2.170–2.960 $; OC 1.485.000 $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Erdbeben, Hitze;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Diego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 Verteidigung, Telekom/Chips</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1.075.000 $ / 2.200–3.010 $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 TSMC, Amkor, Rechenzentren</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477.700 $ / 1.190–1.480 $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AZ 2,5 %; extreme Hitze, Wasserknappheit;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Lake City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Fintech/Software, Luftfahrt, Halbleiter</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601.200 $ / 1.200–1.630 $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 4,5 %; Erdbebenrisiko;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Boise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Micron, HP,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521.600 $ / 1.450–1.640 $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 5,3 %; Waldbrand; kein Nonstop, Mieten steigend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Denver/Boulder</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Energie, Forschung,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 668.300 $ / 1.540–2.150 $; Boulder 841.500 $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 4,4 %; Hagel, Höhenlage;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Süden, Texas und Südosten: Wachstumsregion, niedrige bis mittlere Kosten</w:t>
      </w:r>
    </w:p>
    <w:tbl>
      <w:tblPr>
        <w:tblW w:w="6480" w:type="dxa"/>
        <w:jc w:val="left"/>
        <w:tblInd w:w="0" w:type="dxa"/>
        <w:tblLayout w:type="fixed"/>
        <w:tblCellMar>
          <w:top w:w="50" w:type="dxa"/>
          <w:left w:w="80" w:type="dxa"/>
          <w:bottom w:w="50" w:type="dxa"/>
          <w:right w:w="80" w:type="dxa"/>
        </w:tblCellMar>
      </w:tblPr>
      <w:tblGrid>
        <w:gridCol w:w="1831"/>
        <w:gridCol w:w="1830"/>
        <w:gridCol w:w="989"/>
        <w:gridCol w:w="1829"/>
      </w:tblGrid>
      <w:tr>
        <w:trPr>
          <w:tblHeader w:val="true"/>
          <w:cantSplit w:val="true"/>
        </w:trPr>
        <w:tc>
          <w:tcPr>
            <w:tcW w:w="18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9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8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Tesla, Oracle, Apple, Samsung, Infineon, SAP</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485.400 $ / 1.260–1.610 $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Hitze, Sturzfluten; Nonstop, Mieten fallend</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Dallas–Fort Worth</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Telekom, Luftfahrt</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380.100 $ / 1.270–1.810 $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Tornados, Eisstürme; Nonstop</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Öl/Gas, LNG, NASA, Medizin, Siemens Energy</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345.200 $ / 1.050–1.400 $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Hurrikan, Hitze; Nonstop</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Raleigh–Durham</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(RTP), Software, Universitäten</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 466.700 $ / 1.270–1.500 $; Durham 478.900 $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Nonstop; ≈ 24.000 Jobs bei dt. Firmen</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Charlotte</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Banken, Siemens Energy, Autozulieferer (Fort Mill)</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434.000 $ / 1.430–1.700 $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Hitze; Nonstop</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Logistik, Fintech, Delta, Mercedes-Benz, Porsche</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387.000 $ / 1.660–2.100 $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 5,19 % (auch: 4,99 %); Unwetter, Hitze; Nonstop</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Nashville</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Gesundheitswirtschaft, Nissan NA, Oracle</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420.900 $ / 1.520–1.780 $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TN steuerfrei; Tornados; kein Nonstop; VW Chattanooga ≈ 2 Std.</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Greenville–Spartanburg</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BMW, Bosch, ZF, Dräxlmaier</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 354.400 $; Spartanburg 303.100 $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 bis 6,0 %; Hurrikanreste; kein Nonstop, Charlotte ≈ 1,5–2 Std.</w:t>
            </w:r>
          </w:p>
        </w:tc>
      </w:tr>
      <w:tr>
        <w:trPr>
          <w:cantSplit w:val="true"/>
        </w:trPr>
        <w:tc>
          <w:tcPr>
            <w:tcW w:w="1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Huntsville</w:t>
            </w:r>
          </w:p>
        </w:tc>
        <w:tc>
          <w:tcPr>
            <w:tcW w:w="18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NASA, Redstone Arsenal, Space Command (ab 2032)</w:t>
            </w:r>
          </w:p>
        </w:tc>
        <w:tc>
          <w:tcPr>
            <w:tcW w:w="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332.400 $</w:t>
            </w:r>
          </w:p>
        </w:tc>
        <w:tc>
          <w:tcPr>
            <w:tcW w:w="18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 2–5 %; Tornados; kein Nonstop, oft Sicherheitsüberprüfung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Mittlerer Westen und Nordosten: Industrie, Finanzen, Forschung</w:t>
      </w:r>
    </w:p>
    <w:tbl>
      <w:tblPr>
        <w:tblW w:w="6480" w:type="dxa"/>
        <w:jc w:val="left"/>
        <w:tblInd w:w="0" w:type="dxa"/>
        <w:tblLayout w:type="fixed"/>
        <w:tblCellMar>
          <w:top w:w="50" w:type="dxa"/>
          <w:left w:w="80" w:type="dxa"/>
          <w:bottom w:w="50" w:type="dxa"/>
          <w:right w:w="80" w:type="dxa"/>
        </w:tblCellMar>
      </w:tblPr>
      <w:tblGrid>
        <w:gridCol w:w="1643"/>
        <w:gridCol w:w="1840"/>
        <w:gridCol w:w="1255"/>
        <w:gridCol w:w="1741"/>
      </w:tblGrid>
      <w:tr>
        <w:trPr>
          <w:tblHeader w:val="true"/>
          <w:cantSplit w:val="true"/>
        </w:trPr>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Minneapolis–St. Paul</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Medtronic, Target, Finanzen, deutsche Grundschule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414.300 $ / 1.280–1.750 $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MN bis 9,85 %; Extremkälte; kein Nonstop ganzjährig</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Logistik, Pharma, Industrie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438.600 $ / 2.190–2.500 $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 4,95 %; Kälte, Hochwasser;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Detroit/Ann Arbor</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Autoindustrie/Zulieferer, Universität Michigan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 311.800 $ / 940–1.100 $; Ann Arbor 512.100 $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 4,25 % + Stadtsteuer; Winter;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Columbus (Ohio)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Versicherungen/Banken, künftig Intel (ab 2030)</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363.100 $ / 1.190–1.380 $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 2,75 % + Kommunalsteuer; kein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Boston/Cambridge</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Harvard/MIT, Finanzen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844.600 $ / 2.960–3.550 $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 5–9 %; Nor’easter, Winter;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York/New Jersey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 Pharma, Tech</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802.400 $; NYC 4.500–5.410 $; Jersey City 2.830–3.100 $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 bis 10,9 %; Hurrikan/Küstenflut;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 DC/Nord-Virginia</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Bundesbehörden, Rüstung, Rechenzentren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688.200 $ / 2.220–3.000 $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DC/VA/MD-Steuer unterschiedlich;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Upstate New York (Syracuse, Albany)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(GlobalFoundries, Micron im Bau)</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Syracuse 274.100 $ / 1.360–1.550 $; Albany 350.200 $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NY-Steuer, keine Lokalsteuer außerhalb NYC; kein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Nonstop-Ziele ohne eigenen Steckbrief: Miami, Orlando, Tampa, Las Vegas, Philadelphia, St. Louis.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ohne Einkommensteuer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Acht Bundesstaaten erheben keine Einkommensteuer auf Löhne: Alaska, Florida, Nevada, South Dakota, Tennessee, Texas, Wyoming und New Hampshire, das 2025 zusätzlich seine Zins- und Dividendensteuer strich. Washington erhebt zwar keine Lohnsteuer, dafür aber eine Kapitalgewinnsteuer auf hohe Gewinne und ab 2028 eine „Millionaires’ Tax“ von 9,9 % auf Einkommen über 1 Million $ (unterzeichnet 30. März 2026, Klage anhängig). Fehlende Einkommensteuer bedeutet nicht automatisch niedrige Gesamtkosten: Texas und Florida gleichen mit höherer Grundsteuer und Versicherung 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und Kalifornien bleibt mit bis zu 13,3 % Spitzensteuersatz trotzdem der teuerste Softwaremarkt des 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Politik und Recht als Standortfaktor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Steuern unterscheiden sich Bundesstaaten in Regeln, die deinen Alltag und deine Karriere direkt betreffen – hier rein sachlich, ohne Wertung.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Waffenrecht ist Ländersache: 29 Staaten erlauben das Führen einer Waffe ohne gesonderten Schein (</w:t>
      </w:r>
      <w:r>
        <w:rPr>
          <w:rFonts w:eastAsia="Cambria" w:cs="Cambria"/>
          <w:b w:val="false"/>
          <w:bCs w:val="false"/>
          <w:i/>
          <w:iCs/>
          <w:sz w:val="22"/>
          <w:szCs w:val="22"/>
        </w:rPr>
        <w:t>Permitless Carry</w:t>
      </w:r>
      <w:r>
        <w:rPr>
          <w:rFonts w:eastAsia="Cambria" w:cs="Cambria"/>
          <w:b w:val="false"/>
          <w:bCs w:val="false"/>
          <w:i w:val="false"/>
          <w:iCs w:val="false"/>
          <w:sz w:val="22"/>
          <w:szCs w:val="22"/>
        </w:rPr>
        <w:t>, Stand Februar 2025), darunter Texas, Georgia und Arizona; andere wie Kalifornien, New York, New Jersey, Massachusetts und Illinois verlangen eine Genehmigung, kennen Wartefristen oder beschränken Magazine und bestimmte Waffentypen.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Cannabis ist in 24 Bundesstaaten und dem Distrikt Washington für Erwachsene legal (Stand September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 unabhängig vom Landesrecht am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Prüfe die Regeln deines Zielstaats bei Familienplanung.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Steuerlast spürbar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bedeutet oft höhere Grundsteuer oder Versicherung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Süden und Texas wachsen, mehr Jobs und neue Wohnungen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Wachstumsregionen bauen Infrastruktur oft langsamer nach als Bevölkerung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und Energieprojekte schaffen neue, gut bezahlte Stellen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Projekte, etwa in Ohio, liegen noch Jahre in der Zukunft</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Metropolregionen bieten Direktflüge und deutsche Community</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 diese Regionen sind meist am teuersten</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Städte bieten deutlich günstigeren Wohnraum</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Gehälter, seltener Direktflug, kleinere deutsche Community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Job bringt oft einen konkreten, planbaren Ort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Mitsprache bei der Wahl, solange das Visum an den Arbeitgeber bindet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Schritt: ein Jahr mieten, dann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wenn du frei wählen kannst: Kaufe im ersten Jahr nicht. Ein Hauskauf kostet beim Ein- und beim Ausstieg zusammen rund 10 % des Preises an Neben- und Verkaufskosten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bei einem 500.000-$-Haus etwa 50.000 $, die bei einem Umzug innerhalb weniger Jahre meist verloren sind. Die Kreditprogramme für Käufer ohne US-Kredithistorie verlangen zudem 20 bis 50 % Anzahlung und höhere Zinsen; FHA-Kredite stehen Visuminhabern seit Mai 2025 gar nicht mehr offen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das erste Jahr, auch wenn du überzeugt bist, langfristig zu bleiben. Du lernst Viertel, Schuldistrikt und Pendelzeiten aus eigener Erfahrung kennen, baust nebenbei eine US-Kredithistorie auf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behältst die Flexibilität, falls Job, Familie oder Aufenthaltsstatus sich ändern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Erst danach lohnt sich der Vergleich von Miete und Kauf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bevor du unterschreibst. Und plane von Anfang an mit einem Umzug in den ersten Jahren – das ist in den USA normal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Nettogehalt nach Bundes-, Landes- und gegebenenfalls Kommunalsteuer für den Zielort berechnet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Kauf- und Mietpreise der Zielregion mit dem eigenen Budget verglichen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 der Region recherchiert und Versicherbarkeit grob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geprüft, falls Kinder mitziehen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Direktflugverbindung oder realistische Umsteigezeit nach Deutschland ermittelt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Community, Konsulat, Goethe-Institut oder deutsche Schule am Zielort recherchiert, falls relevant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am Wohnort ein Auto nötig ist, und Budget dafür eingeplant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nachgefragt, wie genau das Beschäftigungsgebiet der Petition definiert ist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das erste Jahr zu mieten statt zu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Halbleiter-, Automobil- oder Energie-Jobs den aktuellen Projektstand direkt beim Arbeitgeber erfragt, nicht nur Presseankündigungen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Bureau of Labor Statistics, Gehälter und Berufsausblick — </w:t>
      </w:r>
      <w:hyperlink r:id="rId120">
        <w:r>
          <w:rPr>
            <w:rStyle w:val="ListLabel113"/>
            <w:rFonts w:eastAsia="Cambria" w:cs="Cambria"/>
            <w:b w:val="false"/>
            <w:bCs w:val="false"/>
            <w:i w:val="false"/>
            <w:iCs w:val="false"/>
            <w:color w:val="0563C1"/>
            <w:sz w:val="22"/>
            <w:szCs w:val="22"/>
            <w:u w:val="single"/>
          </w:rPr>
          <w:t>bls.gov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Association of Realtors, Metro-Kaufpreise — </w:t>
      </w:r>
      <w:hyperlink r:id="rId121">
        <w:r>
          <w:rPr>
            <w:rStyle w:val="ListLabel113"/>
            <w:rFonts w:eastAsia="Cambria" w:cs="Cambria"/>
            <w:b w:val="false"/>
            <w:bCs w:val="false"/>
            <w:i w:val="false"/>
            <w:iCs w:val="false"/>
            <w:color w:val="0563C1"/>
            <w:sz w:val="22"/>
            <w:szCs w:val="22"/>
            <w:u w:val="single"/>
          </w:rPr>
          <w:t>nar.realtor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Zumper National Rent Report — </w:t>
      </w:r>
      <w:hyperlink r:id="rId122">
        <w:r>
          <w:rPr>
            <w:rStyle w:val="ListLabel113"/>
            <w:rFonts w:eastAsia="Cambria" w:cs="Cambria"/>
            <w:b w:val="false"/>
            <w:bCs w:val="false"/>
            <w:i w:val="false"/>
            <w:iCs w:val="false"/>
            <w:color w:val="0563C1"/>
            <w:sz w:val="22"/>
            <w:szCs w:val="22"/>
            <w:u w:val="single"/>
          </w:rPr>
          <w:t>zumper.com/rent-research</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Census Bureau, Bevölkerungs- und Wanderungsdaten — </w:t>
      </w:r>
      <w:hyperlink r:id="rId123">
        <w:r>
          <w:rPr>
            <w:rStyle w:val="ListLabel113"/>
            <w:rFonts w:eastAsia="Cambria" w:cs="Cambria"/>
            <w:b w:val="false"/>
            <w:bCs w:val="false"/>
            <w:i w:val="false"/>
            <w:iCs w:val="false"/>
            <w:color w:val="0563C1"/>
            <w:sz w:val="22"/>
            <w:szCs w:val="22"/>
            <w:u w:val="single"/>
          </w:rPr>
          <w:t>census.gov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Tax Foundation, Bundesstaatensteuern — </w:t>
      </w:r>
      <w:hyperlink r:id="rId124">
        <w:r>
          <w:rPr>
            <w:rStyle w:val="ListLabel113"/>
            <w:rFonts w:eastAsia="Cambria" w:cs="Cambria"/>
            <w:b w:val="false"/>
            <w:bCs w:val="false"/>
            <w:i w:val="false"/>
            <w:iCs w:val="false"/>
            <w:color w:val="0563C1"/>
            <w:sz w:val="22"/>
            <w:szCs w:val="22"/>
            <w:u w:val="single"/>
          </w:rPr>
          <w:t>taxfoundation.org</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H-1B und Arbeitgeberwechsel — </w:t>
      </w:r>
      <w:hyperlink r:id="rId125">
        <w:r>
          <w:rPr>
            <w:rStyle w:val="ListLabel113"/>
            <w:rFonts w:eastAsia="Cambria" w:cs="Cambria"/>
            <w:b w:val="false"/>
            <w:bCs w:val="false"/>
            <w:i w:val="false"/>
            <w:iCs w:val="false"/>
            <w:color w:val="0563C1"/>
            <w:sz w:val="22"/>
            <w:szCs w:val="22"/>
            <w:u w:val="single"/>
          </w:rPr>
          <w:t>uscis.gov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6" w:name="__RefHeading___Toc56456_3457424410"/>
      <w:bookmarkStart w:id="37" w:name="k13"/>
      <w:bookmarkEnd w:id="36"/>
      <w:r>
        <w:rPr>
          <w:rFonts w:eastAsia="Amazon Ember" w:cs="Amazon Ember" w:ascii="Amazon Ember" w:hAnsi="Amazon Ember"/>
          <w:b/>
          <w:bCs/>
          <w:color w:val="0000FF"/>
          <w:sz w:val="36"/>
          <w:szCs w:val="36"/>
        </w:rPr>
        <w:t>Kapitel 13: Mieten in den USA</w:t>
      </w:r>
      <w:bookmarkEnd w:id="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Hausverwaltung in Seattle antwortet binnen einer Stunde: Wohnung frei, Einkommen ausreichend, Visum gültig. Nur ein Feld im Antrag bleibt leer, der </w:t>
      </w:r>
      <w:r>
        <w:rPr>
          <w:rFonts w:eastAsia="Cambria" w:cs="Cambria"/>
          <w:b w:val="false"/>
          <w:bCs w:val="false"/>
          <w:i/>
          <w:iCs/>
          <w:sz w:val="22"/>
          <w:szCs w:val="22"/>
        </w:rPr>
        <w:t>Credit Score</w:t>
      </w:r>
      <w:r>
        <w:rPr>
          <w:rFonts w:eastAsia="Cambria" w:cs="Cambria"/>
          <w:b w:val="false"/>
          <w:bCs w:val="false"/>
          <w:i w:val="false"/>
          <w:iCs w:val="false"/>
          <w:sz w:val="22"/>
          <w:szCs w:val="22"/>
        </w:rPr>
        <w:t>, die Kreditwürdigkeit nach US-Art. Du hast keinen schlechten, du hast gar keinen. An dieser Stelle scheitern viele Neuankömmlinge, und deshalb lohnt sich Vorbereitung, bevor du das erste Inserat öffnest.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Standard ist ein Mietvertrag über zwölf Monate; verlangt wird meist ein Bruttoeinkommen vom Dreifachen der Monatsmiete (Faustregel, kein Gesetz).</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US-Kredithistorie helfen Arbeitgeberbrief, Bürgschaftsdienst, Vorauszahlung oder ein Übergang über möbliertes Wohnen auf Zeit (</w:t>
            </w:r>
            <w:r>
              <w:rPr>
                <w:rFonts w:eastAsia="Cambria" w:cs="Cambria"/>
                <w:b w:val="false"/>
                <w:bCs w:val="false"/>
                <w:i/>
                <w:iCs/>
                <w:sz w:val="20"/>
                <w:szCs w:val="20"/>
              </w:rPr>
              <w:t>Corporate Housing</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Mietrecht ist Ländersache: Kaution, Gebühren, Fristen und Mieterhöhungen unterscheiden sich je Bundesstaat und Stadt.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Einzug fallen erste Miete, Kaution und Gebühren an, je nach Stadt grob 3.000–15.000 $; Nebenkosten und Versicherung kommen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Die häufigsten Fallen: Fake-Inserate mit Vorauszahlung, versteckte Zusatzgebühren und in New York die Maklergebühr (seit Juni 2025 neu geregelt).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Wohnungssuche: Portale, Größen,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Suche läuft fast ausschließlich online: Portale wie Zillow, Apartments.com, Apartment List, Zumper und Realtor.com bündeln Inserate von Hausverwaltungen und Privatvermietern, mit Filtern für Preis, Zimmerzahl, Haustiere und Einzugsdatum. Große Wohnanlagen (</w:t>
      </w:r>
      <w:r>
        <w:rPr>
          <w:rFonts w:eastAsia="Cambria" w:cs="Cambria"/>
          <w:b w:val="false"/>
          <w:bCs w:val="false"/>
          <w:i/>
          <w:iCs/>
          <w:sz w:val="22"/>
          <w:szCs w:val="22"/>
        </w:rPr>
        <w:t>Apartment Communities</w:t>
      </w:r>
      <w:r>
        <w:rPr>
          <w:rFonts w:eastAsia="Cambria" w:cs="Cambria"/>
          <w:b w:val="false"/>
          <w:bCs w:val="false"/>
          <w:i w:val="false"/>
          <w:iCs w:val="false"/>
          <w:sz w:val="22"/>
          <w:szCs w:val="22"/>
        </w:rPr>
        <w:t>) führen freie Einheiten oft zusätzlich auf der eigenen Website. Auf Craigslist und Facebook Marketplace ist das Betrugsrisiko am höchsten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Eine „2BR“-Wohnung hat zwei Zimmer, wie die Zahl suggeriert. Tatsächlich zählt die US-Zimmerzählung nur Schlafzimmer, Wohnzimmer und Küche bleiben außen vor – und weicht damit von Deutschland ab: Ein </w:t>
      </w:r>
      <w:r>
        <w:rPr>
          <w:rFonts w:eastAsia="Cambria" w:cs="Cambria"/>
          <w:b w:val="false"/>
          <w:bCs w:val="false"/>
          <w:i/>
          <w:iCs/>
          <w:sz w:val="22"/>
          <w:szCs w:val="22"/>
        </w:rPr>
        <w:t>Studio</w:t>
      </w:r>
      <w:r>
        <w:rPr>
          <w:rFonts w:eastAsia="Cambria" w:cs="Cambria"/>
          <w:b w:val="false"/>
          <w:bCs w:val="false"/>
          <w:i w:val="false"/>
          <w:iCs w:val="false"/>
          <w:sz w:val="22"/>
          <w:szCs w:val="22"/>
        </w:rPr>
        <w:t xml:space="preserve"> ist ein Einraumapartment, eine </w:t>
      </w:r>
      <w:r>
        <w:rPr>
          <w:rFonts w:eastAsia="Cambria" w:cs="Cambria"/>
          <w:b w:val="false"/>
          <w:bCs w:val="false"/>
          <w:i/>
          <w:iCs/>
          <w:sz w:val="22"/>
          <w:szCs w:val="22"/>
        </w:rPr>
        <w:t>1BR</w:t>
      </w:r>
      <w:r>
        <w:rPr>
          <w:rFonts w:eastAsia="Cambria" w:cs="Cambria"/>
          <w:b w:val="false"/>
          <w:bCs w:val="false"/>
          <w:i w:val="false"/>
          <w:iCs w:val="false"/>
          <w:sz w:val="22"/>
          <w:szCs w:val="22"/>
        </w:rPr>
        <w:t xml:space="preserve"> (One Bedroom, mit abgetrenntem Schlafzimmer) entspricht einer deutschen Zweizimmerwohnung, eine 2BR einer Dreizimmerwohnung. In größeren Anlagen lag die Durchschnittsfläche zuletzt bei 460 sq ft (43 m²) fürs Studio, 735 sq ft (68 m²) für 1BR, 1.095 sq ft (102 m²) für 2BR und 1.355 sq ft (126 m²) für 3BR (RentCafe/Yardi, Daten 2025). Außerhalb der Zentren gibt es neben Wohnungen auch Reihen- und Einfamilienhäuser zur Miete.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Mieten: Spannen nach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tbl>
      <w:tblPr>
        <w:tblW w:w="6480" w:type="dxa"/>
        <w:jc w:val="left"/>
        <w:tblInd w:w="0" w:type="dxa"/>
        <w:tblLayout w:type="fixed"/>
        <w:tblCellMar>
          <w:top w:w="50" w:type="dxa"/>
          <w:left w:w="80" w:type="dxa"/>
          <w:bottom w:w="50" w:type="dxa"/>
          <w:right w:w="80" w:type="dxa"/>
        </w:tblCellMar>
      </w:tblPr>
      <w:tblGrid>
        <w:gridCol w:w="1962"/>
        <w:gridCol w:w="1559"/>
        <w:gridCol w:w="1480"/>
        <w:gridCol w:w="1478"/>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5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Alle Größen</w:t>
            </w:r>
          </w:p>
        </w:tc>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1BR</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2BR</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City</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3.964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3.859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3.710</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3.414</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4.320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2.529</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2.461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2.253</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2.217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2.878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1.914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1.716</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2.230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1.641</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1.588</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1.655</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nach Sonderangeboten (</w:t>
            </w:r>
            <w:r>
              <w:rPr>
                <w:rFonts w:eastAsia="Cambria" w:cs="Cambria"/>
                <w:b w:val="false"/>
                <w:bCs w:val="false"/>
                <w:i/>
                <w:iCs/>
                <w:sz w:val="20"/>
                <w:szCs w:val="20"/>
              </w:rPr>
              <w:t>Specials</w:t>
            </w:r>
            <w:r>
              <w:rPr>
                <w:rFonts w:eastAsia="Cambria" w:cs="Cambria"/>
                <w:b w:val="false"/>
                <w:bCs w:val="false"/>
                <w:i w:val="false"/>
                <w:iCs w:val="false"/>
                <w:sz w:val="20"/>
                <w:szCs w:val="20"/>
              </w:rPr>
              <w:t>), etwa einem Gratismonat bei zwölf Monaten Laufzeit, und vergleiche mehrere Anlagen im selben Viertel. In Märkten mit hohem Leerstand lässt sich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Einkommen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eine kurze Schufa-Auskunft und ein, zwei Gehaltsnachweise gewohnt ist, wird hier gründlicher durchleuchtet, als es die eigene Hausbank je tun würde. Der Ablauf: Besichtigung, Antrag (</w:t>
      </w:r>
      <w:r>
        <w:rPr>
          <w:rFonts w:eastAsia="Cambria" w:cs="Cambria"/>
          <w:b w:val="false"/>
          <w:bCs w:val="false"/>
          <w:i/>
          <w:iCs/>
          <w:sz w:val="22"/>
          <w:szCs w:val="22"/>
        </w:rPr>
        <w:t>Application</w:t>
      </w:r>
      <w:r>
        <w:rPr>
          <w:rFonts w:eastAsia="Cambria" w:cs="Cambria"/>
          <w:b w:val="false"/>
          <w:bCs w:val="false"/>
          <w:i w:val="false"/>
          <w:iCs w:val="false"/>
          <w:sz w:val="22"/>
          <w:szCs w:val="22"/>
        </w:rPr>
        <w:t>, mit Gebühr für jede erwachsene Person), Prüfung (</w:t>
      </w:r>
      <w:r>
        <w:rPr>
          <w:rFonts w:eastAsia="Cambria" w:cs="Cambria"/>
          <w:b w:val="false"/>
          <w:bCs w:val="false"/>
          <w:i/>
          <w:iCs/>
          <w:sz w:val="22"/>
          <w:szCs w:val="22"/>
        </w:rPr>
        <w:t>Screening</w:t>
      </w:r>
      <w:r>
        <w:rPr>
          <w:rFonts w:eastAsia="Cambria" w:cs="Cambria"/>
          <w:b w:val="false"/>
          <w:bCs w:val="false"/>
          <w:i w:val="false"/>
          <w:iCs w:val="false"/>
          <w:sz w:val="22"/>
          <w:szCs w:val="22"/>
        </w:rPr>
        <w:t>) von Kreditbericht, Einkommen und Vorvermietern, dann der Mietvertrag (</w:t>
      </w:r>
      <w:r>
        <w:rPr>
          <w:rFonts w:eastAsia="Cambria" w:cs="Cambria"/>
          <w:b w:val="false"/>
          <w:bCs w:val="false"/>
          <w:i/>
          <w:iCs/>
          <w:sz w:val="22"/>
          <w:szCs w:val="22"/>
        </w:rPr>
        <w:t>Lease</w:t>
      </w:r>
      <w:r>
        <w:rPr>
          <w:rFonts w:eastAsia="Cambria" w:cs="Cambria"/>
          <w:b w:val="false"/>
          <w:bCs w:val="false"/>
          <w:i w:val="false"/>
          <w:iCs w:val="false"/>
          <w:sz w:val="22"/>
          <w:szCs w:val="22"/>
        </w:rPr>
        <w:t>). Die Prüfung dauert meist 24 bis 72 Stunden, bei internationalen Fällen bis zu einer Woche. Bei der Unterschrift werden Kaution und erste Monatsmiete fällig, regional auch die letzte.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brauchst Reisepass, Visum und I-94, den Arbeitsvertrag oder die Zusage (</w:t>
      </w:r>
      <w:r>
        <w:rPr>
          <w:rFonts w:eastAsia="Cambria" w:cs="Cambria"/>
          <w:b w:val="false"/>
          <w:bCs w:val="false"/>
          <w:i/>
          <w:iCs/>
          <w:sz w:val="22"/>
          <w:szCs w:val="22"/>
        </w:rPr>
        <w:t>Offer Letter</w:t>
      </w:r>
      <w:r>
        <w:rPr>
          <w:rFonts w:eastAsia="Cambria" w:cs="Cambria"/>
          <w:b w:val="false"/>
          <w:bCs w:val="false"/>
          <w:i w:val="false"/>
          <w:iCs w:val="false"/>
          <w:sz w:val="22"/>
          <w:szCs w:val="22"/>
        </w:rPr>
        <w:t>) mit Gehalt und Startdatum, Gehaltsabrechnungen, sofern vorhanden, und drei Monate Kontoauszüge. Übersetzungen kosten laut einem Anbieter 20–40 $ je Seite.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Bewerbungsgebühr ist in einigen Staaten gedeckelt: New York 20 $, New Jersey 50 $ (seit 1. Mai 2026), Virginia 50 $ plus Fremdkosten, Kalifornien rund 66–69 $ (2026, an die Inflation gekoppelt; die Quellen weichen ab). Texas, Florida, Georgia und Illinois kennen keinen Deckel; Vermont und Massachusetts untersagen die Gebühr den Vermietern. Anbieter nennen 50–200 $ als üblich.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Steuernummer ITIN über das Formular W-7 dauert laut einem Anbieter sechs bis zehn Wochen. Wie du danach Kredit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 bis dahin brauchst du Wege, die dem Vermieter das Risiko abnehmen:</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 mit Gehalt und Startdatum ersetzt Gehaltsabrechnungen; Grundlage für alle anderen Wege</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Kaution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Zusatzbetrag, rückzahlbar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wo kein Deckel gilt</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Bürgschaftsdienst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40–130 % einer Monatsmiete, einmalig für zwölf Monate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Insurent (nur NY, NJ, CT), TheGuarantors (u. a. NYC, LA, Chicago, Boston, Miami), Leap (bundesweit); Prüfung 24–48 Stunden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Persönlicher Bürge</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US-Konto und Jahreseinkommen von 80–100× der Monatsmiete; für Neuankömmlinge selten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oder Guthaben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2–12 Monatsmieten im Voraus; Guthaben 6–12 Monatsmieten</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ein Guthaben kann den Einkommensnachweis ersetzen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Bei 2.500 $ Monatsmiete kostet ein Bürgschaftsdienst zwischen 1.000 und 3.250 $. Anders als eine Kaution siehst du dieses Geld nicht wieder; erstattet wird die Prämie oft nur, wenn kein Mietvertrag zustande kommt.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bei mindestens zwei Bürgschaftsdiensten ein Angebot ein und frage, ob die Prämie bei Ablehnung erstattet wird. Ein US-Konto mit zwei bis drei Monaten Kontoauszügen stärkt jeden Antrag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Dienst </w:t>
      </w:r>
      <w:r>
        <w:rPr>
          <w:rFonts w:eastAsia="Cambria" w:cs="Cambria"/>
          <w:b w:val="false"/>
          <w:bCs w:val="false"/>
          <w:i/>
          <w:iCs/>
          <w:sz w:val="22"/>
          <w:szCs w:val="22"/>
        </w:rPr>
        <w:t>Nova Credit</w:t>
      </w:r>
      <w:r>
        <w:rPr>
          <w:rFonts w:eastAsia="Cambria" w:cs="Cambria"/>
          <w:b w:val="false"/>
          <w:bCs w:val="false"/>
          <w:i w:val="false"/>
          <w:iCs w:val="false"/>
          <w:sz w:val="22"/>
          <w:szCs w:val="22"/>
        </w:rPr>
        <w:t xml:space="preserve"> übersetzt ausländische Kreditberichte ins US-Format; laut Anbieterangaben gehört Deutschland zu den angebundenen Ländern. Ob eine Verwaltung solche Berichte annimmt, klärst du vor der Bewerbung. Manche lassen sich zusätzlich von einer englischen Referenz deines bisherigen Vermieters und einer Schufa-Datenkopie überzeugen; das ist Kulanz, kein Standard.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schriftlich bestätigen, wofür ein Betrag gedacht ist (Kaution, Miete im Voraus oder Gebühr) und ob er zurückgezahlt wird. Wo ein Kautionsdeckel gilt, müssen darüber hinausgehende Beträge als vorausbezahlte Miete deklariert sein.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Kaution und Kosten beim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Security Deposit</w:t>
      </w:r>
      <w:r>
        <w:rPr>
          <w:rFonts w:eastAsia="Cambria" w:cs="Cambria"/>
          <w:b w:val="false"/>
          <w:bCs w:val="false"/>
          <w:i w:val="false"/>
          <w:iCs w:val="false"/>
          <w:sz w:val="22"/>
          <w:szCs w:val="22"/>
        </w:rPr>
        <w: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Einzug kommen erste Monatsmiete, Kaution, Bewerbungsgebühr und gegebenenfalls eine Haustierkaution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 zusammen. Ein Anbieter beziffert die Einzugskosten inklusive Vermittlung für New York mit 6.000–15.000 $, Boston 4.500–10.000 $, Washington D. C. 3.800–7.200 $ und Chicago 2.900–5.750 $.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im Großraum Detroit ein Reihenhaus mit drei Schlafzimmern für 2.400 $ im Monat. Die Verwaltung verlangt das Dreifache als Einkommen, also 7.200 $ brutto im Monat. Markus verdient 9.500 $ brutto; Anna hat H-4-Status und darf zunächst nicht arbeiten. Weil ein Credit Score fehlt, reichen die Brandts den Offer Letter und drei Monate Kontoauszüge ein; die Sachbearbeiterin blättert kurz irritiert durch das leere Feld, akzeptiert die Unterlagen dann aber anstandslos. Michigan begrenzt die Kaution auf 1,5 Monatsmieten, also 3.600 $. Am Einzugstag zahlen sie 2.400 $ erste Miete, 3.600 $ Kaution und zwei Bewerbungsgebühren zu je 40 $, zusammen 6.080 $. Das Geld muss auf dem US-Konto liegen, bevor der Container eintrifft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Mietvertrag: Laufzeit, Ausstieg, Untervermietung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vorzeitig auszieht (</w:t>
      </w:r>
      <w:r>
        <w:rPr>
          <w:rFonts w:eastAsia="Cambria" w:cs="Cambria"/>
          <w:b w:val="false"/>
          <w:bCs w:val="false"/>
          <w:i/>
          <w:iCs/>
          <w:sz w:val="22"/>
          <w:szCs w:val="22"/>
        </w:rPr>
        <w:t>Break Lease</w:t>
      </w:r>
      <w:r>
        <w:rPr>
          <w:rFonts w:eastAsia="Cambria" w:cs="Cambria"/>
          <w:b w:val="false"/>
          <w:bCs w:val="false"/>
          <w:i w:val="false"/>
          <w:iCs w:val="false"/>
          <w:sz w:val="22"/>
          <w:szCs w:val="22"/>
        </w:rPr>
        <w:t>), kommt nicht so leicht davon, wie er vielleicht hofft: Er schuldet grundsätzlich weiter Miete. Typisch sind ein bis zwei Monatsmieten plus Verlust der Kaution (Anbieterangabe); manche Verträge nennen eine feste Ausstiegsgebühr. In den meisten Staaten muss sich der Vermieter zudem redlich um einen Nachmieter bemühen; du zahlst dann nur bis zur Neuvermietung.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Zwölf-Monats-Vertrag ist ein Risiko, wenn dein Arbeitgeber ohne Angabe von Gründen kündigen darf (</w:t>
            </w:r>
            <w:r>
              <w:rPr>
                <w:rFonts w:eastAsia="Cambria" w:cs="Cambria"/>
                <w:b w:val="false"/>
                <w:bCs w:val="false"/>
                <w:i/>
                <w:iCs/>
                <w:sz w:val="20"/>
                <w:szCs w:val="20"/>
              </w:rPr>
              <w:t>At-will Employment</w:t>
            </w:r>
            <w:r>
              <w:rPr>
                <w:rFonts w:eastAsia="Cambria" w:cs="Cambria"/>
                <w:b w:val="false"/>
                <w:bCs w:val="false"/>
                <w:i w:val="false"/>
                <w:iCs w:val="false"/>
                <w:sz w:val="20"/>
                <w:szCs w:val="20"/>
              </w:rPr>
              <w: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und dein Aufenthaltsstatus am Job hängt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Frage vor der Unterschrift nach der Break-Lease-Klausel, einer Ausstiegsgebühr oder einer kürzeren Laufzeit.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Untervermietung (</w:t>
      </w:r>
      <w:r>
        <w:rPr>
          <w:rFonts w:eastAsia="Cambria" w:cs="Cambria"/>
          <w:b w:val="false"/>
          <w:bCs w:val="false"/>
          <w:i/>
          <w:iCs/>
          <w:sz w:val="22"/>
          <w:szCs w:val="22"/>
        </w:rPr>
        <w:t>Sublease</w:t>
      </w:r>
      <w:r>
        <w:rPr>
          <w:rFonts w:eastAsia="Cambria" w:cs="Cambria"/>
          <w:b w:val="false"/>
          <w:bCs w:val="false"/>
          <w:i w:val="false"/>
          <w:iCs w:val="false"/>
          <w:sz w:val="22"/>
          <w:szCs w:val="22"/>
        </w:rPr>
        <w:t>) oder Vertragsübernahme brauchst du in der Regel die schriftliche Zustimmung des Vermieters, je nach Vertrag und Landesrecht. Auch heimliche Untervermietung über Ferienportale kann die Kündigung nach sich ziehen. Beim Einzug fotografierst du jeden Raum und jeden Schaden und füllst die Übergabeliste (</w:t>
      </w:r>
      <w:r>
        <w:rPr>
          <w:rFonts w:eastAsia="Cambria" w:cs="Cambria"/>
          <w:b w:val="false"/>
          <w:bCs w:val="false"/>
          <w:i/>
          <w:iCs/>
          <w:sz w:val="22"/>
          <w:szCs w:val="22"/>
        </w:rPr>
        <w:t>Move-in Checklist</w:t>
      </w:r>
      <w:r>
        <w:rPr>
          <w:rFonts w:eastAsia="Cambria" w:cs="Cambria"/>
          <w:b w:val="false"/>
          <w:bCs w:val="false"/>
          <w:i w:val="false"/>
          <w:iCs w:val="false"/>
          <w:sz w:val="22"/>
          <w:szCs w:val="22"/>
        </w:rPr>
        <w:t>) aus; in Michigan ist eine Inventarliste gesetzlich vorgesehen, die du binnen sieben Tagen zurückgibst.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Nebenkosten und Ausstattung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Warmmiete kennst du in den USA kaum: Die Miete (</w:t>
      </w:r>
      <w:r>
        <w:rPr>
          <w:rFonts w:eastAsia="Cambria" w:cs="Cambria"/>
          <w:b w:val="false"/>
          <w:bCs w:val="false"/>
          <w:i/>
          <w:iCs/>
          <w:sz w:val="22"/>
          <w:szCs w:val="22"/>
        </w:rPr>
        <w:t>Rent</w:t>
      </w:r>
      <w:r>
        <w:rPr>
          <w:rFonts w:eastAsia="Cambria" w:cs="Cambria"/>
          <w:b w:val="false"/>
          <w:bCs w:val="false"/>
          <w:i w:val="false"/>
          <w:iCs w:val="false"/>
          <w:sz w:val="22"/>
          <w:szCs w:val="22"/>
        </w:rP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Inseraten meint </w:t>
      </w:r>
      <w:r>
        <w:rPr>
          <w:rFonts w:eastAsia="Cambria" w:cs="Cambria"/>
          <w:b w:val="false"/>
          <w:bCs w:val="false"/>
          <w:i/>
          <w:iCs/>
          <w:sz w:val="22"/>
          <w:szCs w:val="22"/>
        </w:rPr>
        <w:t>Utilities included</w:t>
      </w:r>
      <w:r>
        <w:rPr>
          <w:rFonts w:eastAsia="Cambria" w:cs="Cambria"/>
          <w:b w:val="false"/>
          <w:bCs w:val="false"/>
          <w:i w:val="false"/>
          <w:iCs w:val="false"/>
          <w:sz w:val="22"/>
          <w:szCs w:val="22"/>
        </w:rPr>
        <w:t xml:space="preserve"> meist nur Wasser und Müll; Strom und Internet zahlst du fast immer selbst. Frage, welche Posten pauschal enthalten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Renters Insurance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Renters Insurance</w:t>
      </w:r>
      <w:r>
        <w:rPr>
          <w:rFonts w:eastAsia="Cambria" w:cs="Cambria"/>
          <w:b w:val="false"/>
          <w:bCs w:val="false"/>
          <w:i w:val="false"/>
          <w:iCs w:val="false"/>
          <w:sz w:val="22"/>
          <w:szCs w:val="22"/>
        </w:rPr>
        <w:t xml:space="preserv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Übergangswohnen: möbliert und Corporate Housing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Corporate Housing sind möblierte Wohnungen auf Zeit, meist ab 30 Tagen Mindestaufenthalt, mit Strom und Internet im Preis. Sie geben dir Zeit für Bankkonto, SSN und Besichtigungen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Mieterrechte: 50 Staaten, 50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Mietrecht (</w:t>
      </w:r>
      <w:r>
        <w:rPr>
          <w:rFonts w:eastAsia="Cambria" w:cs="Cambria"/>
          <w:b w:val="false"/>
          <w:bCs w:val="false"/>
          <w:i/>
          <w:iCs/>
          <w:sz w:val="22"/>
          <w:szCs w:val="22"/>
        </w:rPr>
        <w:t>Landlord-Tenant Law</w:t>
      </w:r>
      <w:r>
        <w:rPr>
          <w:rFonts w:eastAsia="Cambria" w:cs="Cambria"/>
          <w:b w:val="false"/>
          <w:bCs w:val="false"/>
          <w:i w:val="false"/>
          <w:iCs w:val="false"/>
          <w:sz w:val="22"/>
          <w:szCs w:val="22"/>
        </w:rPr>
        <w:t xml:space="preserve">) regeln die Bundesstaaten, teils die Städte – es gibt weder eine bundesweite Mietpreisbremse noch ein bundesweites Kündigungsschutzgesetz. Auf Bundesebene verbietet der </w:t>
      </w:r>
      <w:r>
        <w:rPr>
          <w:rFonts w:eastAsia="Cambria" w:cs="Cambria"/>
          <w:b w:val="false"/>
          <w:bCs w:val="false"/>
          <w:i/>
          <w:iCs/>
          <w:sz w:val="22"/>
          <w:szCs w:val="22"/>
        </w:rPr>
        <w:t>Fair Housing Act</w:t>
      </w:r>
      <w:r>
        <w:rPr>
          <w:rFonts w:eastAsia="Cambria" w:cs="Cambria"/>
          <w:b w:val="false"/>
          <w:bCs w:val="false"/>
          <w:i w:val="false"/>
          <w:iCs w:val="false"/>
          <w:sz w:val="22"/>
          <w:szCs w:val="22"/>
        </w:rPr>
        <w:t xml:space="preserve"> Benachteiligung bei der Wohnungsvergabe, unter anderem wegen der nationalen Herkunft; Beschwerden gehen an das Ministerium für Wohnungsbau und Stadtentwicklung (HUD). Die Tabelle zeigt, wie unterschiedlich die Landesregeln sind (Stand September 2026).</w:t>
      </w:r>
    </w:p>
    <w:tbl>
      <w:tblPr>
        <w:tblW w:w="6480" w:type="dxa"/>
        <w:jc w:val="left"/>
        <w:tblInd w:w="0" w:type="dxa"/>
        <w:tblLayout w:type="fixed"/>
        <w:tblCellMar>
          <w:top w:w="50" w:type="dxa"/>
          <w:left w:w="80" w:type="dxa"/>
          <w:bottom w:w="50" w:type="dxa"/>
          <w:right w:w="80" w:type="dxa"/>
        </w:tblCellMar>
      </w:tblPr>
      <w:tblGrid>
        <w:gridCol w:w="1336"/>
        <w:gridCol w:w="1541"/>
        <w:gridCol w:w="1543"/>
        <w:gridCol w:w="2059"/>
      </w:tblGrid>
      <w:tr>
        <w:trPr>
          <w:tblHeader w:val="true"/>
          <w:cantSplit w:val="true"/>
        </w:trPr>
        <w:tc>
          <w:tcPr>
            <w:tcW w:w="13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Kaution</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bei Mietrückstand</w:t>
            </w:r>
          </w:p>
        </w:tc>
        <w:tc>
          <w:tcPr>
            <w:tcW w:w="20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21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Erhöhungen bei älteren Gebäuden auf 5 % plus Inflation, höchstens 10 % im Jahr begrenzt (bis 2030)</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14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Mietstabilisierung in New York City; FARE Act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Deckel</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Räumungsverfahren seit 1. Januar 2026 (SB 38)</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1,5 Monatsmieten; Abrechnung binnen 30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Doppelter Schadensersatz bei unrechtmäßigem Einbehalt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landesweiter Deckel; Seattle: Kaution plus Gebühren höchstens 1 Monatsmiete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 höchstens 7 % plus Inflation, maximal 10 %; 90 Tage Vorlauf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Fristen bei Mietrückstand zeigen den Kontrast zu Deutschland: Hier greift die fristlose Kündigung erst bei zwei Monatsmieten Rückstand, dort laufen Fristen in Tagen. Kannst du eine Miete nicht zahlen, sprich sofort mit dem Vermieter. Andererseits darf niemand eigenmächtig räumen: Schlösser wechseln oder Strom abstellen ist unzulässig, eine Räumung (</w:t>
      </w:r>
      <w:r>
        <w:rPr>
          <w:rFonts w:eastAsia="Cambria" w:cs="Cambria"/>
          <w:b w:val="false"/>
          <w:bCs w:val="false"/>
          <w:i/>
          <w:iCs/>
          <w:sz w:val="22"/>
          <w:szCs w:val="22"/>
        </w:rPr>
        <w:t>Eviction</w:t>
      </w:r>
      <w:r>
        <w:rPr>
          <w:rFonts w:eastAsia="Cambria" w:cs="Cambria"/>
          <w:b w:val="false"/>
          <w:bCs w:val="false"/>
          <w:i w:val="false"/>
          <w:iCs w:val="false"/>
          <w:sz w:val="22"/>
          <w:szCs w:val="22"/>
        </w:rPr>
        <w:t>) läuft über das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Mietrecht ist Landesrecht. Was in Kalifornien gilt, muss in Texas nicht gelten. Lies deshalb die Seiten deiner Landes- oder Stadtbehörde und deinen Vertrag, nicht einen Ratgeber aus einem anderen Staat.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Mietrecht</w:t>
      </w:r>
    </w:p>
    <w:tbl>
      <w:tblPr>
        <w:tblW w:w="6480" w:type="dxa"/>
        <w:jc w:val="left"/>
        <w:tblInd w:w="0" w:type="dxa"/>
        <w:tblLayout w:type="fixed"/>
        <w:tblCellMar>
          <w:top w:w="50" w:type="dxa"/>
          <w:left w:w="80" w:type="dxa"/>
          <w:bottom w:w="50" w:type="dxa"/>
          <w:right w:w="80" w:type="dxa"/>
        </w:tblCellMar>
      </w:tblPr>
      <w:tblGrid>
        <w:gridCol w:w="2160"/>
        <w:gridCol w:w="2160"/>
        <w:gridCol w:w="2160"/>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üblich; Vermieter braucht ein berechtigtes Interesse (z. B. Eigenbedarf), Fristen ab drei Monaten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zwölf Monate befristet; danach oft Verlängerung nach Ermessen des Vermieters, Kündigungsgründe nur in einzelnen Staaten (z. B. Kalifornien)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Mietpreisbremse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angespannten Märkten Neuvertrag höchstens 10 % über der ortsüblichen Vergleichsmiete; verlängert bis 31. Dezember 2029</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keine; Begrenzungen nur in einzelnen Staaten und Städten (z. B. Kalifornien, Washington, New York City)</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und jährliche Abrechnung mit Nachzahlung oder Guthaben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Internet direkt beim Versorger; Wasser und Müll pauschal oder monatlich; Jahresabrechnung selten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drei Nettokaltmieten (§ 551 BGB)</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Deckel je Staat (eine Monatsmiete bis keiner); Rückgabe in 14–60 Tagen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Fake-Anzeigen und Vorauszahlungsbetrug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Nachricht kommt erstaunlich schnell, klingt freundlich und bietet noch vor der ersten Besichtigung einen Link zur Anzahlung an –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Junk Fees und Maklergebühr</w:t>
      </w:r>
    </w:p>
    <w:p>
      <w:pPr>
        <w:pStyle w:val="Normal"/>
        <w:keepNext w:val="false"/>
        <w:keepLines w:val="false"/>
        <w:spacing w:lineRule="exact" w:line="288" w:before="0" w:after="140"/>
        <w:jc w:val="left"/>
        <w:rPr/>
      </w:pPr>
      <w:r>
        <w:rPr>
          <w:rFonts w:eastAsia="Cambria" w:cs="Cambria"/>
          <w:b w:val="false"/>
          <w:bCs w:val="false"/>
          <w:i/>
          <w:iCs/>
          <w:sz w:val="22"/>
          <w:szCs w:val="22"/>
        </w:rPr>
        <w:t>Junk Fees</w:t>
      </w:r>
      <w:r>
        <w:rPr>
          <w:rFonts w:eastAsia="Cambria" w:cs="Cambria"/>
          <w:b w:val="false"/>
          <w:bCs w:val="false"/>
          <w:i w:val="false"/>
          <w:iCs w:val="false"/>
          <w:sz w:val="22"/>
          <w:szCs w:val="22"/>
        </w:rPr>
        <w:t xml:space="preserve">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13. April 2026 forderten 27 Generalstaatsanwälte von der FTC bundesweite Standards. Seattle hat beschlossen, ab 1. Juli 2027 alle nicht ausdrücklich erlaubten Gebühren zu verbieten und die Offenlegung aller Pflicht- und Zusatzgebühren im Inserat zu verlangen.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Wohnungen nicht nach der Inseratsmiete, sondern nach den Gesamtkosten im Monat: Miete, Pflichtgebühren, Nebenkosten und Versicherung. Lass dir diese Summe vor der Bewerbung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New York City zahlten Mietende bei einer Vermittlung bisher oft 10–15 % der Jahresmiete an den Makler, bei 3.000 $ Monatsmiete also 3.600–5.400 $. Der </w:t>
      </w:r>
      <w:r>
        <w:rPr>
          <w:rFonts w:eastAsia="Cambria" w:cs="Cambria"/>
          <w:b w:val="false"/>
          <w:bCs w:val="false"/>
          <w:i/>
          <w:iCs/>
          <w:sz w:val="22"/>
          <w:szCs w:val="22"/>
        </w:rPr>
        <w:t>FARE Act</w:t>
      </w:r>
      <w:r>
        <w:rPr>
          <w:rFonts w:eastAsia="Cambria" w:cs="Cambria"/>
          <w:b w:val="false"/>
          <w:bCs w:val="false"/>
          <w:i w:val="false"/>
          <w:iCs w:val="false"/>
          <w:sz w:val="22"/>
          <w:szCs w:val="22"/>
        </w:rPr>
        <w:t xml:space="preserve"> (Fairness in Apartment Rental Expenses Act, seit 11. Juni 2025) kehrt das um: Wer den Makler beauftragt, meist der Vermieter, zahlt ihn.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in New York ein Makler des Vermieters Geld von dir, fordere die Zahlung zurück und melde den Fall der städtischen Verbraucherbehörde (DCWP). Außerhalb New Yorks unterscheiden sich Maklergebühren je Markt: Frage vor der Besichtigung, wer den Makler bezahlt.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Auszug und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Kündige schriftlich und halte die im Vertrag genannte Frist ein, meist ein bis zwei Monate vor Vertragsende. Die Wohnung gibst du im Zustand des Einzugs zurück, abzüglich normaler Abnutzung (</w:t>
      </w:r>
      <w:r>
        <w:rPr>
          <w:rFonts w:eastAsia="Cambria" w:cs="Cambria"/>
          <w:b w:val="false"/>
          <w:bCs w:val="false"/>
          <w:i/>
          <w:iCs/>
          <w:sz w:val="22"/>
          <w:szCs w:val="22"/>
        </w:rPr>
        <w:t>Normal Wear and Tear</w:t>
      </w:r>
      <w:r>
        <w:rPr>
          <w:rFonts w:eastAsia="Cambria" w:cs="Cambria"/>
          <w:b w:val="false"/>
          <w:bCs w:val="false"/>
          <w:i w:val="false"/>
          <w:iCs w:val="false"/>
          <w:sz w:val="22"/>
          <w:szCs w:val="22"/>
        </w:rPr>
        <w:t>): Kleine Gebrauchsspuren gehören dazu, Löcher in der Wand oder Flecken im Teppich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kleinere Streitwerte, meist ohne Anwalt.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Küchengeräte sind meist inklusive; neue Anlagen bieten Fitnessraum, Pool und Waschküche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Credit Score brauchst du Zusatzsicherheiten (Bürgschaft, Vorauszahlung, höhere Kaution)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Märkte mit stagnierenden Mieten, Rabatten und Verhandlungsspielraum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Einzug fallen schnell 3.000–15.000 $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Reparaturen und Instandhaltung liegen beim Vermieter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pro Person, Nebenkosten und Versicherung kommen obendrauf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zwölf Monaten kannst du ohne Verkaufsrisiko weiterziehen (Job, Visum)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Vorzeitiger Auszug kostet meist ein bis zwei Monatsmieten oder mehr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 Antrag und Prüfung laufen digital, meist binnen Tagen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Mieterschutz ist Landesrecht und oft dünner als in Deutschland; Fristen bei Mietrückstand teils nur drei Tage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ist planbar, ohne Grundsteuer und Reparaturrisiko</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und Junk Fees treffen Neuankömmlinge aus dem Ausland besonders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vor dem Abflug dein Mietbudget nach der Dreifach-Regel fest, sammle deine Unterlagen und plane die ersten 30 Tage möbliert. Suche die Wohnung nach der Landung vor Ort, möglichst mit SSN und US-Konto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Ob später ein Kauf infrage kommt, 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als Faustregel gilt dort eine Haltedauer von mindestens fünf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Mietbudget festlegen: Monatsmiete höchstens ein Drittel des Bruttoeinkommens, dazu 150–300 $ Nebenkosten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mit Gehalt und Startdatum als PDF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Monate Kontoauszüge und eine englische Referenz des bisherigen Vermieters besorgen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30 Tage möbliert planen und den Arbeitgeber nach Relocation-Unterstützung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US-Konto so früh wie möglich eröffnen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Bewerbung die Gesamtkosten im Monat (Miete, Pflichtgebühren, Nebenkosten) schriftlich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Bewerbungsgebühren pro Person und Wohnung zusammenrechnen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Nie zahlen, bevor du die Wohnung gesehen und einen Vertrag hast; Vermieter und Adresse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komplett lesen: Laufzeit, Verlängerung, Break-Lease, Untervermietung, Gebühren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abschließen und den Nachweis an die Verwaltung schicken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Einzug jeden Raum fotografieren und die Übergabeliste ausfüllen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HUD (Ministerium für Wohnungsbau und Stadtentwicklung) — Fair Housing Act und Beschwerden bei Diskriminierung (</w:t>
      </w:r>
      <w:hyperlink r:id="rId126">
        <w:r>
          <w:rPr>
            <w:rStyle w:val="ListLabel113"/>
            <w:rFonts w:eastAsia="Cambria" w:cs="Cambria"/>
            <w:b w:val="false"/>
            <w:bCs w:val="false"/>
            <w:i w:val="false"/>
            <w:iCs w:val="false"/>
            <w:color w:val="0563C1"/>
            <w:sz w:val="22"/>
            <w:szCs w:val="22"/>
            <w:u w:val="single"/>
          </w:rPr>
          <w:t>hud.gov/fairhousing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Warnungen zu Mietbetrug (</w:t>
      </w:r>
      <w:hyperlink r:id="rId127">
        <w:r>
          <w:rPr>
            <w:rStyle w:val="ListLabel113"/>
            <w:rFonts w:eastAsia="Cambria" w:cs="Cambria"/>
            <w:b w:val="false"/>
            <w:bCs w:val="false"/>
            <w:i w:val="false"/>
            <w:iCs w:val="false"/>
            <w:color w:val="0563C1"/>
            <w:sz w:val="22"/>
            <w:szCs w:val="22"/>
            <w:u w:val="single"/>
          </w:rPr>
          <w:t>consumer.ftc.gov</w:t>
        </w:r>
      </w:hyperlink>
      <w:r>
        <w:rPr>
          <w:rFonts w:eastAsia="Cambria" w:cs="Cambria"/>
          <w:b w:val="false"/>
          <w:bCs w:val="false"/>
          <w:i w:val="false"/>
          <w:iCs w:val="false"/>
          <w:sz w:val="22"/>
          <w:szCs w:val="22"/>
        </w:rPr>
        <w:t>) und Betrug melden (</w:t>
      </w:r>
      <w:hyperlink r:id="rId128">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NYC Department of Consumer and Worker Protection — FARE Act und Maklergebühren (</w:t>
      </w:r>
      <w:hyperlink r:id="rId129">
        <w:r>
          <w:rPr>
            <w:rStyle w:val="ListLabel113"/>
            <w:rFonts w:eastAsia="Cambria" w:cs="Cambria"/>
            <w:b w:val="false"/>
            <w:bCs w:val="false"/>
            <w:i w:val="false"/>
            <w:iCs w:val="false"/>
            <w:color w:val="0563C1"/>
            <w:sz w:val="22"/>
            <w:szCs w:val="22"/>
            <w:u w:val="single"/>
          </w:rPr>
          <w:t>nyc.gov/site/dca/about/FAQ-Broker-Fees.page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Stadt Seattle — Kaution, Einzugsgebühren und Mieterrechte (</w:t>
      </w:r>
      <w:hyperlink r:id="rId130">
        <w:r>
          <w:rPr>
            <w:rStyle w:val="ListLabel113"/>
            <w:rFonts w:eastAsia="Cambria" w:cs="Cambria"/>
            <w:b w:val="false"/>
            <w:bCs w:val="false"/>
            <w:i w:val="false"/>
            <w:iCs w:val="false"/>
            <w:color w:val="0563C1"/>
            <w:sz w:val="22"/>
            <w:szCs w:val="22"/>
            <w:u w:val="single"/>
          </w:rPr>
          <w:t>seattle.gov/rentinginseattle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Legal Help — Kaution und Mietrückstand in Michigan (</w:t>
      </w:r>
      <w:hyperlink r:id="rId131">
        <w:r>
          <w:rPr>
            <w:rStyle w:val="ListLabel113"/>
            <w:rFonts w:eastAsia="Cambria" w:cs="Cambria"/>
            <w:b w:val="false"/>
            <w:bCs w:val="false"/>
            <w:i w:val="false"/>
            <w:iCs w:val="false"/>
            <w:color w:val="0563C1"/>
            <w:sz w:val="22"/>
            <w:szCs w:val="22"/>
            <w:u w:val="single"/>
          </w:rPr>
          <w:t>michiganlegalhelp.org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Washington State Department of Commerce — Mieterhöhungen (</w:t>
      </w:r>
      <w:hyperlink r:id="rId132">
        <w:r>
          <w:rPr>
            <w:rStyle w:val="ListLabel113"/>
            <w:rFonts w:eastAsia="Cambria" w:cs="Cambria"/>
            <w:b w:val="false"/>
            <w:bCs w:val="false"/>
            <w:i w:val="false"/>
            <w:iCs w:val="false"/>
            <w:color w:val="0563C1"/>
            <w:sz w:val="22"/>
            <w:szCs w:val="22"/>
            <w:u w:val="single"/>
          </w:rPr>
          <w:t>commerce.wa.gov/housing-policy/hb1217-landlord-resource-center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deutsches Mietrecht, §§ 535 ff. BGB (</w:t>
      </w:r>
      <w:hyperlink r:id="rId133">
        <w:r>
          <w:rPr>
            <w:rStyle w:val="ListLabel113"/>
            <w:rFonts w:eastAsia="Cambria" w:cs="Cambria"/>
            <w:b w:val="false"/>
            <w:bCs w:val="false"/>
            <w:i w:val="false"/>
            <w:iCs w:val="false"/>
            <w:color w:val="0563C1"/>
            <w:sz w:val="22"/>
            <w:szCs w:val="22"/>
            <w:u w:val="single"/>
          </w:rPr>
          <w:t>gesetze-im-internet.de/bgb</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8" w:name="__RefHeading___Toc56458_3457424410"/>
      <w:bookmarkStart w:id="39" w:name="k14"/>
      <w:bookmarkEnd w:id="38"/>
      <w:r>
        <w:rPr>
          <w:rFonts w:eastAsia="Amazon Ember" w:cs="Amazon Ember" w:ascii="Amazon Ember" w:hAnsi="Amazon Ember"/>
          <w:b/>
          <w:bCs/>
          <w:color w:val="0000FF"/>
          <w:sz w:val="36"/>
          <w:szCs w:val="36"/>
        </w:rPr>
        <w:t>Kapitel 14: Kaufen in den USA und Hypotheken-Know-how</w:t>
      </w:r>
      <w:bookmarkEnd w:id="39"/>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Kaufen lohnt sich rechnerisch meist erst nach fünf bis zehn Jahren am selben Ort: Kauf und Verkauf kosten zusammen rund 10 % des Preises. Das erste Jahr mietest du besser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FHA-Kredite (staatlich abgesicherte Kredite mit kleiner Anzahlung) stehen Visa-Inhabern seit 25. Mai 2025 nicht mehr offen. Bleiben Konformkredite nach den Regeln von Fannie Mae und Freddie Mac (mit SSN, US-Kredithistorie und oft mindestens einem Jahr Visum-Restlaufzeit) und Non-QM-Kredite mit 20–50 % Anzahlung.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30-Jahres-Festzins lag am 17. September 2026 bei 6,95 %. Ein Haus für 500.000 $ kostet mit 20 % Anzahlung rund 3.314 $ im Monat, mit 10 % Anzahlung rund 3.833 $, jeweils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Zur Anzahlung kommen 2–5 % Abschlusskosten: Bei 500.000 $ Kaufpreis brauchst du 60.000–125.000 $ Bargeld.</w:t>
            </w:r>
          </w:p>
          <w:p>
            <w:pPr>
              <w:pStyle w:val="ListParagraph"/>
              <w:numPr>
                <w:ilvl w:val="0"/>
                <w:numId w:val="1"/>
              </w:numPr>
              <w:spacing w:lineRule="exact" w:line="264" w:before="0" w:after="50"/>
              <w:rPr/>
            </w:pPr>
            <w:r>
              <w:rPr>
                <w:rFonts w:eastAsia="Cambria" w:cs="Cambria"/>
                <w:b w:val="false"/>
                <w:bCs w:val="false"/>
                <w:i w:val="false"/>
                <w:iCs w:val="false"/>
                <w:sz w:val="20"/>
                <w:szCs w:val="20"/>
              </w:rPr>
              <w:t>Grundsteuer (etwa 0,3–1,9 % des Werts pro Jahr) und Hausversicherung (grob 1.000–7.000 $ pro Jahr) hängen stark vom Bundesstaat ab.</w:t>
            </w:r>
          </w:p>
          <w:p>
            <w:pPr>
              <w:pStyle w:val="ListParagraph"/>
              <w:numPr>
                <w:ilvl w:val="0"/>
                <w:numId w:val="1"/>
              </w:numPr>
              <w:spacing w:lineRule="exact" w:line="264" w:before="0" w:after="50"/>
              <w:rPr/>
            </w:pPr>
            <w:r>
              <w:rPr>
                <w:rFonts w:eastAsia="Cambria" w:cs="Cambria"/>
                <w:b w:val="false"/>
                <w:bCs w:val="false"/>
                <w:i w:val="false"/>
                <w:iCs w:val="false"/>
                <w:sz w:val="20"/>
                <w:szCs w:val="20"/>
              </w:rPr>
              <w:t>Statt Notar und Grundbuch arbeiten eine Titelgesellschaft und ein Treuhänder für dich; eine Titelversicherung deckt das Restrisiko.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oder kaufen: die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erste Orientierung gibt das </w:t>
      </w:r>
      <w:r>
        <w:rPr>
          <w:rFonts w:eastAsia="Cambria" w:cs="Cambria"/>
          <w:b w:val="false"/>
          <w:bCs w:val="false"/>
          <w:i/>
          <w:iCs/>
          <w:sz w:val="22"/>
          <w:szCs w:val="22"/>
        </w:rPr>
        <w:t>Price-to-Rent-Verhältnis</w:t>
      </w:r>
      <w:r>
        <w:rPr>
          <w:rFonts w:eastAsia="Cambria" w:cs="Cambria"/>
          <w:b w:val="false"/>
          <w:bCs w:val="false"/>
          <w:i w:val="false"/>
          <w:iCs w:val="false"/>
          <w:sz w:val="22"/>
          <w:szCs w:val="22"/>
        </w:rPr>
        <w:t xml:space="preserve">: Kaufpreis geteilt durch die Jahresmiete einer vergleichbaren Wohnung. Der Median für bestehende Häuser lag im August 2026 bei 429.100 $ (NAR, </w:t>
      </w:r>
      <w:r>
        <w:rPr>
          <w:rFonts w:eastAsia="Cambria" w:cs="Cambria"/>
          <w:b w:val="false"/>
          <w:bCs w:val="false"/>
          <w:i/>
          <w:iCs/>
          <w:sz w:val="22"/>
          <w:szCs w:val="22"/>
        </w:rPr>
        <w:t>National Association of Realtors</w:t>
      </w:r>
      <w:r>
        <w:rPr>
          <w:rFonts w:eastAsia="Cambria" w:cs="Cambria"/>
          <w:b w:val="false"/>
          <w:bCs w:val="false"/>
          <w:i w:val="false"/>
          <w:iCs w:val="false"/>
          <w:sz w:val="22"/>
          <w:szCs w:val="22"/>
        </w:rP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tbl>
      <w:tblPr>
        <w:tblW w:w="6480" w:type="dxa"/>
        <w:jc w:val="left"/>
        <w:tblInd w:w="0" w:type="dxa"/>
        <w:tblLayout w:type="fixed"/>
        <w:tblCellMar>
          <w:top w:w="50" w:type="dxa"/>
          <w:left w:w="80" w:type="dxa"/>
          <w:bottom w:w="50" w:type="dxa"/>
          <w:right w:w="80" w:type="dxa"/>
        </w:tblCellMar>
      </w:tblPr>
      <w:tblGrid>
        <w:gridCol w:w="1929"/>
        <w:gridCol w:w="2023"/>
        <w:gridCol w:w="1263"/>
        <w:gridCol w:w="1264"/>
      </w:tblGrid>
      <w:tr>
        <w:trPr>
          <w:tblHeader w:val="true"/>
          <w:cantSplit w:val="true"/>
        </w:trPr>
        <w:tc>
          <w:tcPr>
            <w:tcW w:w="19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Haltedauer</w:t>
            </w:r>
          </w:p>
        </w:tc>
        <w:tc>
          <w:tcPr>
            <w:tcW w:w="20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Kein Wertzuwachs</w:t>
            </w:r>
          </w:p>
        </w:tc>
        <w:tc>
          <w:tcPr>
            <w:tcW w:w="1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2 % pro Jahr</w:t>
            </w:r>
          </w:p>
        </w:tc>
        <w:tc>
          <w:tcPr>
            <w:tcW w:w="1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4 % pro Jahr</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5.296</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4.540</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Fünf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4.615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Sieben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4.257</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3.532</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2.715</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Zehn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3.173</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2.332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Jobrisiko, Liquidität und Verkaufskosten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Arbeitsvisum kommt ein Risiko hinzu, das ein Beschäftigter mit unbefristetem deutschem Vertrag nicht kennt: Dein Status hängt am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Nach einem Stellenabbau bleibt meist höchstens ein Fenster von 60 Tagen, um einen neuen Sponsor zu finden oder auszureisen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dann verkaufen muss, zahlt die Rechnung von oben: Kaufkosten von 3 % und Verkaufskosten von 7 % sind bei 500.000 $ zusammen rund 50.000 $. Eine Rückkehr nach weniger als drei bis fünf Jahren endet deshalb meist mit Verlust.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ist trotzdem vernünftig, wenn du mindestens fünf bis sieben Jahre am Ort bleiben willst, der Arbeitgeber stabil ist, das Green-Card-Verfahren weit fortgeschritten oder abgeschlossen ist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und nach dem Kauf noch mehrere Monatsraten als Reserve bleiben.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kauft, wettet auf Bleiben. Die Kosten des Rückwegs von rund 10 % trägst du auch dann, wenn der Grund für den Umzug nicht in deiner Hand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12 bis 24 Monate, bevor du kaufst. Du lernst Region, Pendelwege und Schuldistrikt kennen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und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vermeidest einen teuren Fehlkauf und baust die US-Kredithistorie auf, die Konformkredite ohnehin verlangen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vier Monaten im Großraum Detroit; Markus hat den H-1B-Status, das Green-Card-Verfahren steht am Anfang. Mit Lena (9) und Jonas (5) sucht die Familie einen guten Schuldistrikt und findet ein Haus für 400.000 $. Lena fragt bei der Besichtigung nur, ob ihr Bett ins neue Zimmer passt – für die Eltern eine Rechnung mit deutlich mehr Variablen. Bei 10 % Anzahlung (Darlehen 360.000 $, 6,95 %) kostet es 2.383 $ Rate, dazu 333 $ Grundsteuer (Annahme 1 %), 200 $ Versicherung und 150 $ PMI, zusammen rund 3.066 $. Ein vergleichbares Haus zur Miete kostet 2.300 $. Der Kauf verlangt also 766 $ mehr im Monat, dazu etwa 333 $ Instandhaltung und 52.000 $ Bargeld, fast alle Ersparnisse. Ginge die Familie nach drei Jahren zurück, kostete der Verkauf rund 28.000 $ (7 %). Die Familie mietet vorerst und prüft den Kauf erneut, wenn die Green Card näher rückt.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als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Ausländer dürfen in den USA grundsätzlich Immobilien erwerben; Ausnahmen betreffen bestimmte Staatsangehörigkeiten (siehe unten). Die Hürde ist die Finanzierung: Die meisten Hypotheken für Selbstnutzer folgen den Regeln von </w:t>
      </w:r>
      <w:r>
        <w:rPr>
          <w:rFonts w:eastAsia="Cambria" w:cs="Cambria"/>
          <w:b w:val="false"/>
          <w:bCs w:val="false"/>
          <w:i/>
          <w:iCs/>
          <w:sz w:val="22"/>
          <w:szCs w:val="22"/>
        </w:rPr>
        <w:t>Fannie Mae</w:t>
      </w:r>
      <w:r>
        <w:rPr>
          <w:rFonts w:eastAsia="Cambria" w:cs="Cambria"/>
          <w:b w:val="false"/>
          <w:bCs w:val="false"/>
          <w:i w:val="false"/>
          <w:iCs w:val="false"/>
          <w:sz w:val="22"/>
          <w:szCs w:val="22"/>
        </w:rPr>
        <w:t xml:space="preserve"> und </w:t>
      </w:r>
      <w:r>
        <w:rPr>
          <w:rFonts w:eastAsia="Cambria" w:cs="Cambria"/>
          <w:b w:val="false"/>
          <w:bCs w:val="false"/>
          <w:i/>
          <w:iCs/>
          <w:sz w:val="22"/>
          <w:szCs w:val="22"/>
        </w:rPr>
        <w:t>Freddie Mac</w:t>
      </w:r>
      <w:r>
        <w:rPr>
          <w:rFonts w:eastAsia="Cambria" w:cs="Cambria"/>
          <w:b w:val="false"/>
          <w:bCs w:val="false"/>
          <w:i w:val="false"/>
          <w:iCs w:val="false"/>
          <w:sz w:val="22"/>
          <w:szCs w:val="22"/>
        </w:rPr>
        <w:t xml:space="preserve">, zwei staatlich beaufsichtigten Unternehmen, die Kredite aufkaufen – solche </w:t>
      </w:r>
      <w:r>
        <w:rPr>
          <w:rFonts w:eastAsia="Cambria" w:cs="Cambria"/>
          <w:b w:val="false"/>
          <w:bCs w:val="false"/>
          <w:i/>
          <w:iCs/>
          <w:sz w:val="22"/>
          <w:szCs w:val="22"/>
        </w:rPr>
        <w:t>Konformkredite</w:t>
      </w:r>
      <w:r>
        <w:rPr>
          <w:rFonts w:eastAsia="Cambria" w:cs="Cambria"/>
          <w:b w:val="false"/>
          <w:bCs w:val="false"/>
          <w:i w:val="false"/>
          <w:iCs w:val="false"/>
          <w:sz w:val="22"/>
          <w:szCs w:val="22"/>
        </w:rPr>
        <w:t xml:space="preserve"> (</w:t>
      </w:r>
      <w:r>
        <w:rPr>
          <w:rFonts w:eastAsia="Cambria" w:cs="Cambria"/>
          <w:b w:val="false"/>
          <w:bCs w:val="false"/>
          <w:i/>
          <w:iCs/>
          <w:sz w:val="22"/>
          <w:szCs w:val="22"/>
        </w:rPr>
        <w:t>Conforming Loans</w:t>
      </w:r>
      <w:r>
        <w:rPr>
          <w:rFonts w:eastAsia="Cambria" w:cs="Cambria"/>
          <w:b w:val="false"/>
          <w:bCs w:val="false"/>
          <w:i w:val="false"/>
          <w:iCs w:val="false"/>
          <w:sz w:val="22"/>
          <w:szCs w:val="22"/>
        </w:rPr>
        <w:t>) sind der Normalfall. Kreditgeber prüfen, ob du verlässlich zurückzahlst und, als Visa-Inhaber, ob dein Aufenthalt lange genug gesichert ist.</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Anforderung</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in der Praxis nötig (Kapitel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eine ITIN akzeptieren nur einzelne Anbieter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w:t>
            </w:r>
            <w:r>
              <w:rPr>
                <w:rFonts w:eastAsia="Cambria" w:cs="Cambria"/>
                <w:b w:val="false"/>
                <w:bCs w:val="false"/>
                <w:i/>
                <w:iCs/>
                <w:sz w:val="18"/>
                <w:szCs w:val="18"/>
              </w:rPr>
              <w:t>Credit Score</w:t>
            </w:r>
            <w:r>
              <w:rPr>
                <w:rFonts w:eastAsia="Cambria" w:cs="Cambria"/>
                <w:b w:val="false"/>
                <w:bCs w:val="false"/>
                <w:i w:val="false"/>
                <w:iCs w:val="false"/>
                <w:sz w:val="18"/>
                <w:szCs w:val="18"/>
              </w:rPr>
              <w:t xml:space="preserve"> (meist FICO-Score); Fannie Mae verlangt im automatisierten Verfahren seit November 2025 keinen Mindestwert, Kreditgeber meist 620 oder mehr; manuelle Prüfung: 620 (Festzins), 640 (ARM)</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Beschäftigung</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Jahre US-Arbeitshistorie, bei Konzernversetzung verzichtbar; Arbeitgeberbrief und Gehaltsnachweise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Gültig beim Closing (Freddie Mac); Kreditgeber verlangen oft mindestens zwölf Monate Restlaufzeit oder Verlängerungsnachweis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w:t>
            </w:r>
            <w:r>
              <w:rPr>
                <w:rFonts w:eastAsia="Cambria" w:cs="Cambria"/>
                <w:b w:val="false"/>
                <w:bCs w:val="false"/>
                <w:i/>
                <w:iCs/>
                <w:sz w:val="18"/>
                <w:szCs w:val="18"/>
              </w:rPr>
              <w:t>Down Payment</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 je nach Programm, Erstkäufer im Median 10 % (NAR 2025); Herkunft nachweisen, Guthaben mindestens 60 Tage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Schuldenquote (</w:t>
            </w:r>
            <w:r>
              <w:rPr>
                <w:rFonts w:eastAsia="Cambria" w:cs="Cambria"/>
                <w:b w:val="false"/>
                <w:bCs w:val="false"/>
                <w:i/>
                <w:iCs/>
                <w:sz w:val="18"/>
                <w:szCs w:val="18"/>
              </w:rPr>
              <w:t>DTI</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Monatsschulden im Verhältnis zum Bruttoeinkommen: Fannie Mae bis 50 %, manuell 36 % (bis 45 %)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w:t>
      </w:r>
      <w:r>
        <w:rPr>
          <w:rFonts w:eastAsia="Cambria" w:cs="Cambria"/>
          <w:b w:val="false"/>
          <w:bCs w:val="false"/>
          <w:i/>
          <w:iCs/>
          <w:sz w:val="22"/>
          <w:szCs w:val="22"/>
        </w:rPr>
        <w:t>Overlay</w:t>
      </w:r>
      <w:r>
        <w:rPr>
          <w:rFonts w:eastAsia="Cambria" w:cs="Cambria"/>
          <w:b w:val="false"/>
          <w:bCs w:val="false"/>
          <w:i w:val="false"/>
          <w:iCs w:val="false"/>
          <w:sz w:val="22"/>
          <w:szCs w:val="22"/>
        </w:rPr>
        <w:t xml:space="preserve"> (Zusatzregel über die Agenturvorgabe hinaus): Je nach Anbieter sind es ein bis drei Jahre. Frage früh nach Restlaufzeit, Mindest-Score und Reserven. Deine deutsche Schufa-Historie zählt praktisch nicht; die Dienste für internationale Kreditberichte decken Deutschland nach den vorliegenden Angaben nicht sicher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Fehlt eine ausreichende US-Historie, kennt Fannie Mae die </w:t>
      </w:r>
      <w:r>
        <w:rPr>
          <w:rFonts w:eastAsia="Cambria" w:cs="Cambria"/>
          <w:b w:val="false"/>
          <w:bCs w:val="false"/>
          <w:i/>
          <w:iCs/>
          <w:sz w:val="22"/>
          <w:szCs w:val="22"/>
        </w:rPr>
        <w:t>nichttraditionelle Kredithistorie</w:t>
      </w:r>
      <w:r>
        <w:rPr>
          <w:rFonts w:eastAsia="Cambria" w:cs="Cambria"/>
          <w:b w:val="false"/>
          <w:bCs w:val="false"/>
          <w:i w:val="false"/>
          <w:iCs w:val="false"/>
          <w:sz w:val="22"/>
          <w:szCs w:val="22"/>
        </w:rP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Einschränkungen beim Landerwerb: Texas (SB 17, seit 1. September 2025) und Florida (SB 264) beschränken den Erwerb durch Staatsangehörige oder Ansässige bestimmter Länder, darunter China, Russland, Iran und Nordkorea (Florida zusätzlich Kuba, Venezuela u. a.). Deutschland steht auf keiner dieser Listen. Prüfe die Rechtslage nur, wenn Mitkäufer einen anderen Pass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Hypothek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Hypothek (</w:t>
      </w:r>
      <w:r>
        <w:rPr>
          <w:rFonts w:eastAsia="Cambria" w:cs="Cambria"/>
          <w:b w:val="false"/>
          <w:bCs w:val="false"/>
          <w:i/>
          <w:iCs/>
          <w:sz w:val="22"/>
          <w:szCs w:val="22"/>
        </w:rPr>
        <w:t>Mortgage</w:t>
      </w:r>
      <w:r>
        <w:rPr>
          <w:rFonts w:eastAsia="Cambria" w:cs="Cambria"/>
          <w:b w:val="false"/>
          <w:bCs w:val="false"/>
          <w:i w:val="false"/>
          <w:iCs w:val="false"/>
          <w:sz w:val="22"/>
          <w:szCs w:val="22"/>
        </w:rPr>
        <w:t>) ist in den USA ein Ratenkredit über meist 15 oder 30 Jahre, gesichert durch das Haus. Beim 30-Jahres-Kredit bleibt der Zins üblicherweise die gesamte Laufzeit fest – in Deutschland ist eine Zinsbindung von 10 bis 15 Jahren üblich.</w:t>
      </w:r>
    </w:p>
    <w:tbl>
      <w:tblPr>
        <w:tblW w:w="6480" w:type="dxa"/>
        <w:jc w:val="left"/>
        <w:tblInd w:w="0" w:type="dxa"/>
        <w:tblLayout w:type="fixed"/>
        <w:tblCellMar>
          <w:top w:w="50" w:type="dxa"/>
          <w:left w:w="80" w:type="dxa"/>
          <w:bottom w:w="50" w:type="dxa"/>
          <w:right w:w="80" w:type="dxa"/>
        </w:tblCellMar>
      </w:tblPr>
      <w:tblGrid>
        <w:gridCol w:w="1494"/>
        <w:gridCol w:w="1596"/>
        <w:gridCol w:w="1293"/>
        <w:gridCol w:w="2096"/>
      </w:tblGrid>
      <w:tr>
        <w:trPr>
          <w:tblHeader w:val="true"/>
          <w:cantSplit w:val="true"/>
        </w:trPr>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Kreditart</w:t>
            </w:r>
          </w:p>
        </w:tc>
        <w:tc>
          <w:tcPr>
            <w:tcW w:w="15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Visa-Inhaber?</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Anzahlung</w:t>
            </w:r>
          </w:p>
        </w:tc>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Konventionell (Fannie/Freddie)</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US-Kredit, meist Score ab 620; PMI unter 20 %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seit 25.05.2025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Bürger, Green-Card-Inhaber, Bürger von Mikronesien, Marshallinseln, Palau</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Jumbo</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Regeln je Kreditgeber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Kreditgeber</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der Kreditgrenze: 832.750 $ (2026), in Hochkostenregionen bis 1.249.125 $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Non-QM</w:t>
            </w:r>
            <w:r>
              <w:rPr>
                <w:rFonts w:eastAsia="Cambria" w:cs="Cambria"/>
                <w:b w:val="false"/>
                <w:bCs w:val="false"/>
                <w:i w:val="false"/>
                <w:iCs w:val="false"/>
                <w:sz w:val="18"/>
                <w:szCs w:val="18"/>
              </w:rPr>
              <w:t xml:space="preserve"> / </w:t>
            </w:r>
            <w:r>
              <w:rPr>
                <w:rFonts w:eastAsia="Cambria" w:cs="Cambria"/>
                <w:b w:val="false"/>
                <w:bCs w:val="false"/>
                <w:i/>
                <w:iCs/>
                <w:sz w:val="18"/>
                <w:szCs w:val="18"/>
              </w:rPr>
              <w:t>Foreign National</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US-Kredit nötig; Zinsaufschlag 0,5–2 Prozentpunkte; 6–12 Monate Reserven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DSCR</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Vermietobjekte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für Eigennutzung</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ITIN-Kredit</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Non-QM-Nische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nennen 10–30 %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Aufschlag laut Anbietern 1–3 Prozentpunkte; Konditionen schwanken stark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Non-QM</w:t>
      </w:r>
      <w:r>
        <w:rPr>
          <w:rFonts w:eastAsia="Cambria" w:cs="Cambria"/>
          <w:b w:val="false"/>
          <w:bCs w:val="false"/>
          <w:i w:val="false"/>
          <w:iCs w:val="false"/>
          <w:sz w:val="22"/>
          <w:szCs w:val="22"/>
        </w:rPr>
        <w:t xml:space="preserve"> steht für „Non-Qualified Mortgage“: Kredite außerhalb der Fannie-und-Freddie-Standards, bei denen der Kreditgeber das Risiko selbst trägt. </w:t>
      </w:r>
      <w:r>
        <w:rPr>
          <w:rFonts w:eastAsia="Cambria" w:cs="Cambria"/>
          <w:b w:val="false"/>
          <w:bCs w:val="false"/>
          <w:i/>
          <w:iCs/>
          <w:sz w:val="22"/>
          <w:szCs w:val="22"/>
        </w:rPr>
        <w:t>Foreign-National-Kredite</w:t>
      </w:r>
      <w:r>
        <w:rPr>
          <w:rFonts w:eastAsia="Cambria" w:cs="Cambria"/>
          <w:b w:val="false"/>
          <w:bCs w:val="false"/>
          <w:i w:val="false"/>
          <w:iCs w:val="false"/>
          <w:sz w:val="22"/>
          <w:szCs w:val="22"/>
        </w:rPr>
        <w:t xml:space="preserve"> richten sich an Ausländer ohne US-Kredithistorie; die Spannen stammen von Anbietern und ändern sich. Ein </w:t>
      </w:r>
      <w:r>
        <w:rPr>
          <w:rFonts w:eastAsia="Cambria" w:cs="Cambria"/>
          <w:b w:val="false"/>
          <w:bCs w:val="false"/>
          <w:i/>
          <w:iCs/>
          <w:sz w:val="22"/>
          <w:szCs w:val="22"/>
        </w:rPr>
        <w:t>Jumbo-Kredit</w:t>
      </w:r>
      <w:r>
        <w:rPr>
          <w:rFonts w:eastAsia="Cambria" w:cs="Cambria"/>
          <w:b w:val="false"/>
          <w:bCs w:val="false"/>
          <w:i w:val="false"/>
          <w:iCs w:val="false"/>
          <w:sz w:val="22"/>
          <w:szCs w:val="22"/>
        </w:rPr>
        <w:t xml:space="preserve"> liegt über der </w:t>
      </w:r>
      <w:r>
        <w:rPr>
          <w:rFonts w:eastAsia="Cambria" w:cs="Cambria"/>
          <w:b w:val="false"/>
          <w:bCs w:val="false"/>
          <w:i/>
          <w:iCs/>
          <w:sz w:val="22"/>
          <w:szCs w:val="22"/>
        </w:rPr>
        <w:t>Conforming Loan Limit</w:t>
      </w:r>
      <w:r>
        <w:rPr>
          <w:rFonts w:eastAsia="Cambria" w:cs="Cambria"/>
          <w:b w:val="false"/>
          <w:bCs w:val="false"/>
          <w:i w:val="false"/>
          <w:iCs w:val="false"/>
          <w:sz w:val="22"/>
          <w:szCs w:val="22"/>
        </w:rPr>
        <w:t>, der Obergrenze, bis zu der Fannie und Freddie Kredite kaufen (Festlegung der Bundesbehörde FHFA).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Blogs, Foren und ältere Ratgeber versprechen Visa-Inhabern FHA-Kredite mit kleiner Anzahlung. Seit dem Mortgagee Letter 2025-09 (wirksam ab 25. Mai 2025) gilt das nicht mehr. Bis September 2026 wurde die Regel nicht zurückgenommen; sie kann sich aber jederzeit ändern. Verlass dich auf das aktuelle Angebot eines Kreditgebers, nicht auf eine Website.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w:t>
      </w:r>
      <w:r>
        <w:rPr>
          <w:rFonts w:eastAsia="Cambria" w:cs="Cambria"/>
          <w:b w:val="false"/>
          <w:bCs w:val="false"/>
          <w:i/>
          <w:iCs/>
          <w:sz w:val="22"/>
          <w:szCs w:val="22"/>
        </w:rPr>
        <w:t>Prepayment Penalty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ARM</w:t>
      </w:r>
      <w:r>
        <w:rPr>
          <w:rFonts w:eastAsia="Cambria" w:cs="Cambria"/>
          <w:b w:val="false"/>
          <w:bCs w:val="false"/>
          <w:i w:val="false"/>
          <w:iCs w:val="false"/>
          <w:sz w:val="22"/>
          <w:szCs w:val="22"/>
        </w:rPr>
        <w:t xml:space="preserve"> (</w:t>
      </w:r>
      <w:r>
        <w:rPr>
          <w:rFonts w:eastAsia="Cambria" w:cs="Cambria"/>
          <w:b w:val="false"/>
          <w:bCs w:val="false"/>
          <w:i/>
          <w:iCs/>
          <w:sz w:val="22"/>
          <w:szCs w:val="22"/>
        </w:rPr>
        <w:t>Adjustable-Rate Mortgage</w:t>
      </w:r>
      <w:r>
        <w:rPr>
          <w:rFonts w:eastAsia="Cambria" w:cs="Cambria"/>
          <w:b w:val="false"/>
          <w:bCs w:val="false"/>
          <w:i w:val="false"/>
          <w:iCs w:val="false"/>
          <w:sz w:val="22"/>
          <w:szCs w:val="22"/>
        </w:rPr>
        <w:t>, Kredit mit anpassbarem Zins) startet mit einem festen Zins und richtet ihn danach regelmäßig an einem Marktindex plus Aufschlag aus. Bei einem 5/6-ARM ist der Zins fünf Jahre fest, dann alle sechs Monate variabel. Übliche Grenzen (</w:t>
      </w:r>
      <w:r>
        <w:rPr>
          <w:rFonts w:eastAsia="Cambria" w:cs="Cambria"/>
          <w:b w:val="false"/>
          <w:bCs w:val="false"/>
          <w:i/>
          <w:iCs/>
          <w:sz w:val="22"/>
          <w:szCs w:val="22"/>
        </w:rPr>
        <w:t>Caps</w:t>
      </w:r>
      <w:r>
        <w:rPr>
          <w:rFonts w:eastAsia="Cambria" w:cs="Cambria"/>
          <w:b w:val="false"/>
          <w:bCs w:val="false"/>
          <w:i w:val="false"/>
          <w:iCs w:val="false"/>
          <w:sz w:val="22"/>
          <w:szCs w:val="22"/>
        </w:rPr>
        <w:t>) sind 2/1/5: höchstens 2 Prozentpunkte beim ersten Anpassen, danach höchstens 1 Prozentpunkt je Anpassung, insgesamt höchstens 5 Prozentpunkte über dem Startzins. Fannie Mae verlangt bei manueller Prüfung 640 statt 620. Der Zinsvorteil gegenüber dem Festzins schwankt mit dem Markt und wurde hier nicht ermittelt. Ein ARM passt am ehesten, wenn du sicher weißt, dass du innerhalb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Zinsen, Points und Rate Lock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Anzahlung eher ein Achtel bis ein Viertel Prozentpunkt darüber. Ein halber Prozentpunkt verändert die Rate bei 400.000 $ Darlehen um 130–140 $: 2.515 $ bei 6,45 %, 2.648 $ bei 6,95 %, 2.783 $ bei 7,45 %.</w:t>
      </w:r>
    </w:p>
    <w:p>
      <w:pPr>
        <w:pStyle w:val="Normal"/>
        <w:keepNext w:val="false"/>
        <w:keepLines w:val="false"/>
        <w:spacing w:lineRule="exact" w:line="288" w:before="0" w:after="140"/>
        <w:jc w:val="left"/>
        <w:rPr/>
      </w:pPr>
      <w:r>
        <w:rPr>
          <w:rFonts w:eastAsia="Cambria" w:cs="Cambria"/>
          <w:b w:val="false"/>
          <w:bCs w:val="false"/>
          <w:i/>
          <w:iCs/>
          <w:sz w:val="22"/>
          <w:szCs w:val="22"/>
        </w:rPr>
        <w:t>Points</w:t>
      </w:r>
      <w:r>
        <w:rPr>
          <w:rFonts w:eastAsia="Cambria" w:cs="Cambria"/>
          <w:b w:val="false"/>
          <w:bCs w:val="false"/>
          <w:i w:val="false"/>
          <w:iCs w:val="false"/>
          <w:sz w:val="22"/>
          <w:szCs w:val="22"/>
        </w:rP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rFonts w:eastAsia="Cambria" w:cs="Cambria"/>
          <w:b w:val="false"/>
          <w:bCs w:val="false"/>
          <w:i/>
          <w:iCs/>
          <w:sz w:val="22"/>
          <w:szCs w:val="22"/>
        </w:rPr>
        <w:t>Lender Credits</w:t>
      </w:r>
      <w:r>
        <w:rPr>
          <w:rFonts w:eastAsia="Cambria" w:cs="Cambria"/>
          <w:b w:val="false"/>
          <w:bCs w:val="false"/>
          <w:i w:val="false"/>
          <w:iCs w:val="false"/>
          <w:sz w:val="22"/>
          <w:szCs w:val="22"/>
        </w:rPr>
        <w:t>: höherer Zins gegen Übernahme von Abschlusskosten. Die echten Abschläge stehen im Loan Estimate.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Diesen </w:t>
      </w:r>
      <w:r>
        <w:rPr>
          <w:rFonts w:eastAsia="Cambria" w:cs="Cambria"/>
          <w:b w:val="false"/>
          <w:bCs w:val="false"/>
          <w:i/>
          <w:iCs/>
          <w:sz w:val="22"/>
          <w:szCs w:val="22"/>
        </w:rPr>
        <w:t>Loan Estimate</w:t>
      </w:r>
      <w:r>
        <w:rPr>
          <w:rFonts w:eastAsia="Cambria" w:cs="Cambria"/>
          <w:b w:val="false"/>
          <w:bCs w:val="false"/>
          <w:i w:val="false"/>
          <w:iCs w:val="false"/>
          <w:sz w:val="22"/>
          <w:szCs w:val="22"/>
        </w:rPr>
        <w:t xml:space="preserve"> (standardisierte Kostenübersicht im gleichen Format bei allen Kreditgebern) erhältst du binnen drei Werktagen nach dem Antrag. Mit dem </w:t>
      </w:r>
      <w:r>
        <w:rPr>
          <w:rFonts w:eastAsia="Cambria" w:cs="Cambria"/>
          <w:b w:val="false"/>
          <w:bCs w:val="false"/>
          <w:i/>
          <w:iCs/>
          <w:sz w:val="22"/>
          <w:szCs w:val="22"/>
        </w:rPr>
        <w:t>Rate Lock</w:t>
      </w:r>
      <w:r>
        <w:rPr>
          <w:rFonts w:eastAsia="Cambria" w:cs="Cambria"/>
          <w:b w:val="false"/>
          <w:bCs w:val="false"/>
          <w:i w:val="false"/>
          <w:iCs w:val="false"/>
          <w:sz w:val="22"/>
          <w:szCs w:val="22"/>
        </w:rPr>
        <w:t xml:space="preserve"> sicherst du dir den Zins für 30, 45 oder 60 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Rate Lock läuft ab. Dauern Gutachten, Underwriting oder Titelprüfung länger als die gesicherte Frist, wird die Verlängerung teuer. Fällt der Marktzins danach, profitierst du in der Regel nicht. Ändert sich dein Antrag (Preis, Anzahlung, Bonität), kann sich auch der Zins ändern (CFPB). Wähle die Frist mit Puffer und ändere nach der Sicherung nichts mehr am 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Loan Estimates ein und vergleiche Zins, Points, Gebühren und Rate-Lock-Dauer. Das CFPB empfiehlt das, und es kostet meist nichts. Ein Kreditgeber, der Visa-Inhaber regelmäßig finanziert, kennt die Overlays und erspart dir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PMI und Escrow: was die Rate enthält</w:t>
      </w:r>
    </w:p>
    <w:p>
      <w:pPr>
        <w:pStyle w:val="Normal"/>
        <w:keepNext w:val="false"/>
        <w:keepLines w:val="false"/>
        <w:spacing w:lineRule="exact" w:line="288" w:before="0" w:after="140"/>
        <w:jc w:val="left"/>
        <w:rPr/>
      </w:pPr>
      <w:r>
        <w:rPr>
          <w:rFonts w:eastAsia="Cambria" w:cs="Cambria"/>
          <w:b w:val="false"/>
          <w:bCs w:val="false"/>
          <w:i/>
          <w:iCs/>
          <w:sz w:val="22"/>
          <w:szCs w:val="22"/>
        </w:rPr>
        <w:t>PMI</w:t>
      </w:r>
      <w:r>
        <w:rPr>
          <w:rFonts w:eastAsia="Cambria" w:cs="Cambria"/>
          <w:b w:val="false"/>
          <w:bCs w:val="false"/>
          <w:i w:val="false"/>
          <w:iCs w:val="false"/>
          <w:sz w:val="22"/>
          <w:szCs w:val="22"/>
        </w:rPr>
        <w:t xml:space="preserve"> (</w:t>
      </w:r>
      <w:r>
        <w:rPr>
          <w:rFonts w:eastAsia="Cambria" w:cs="Cambria"/>
          <w:b w:val="false"/>
          <w:bCs w:val="false"/>
          <w:i/>
          <w:iCs/>
          <w:sz w:val="22"/>
          <w:szCs w:val="22"/>
        </w:rPr>
        <w:t>Private Mortgage Insurance</w:t>
      </w:r>
      <w:r>
        <w:rPr>
          <w:rFonts w:eastAsia="Cambria" w:cs="Cambria"/>
          <w:b w:val="false"/>
          <w:bCs w:val="false"/>
          <w:i w:val="false"/>
          <w:iCs w:val="false"/>
          <w:sz w:val="22"/>
          <w:szCs w:val="22"/>
        </w:rPr>
        <w:t>)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Escrow-Konto</w:t>
      </w:r>
      <w:r>
        <w:rPr>
          <w:rFonts w:eastAsia="Cambria" w:cs="Cambria"/>
          <w:b w:val="false"/>
          <w:bCs w:val="false"/>
          <w:i w:val="false"/>
          <w:iCs w:val="false"/>
          <w:sz w:val="22"/>
          <w:szCs w:val="22"/>
        </w:rPr>
        <w:t xml:space="preserve"> (hier: Treuhandkonto beim Kreditgeber) sammelt monatlich ein Zwölftel von Grundsteuer und Hausversicherung und zahlt die Rechnungen für dich. Die Gesamtrate heißt PITI (</w:t>
      </w:r>
      <w:r>
        <w:rPr>
          <w:rFonts w:eastAsia="Cambria" w:cs="Cambria"/>
          <w:b w:val="false"/>
          <w:bCs w:val="false"/>
          <w:i/>
          <w:iCs/>
          <w:sz w:val="22"/>
          <w:szCs w:val="22"/>
        </w:rPr>
        <w:t>Principal, Interest, Taxes, Insurance</w:t>
      </w:r>
      <w:r>
        <w:rPr>
          <w:rFonts w:eastAsia="Cambria" w:cs="Cambria"/>
          <w:b w:val="false"/>
          <w:bCs w:val="false"/>
          <w:i w:val="false"/>
          <w:iCs w:val="false"/>
          <w:sz w:val="22"/>
          <w:szCs w:val="22"/>
        </w:rPr>
        <w:t xml:space="preserve">: Tilgung, Zins, Steuer, Versicherung). Steigen Steuer oder Prämie, steigt deine Rate, obwohl der Zins fest ist. Beim Kauf begegnet dir das Wort noch einmal anders: Ein neutraler </w:t>
      </w:r>
      <w:r>
        <w:rPr>
          <w:rFonts w:eastAsia="Cambria" w:cs="Cambria"/>
          <w:b w:val="false"/>
          <w:bCs w:val="false"/>
          <w:i/>
          <w:iCs/>
          <w:sz w:val="22"/>
          <w:szCs w:val="22"/>
        </w:rPr>
        <w:t>Escrow Agent</w:t>
      </w:r>
      <w:r>
        <w:rPr>
          <w:rFonts w:eastAsia="Cambria" w:cs="Cambria"/>
          <w:b w:val="false"/>
          <w:bCs w:val="false"/>
          <w:i w:val="false"/>
          <w:iCs w:val="false"/>
          <w:sz w:val="22"/>
          <w:szCs w:val="22"/>
        </w:rPr>
        <w:t xml:space="preserve"> verwahrt beim Closing Geld und Dokumente, bis alle Bedingungen erfüllt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Beispiel-Monatsrate mit Rechenweg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Formel für die Rate aus Zins und Tilgung (</w:t>
      </w:r>
      <w:r>
        <w:rPr>
          <w:rFonts w:eastAsia="Cambria" w:cs="Cambria"/>
          <w:b w:val="false"/>
          <w:bCs w:val="false"/>
          <w:i/>
          <w:iCs/>
          <w:sz w:val="22"/>
          <w:szCs w:val="22"/>
        </w:rPr>
        <w:t>Principal &amp; Interest</w:t>
      </w:r>
      <w:r>
        <w:rPr>
          <w:rFonts w:eastAsia="Cambria" w:cs="Cambria"/>
          <w:b w:val="false"/>
          <w:bCs w:val="false"/>
          <w:i w:val="false"/>
          <w:iCs w:val="false"/>
          <w:sz w:val="22"/>
          <w:szCs w:val="22"/>
        </w:rPr>
        <w: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tbl>
      <w:tblPr>
        <w:tblW w:w="6480" w:type="dxa"/>
        <w:jc w:val="left"/>
        <w:tblInd w:w="0" w:type="dxa"/>
        <w:tblLayout w:type="fixed"/>
        <w:tblCellMar>
          <w:top w:w="50" w:type="dxa"/>
          <w:left w:w="80" w:type="dxa"/>
          <w:bottom w:w="50" w:type="dxa"/>
          <w:right w:w="80" w:type="dxa"/>
        </w:tblCellMar>
      </w:tblPr>
      <w:tblGrid>
        <w:gridCol w:w="2676"/>
        <w:gridCol w:w="1896"/>
        <w:gridCol w:w="1908"/>
      </w:tblGrid>
      <w:tr>
        <w:trPr>
          <w:tblHeader w:val="true"/>
          <w:cantSplit w:val="true"/>
        </w:trPr>
        <w:tc>
          <w:tcPr>
            <w:tcW w:w="26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(Dollar pro Monat)</w:t>
            </w:r>
          </w:p>
        </w:tc>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20 % Anzahlung (Darlehen 400.000 $)</w:t>
            </w:r>
          </w:p>
        </w:tc>
        <w:tc>
          <w:tcPr>
            <w:tcW w:w="1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10 % Anzahlung (Darlehen 450.000 $)</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und Zins (P&amp;I)</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2.647,79</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2.978,77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 (0,5 %)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187,50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Summe</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3.832,93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mit HOA (300 $ pro Monat)</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plus Instandhaltung (1 %)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3.731,12</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4.249,60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Bandbreite ist groß: Mit günstigen Annahmen (Grundsteuer 0,7 %, Versicherung 1.800 $, PMI 0,3 %) liegt die Summe bei 10 % Anzahlung bei 3.533 $, mit ungünstigen (1,9 %, 6.000 $, 1,0 %) bei 4.645 $; bei 20 % Anzahlung zwischen 3.089 $ und 3.939 $. Die Zinsen des ersten Jahres betragen 27.671 $ (Darlehen 400.000 $) bzw. 31.130 $ (450.000 $).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Monatsrate ist nicht der Preis. Rechne mit der Gesamtbelastung aus Tilgung, Zins, Grundsteuer, Versicherung, PMI, HOA und Instandhaltung, und teste sie mit ungünstigen Werten.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Kaufprozess in neun Schritten</w:t>
      </w:r>
    </w:p>
    <w:p>
      <w:pPr>
        <w:pStyle w:val="ListParagraph"/>
        <w:numPr>
          <w:ilvl w:val="0"/>
          <w:numId w:val="120"/>
        </w:numPr>
        <w:spacing w:lineRule="exact" w:line="288" w:before="0" w:after="60"/>
        <w:rPr/>
      </w:pPr>
      <w:r>
        <w:rPr>
          <w:rFonts w:eastAsia="Cambria" w:cs="Cambria"/>
          <w:b/>
          <w:bCs/>
          <w:i w:val="false"/>
          <w:iCs w:val="false"/>
          <w:sz w:val="22"/>
          <w:szCs w:val="22"/>
        </w:rPr>
        <w:t>Finanzierung klären (</w:t>
      </w:r>
      <w:r>
        <w:rPr>
          <w:rFonts w:eastAsia="Cambria" w:cs="Cambria"/>
          <w:b/>
          <w:bCs/>
          <w:i/>
          <w:iCs/>
          <w:sz w:val="22"/>
          <w:szCs w:val="22"/>
        </w:rPr>
        <w:t>Pre-Approval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prüft Einkommen, Vermögen und Kredit und stellt ein Schreiben aus, das Verkäufer erwarten. Eine </w:t>
      </w:r>
      <w:r>
        <w:rPr>
          <w:rFonts w:eastAsia="Cambria" w:cs="Cambria"/>
          <w:b w:val="false"/>
          <w:bCs w:val="false"/>
          <w:i/>
          <w:iCs/>
          <w:sz w:val="22"/>
          <w:szCs w:val="22"/>
        </w:rPr>
        <w:t>Pre-Qualification</w:t>
      </w:r>
      <w:r>
        <w:rPr>
          <w:rFonts w:eastAsia="Cambria" w:cs="Cambria"/>
          <w:b w:val="false"/>
          <w:bCs w:val="false"/>
          <w:i w:val="false"/>
          <w:iCs w:val="false"/>
          <w:sz w:val="22"/>
          <w:szCs w:val="22"/>
        </w:rPr>
        <w:t xml:space="preserve"> ist dagegen nur eine unverbindliche Schätzung.</w:t>
      </w:r>
    </w:p>
    <w:p>
      <w:pPr>
        <w:pStyle w:val="ListParagraph"/>
        <w:numPr>
          <w:ilvl w:val="0"/>
          <w:numId w:val="121"/>
        </w:numPr>
        <w:spacing w:lineRule="exact" w:line="288" w:before="0" w:after="60"/>
        <w:rPr/>
      </w:pPr>
      <w:r>
        <w:rPr>
          <w:rFonts w:eastAsia="Cambria" w:cs="Cambria"/>
          <w:b/>
          <w:bCs/>
          <w:i w:val="false"/>
          <w:iCs w:val="false"/>
          <w:sz w:val="22"/>
          <w:szCs w:val="22"/>
        </w:rPr>
        <w:t>Makler wählen.</w:t>
      </w:r>
      <w:r>
        <w:rPr>
          <w:rFonts w:eastAsia="Cambria" w:cs="Cambria"/>
          <w:b w:val="false"/>
          <w:bCs w:val="false"/>
          <w:i w:val="false"/>
          <w:iCs w:val="false"/>
          <w:sz w:val="22"/>
          <w:szCs w:val="22"/>
        </w:rPr>
        <w:t xml:space="preserve"> Seit 17. August 2024 gilt: keine Vergütungsangebote mehr in der Objektdatenbank (MLS) und ein schriftlicher Vertrag mit dem Käuferagenten (</w:t>
      </w:r>
      <w:r>
        <w:rPr>
          <w:rFonts w:eastAsia="Cambria" w:cs="Cambria"/>
          <w:b w:val="false"/>
          <w:bCs w:val="false"/>
          <w:i/>
          <w:iCs/>
          <w:sz w:val="22"/>
          <w:szCs w:val="22"/>
        </w:rPr>
        <w:t>Buyer’s Agent</w:t>
      </w:r>
      <w:r>
        <w:rPr>
          <w:rFonts w:eastAsia="Cambria" w:cs="Cambria"/>
          <w:b w:val="false"/>
          <w:bCs w:val="false"/>
          <w:i w:val="false"/>
          <w:iCs w:val="false"/>
          <w:sz w:val="22"/>
          <w:szCs w:val="22"/>
        </w:rPr>
        <w:t>) vor der ersten Besichtigung. Die Provision (Ø 2,42 %, Redfin, Q3 2025) ist verhandelbar; vereinbare sie schriftlich.</w:t>
      </w:r>
    </w:p>
    <w:p>
      <w:pPr>
        <w:pStyle w:val="ListParagraph"/>
        <w:numPr>
          <w:ilvl w:val="0"/>
          <w:numId w:val="122"/>
        </w:numPr>
        <w:spacing w:lineRule="exact" w:line="288" w:before="0" w:after="60"/>
        <w:rPr/>
      </w:pPr>
      <w:r>
        <w:rPr>
          <w:rFonts w:eastAsia="Cambria" w:cs="Cambria"/>
          <w:b/>
          <w:bCs/>
          <w:i w:val="false"/>
          <w:iCs w:val="false"/>
          <w:sz w:val="22"/>
          <w:szCs w:val="22"/>
        </w:rPr>
        <w:t>Suchen, besichtigen, Angebot machen.</w:t>
      </w:r>
      <w:r>
        <w:rPr>
          <w:rFonts w:eastAsia="Cambria" w:cs="Cambria"/>
          <w:b w:val="false"/>
          <w:bCs w:val="false"/>
          <w:i w:val="false"/>
          <w:iCs w:val="false"/>
          <w:sz w:val="22"/>
          <w:szCs w:val="22"/>
        </w:rPr>
        <w:t xml:space="preserve"> Das Angebot nennt Preis, </w:t>
      </w:r>
      <w:r>
        <w:rPr>
          <w:rFonts w:eastAsia="Cambria" w:cs="Cambria"/>
          <w:b w:val="false"/>
          <w:bCs w:val="false"/>
          <w:i/>
          <w:iCs/>
          <w:sz w:val="22"/>
          <w:szCs w:val="22"/>
        </w:rPr>
        <w:t>Earnest Money</w:t>
      </w:r>
      <w:r>
        <w:rPr>
          <w:rFonts w:eastAsia="Cambria" w:cs="Cambria"/>
          <w:b w:val="false"/>
          <w:bCs w:val="false"/>
          <w:i w:val="false"/>
          <w:iCs w:val="false"/>
          <w:sz w:val="22"/>
          <w:szCs w:val="22"/>
        </w:rPr>
        <w:t xml:space="preserve"> (Anzahlung als Ernstzeichen, meist 1–3 % des Preises, im Escrow verwahrt), Closing-Termin und </w:t>
      </w:r>
      <w:r>
        <w:rPr>
          <w:rFonts w:eastAsia="Cambria" w:cs="Cambria"/>
          <w:b w:val="false"/>
          <w:bCs w:val="false"/>
          <w:i/>
          <w:iCs/>
          <w:sz w:val="22"/>
          <w:szCs w:val="22"/>
        </w:rPr>
        <w:t>Contingencies</w:t>
      </w:r>
      <w:r>
        <w:rPr>
          <w:rFonts w:eastAsia="Cambria" w:cs="Cambria"/>
          <w:b w:val="false"/>
          <w:bCs w:val="false"/>
          <w:i w:val="false"/>
          <w:iCs w:val="false"/>
          <w:sz w:val="22"/>
          <w:szCs w:val="22"/>
        </w:rPr>
        <w:t xml:space="preserve"> (Rücktrittsklauseln für Inspektion, Finanzierung, Gutachten). Trittst du aus einem Grund zurück, den keine Contingency abdeckt, kann der Verkäufer das Earnest Money behalten.</w:t>
      </w:r>
    </w:p>
    <w:p>
      <w:pPr>
        <w:pStyle w:val="ListParagraph"/>
        <w:numPr>
          <w:ilvl w:val="0"/>
          <w:numId w:val="123"/>
        </w:numPr>
        <w:spacing w:lineRule="exact" w:line="288" w:before="0" w:after="60"/>
        <w:rPr/>
      </w:pPr>
      <w:r>
        <w:rPr>
          <w:rFonts w:eastAsia="Cambria" w:cs="Cambria"/>
          <w:b/>
          <w:bCs/>
          <w:i w:val="false"/>
          <w:iCs w:val="false"/>
          <w:sz w:val="22"/>
          <w:szCs w:val="22"/>
        </w:rPr>
        <w:t>Kreditantrag.</w:t>
      </w:r>
      <w:r>
        <w:rPr>
          <w:rFonts w:eastAsia="Cambria" w:cs="Cambria"/>
          <w:b w:val="false"/>
          <w:bCs w:val="false"/>
          <w:i w:val="false"/>
          <w:iCs w:val="false"/>
          <w:sz w:val="22"/>
          <w:szCs w:val="22"/>
        </w:rPr>
        <w:t xml:space="preserve"> Loan Estimate innerhalb von drei Werktagen, dann Rate Lock (siehe oben).</w:t>
      </w:r>
    </w:p>
    <w:p>
      <w:pPr>
        <w:pStyle w:val="ListParagraph"/>
        <w:numPr>
          <w:ilvl w:val="0"/>
          <w:numId w:val="124"/>
        </w:numPr>
        <w:spacing w:lineRule="exact" w:line="288" w:before="0" w:after="60"/>
        <w:rPr/>
      </w:pPr>
      <w:r>
        <w:rPr>
          <w:rFonts w:eastAsia="Cambria" w:cs="Cambria"/>
          <w:b/>
          <w:bCs/>
          <w:i w:val="false"/>
          <w:iCs w:val="false"/>
          <w:sz w:val="22"/>
          <w:szCs w:val="22"/>
        </w:rPr>
        <w:t>Inspektion (</w:t>
      </w:r>
      <w:r>
        <w:rPr>
          <w:rFonts w:eastAsia="Cambria" w:cs="Cambria"/>
          <w:b/>
          <w:bCs/>
          <w:i/>
          <w:iCs/>
          <w:sz w:val="22"/>
          <w:szCs w:val="22"/>
        </w:rPr>
        <w:t>Home Inspection</w:t>
      </w:r>
      <w:r>
        <w:rPr>
          <w:rFonts w:eastAsia="Cambria" w:cs="Cambria"/>
          <w:b/>
          <w:bCs/>
          <w:i w:val="false"/>
          <w:iCs w:val="false"/>
          <w:sz w:val="22"/>
          <w:szCs w:val="22"/>
        </w:rPr>
        <w:t>).</w:t>
      </w:r>
      <w:r>
        <w:rPr>
          <w:rFonts w:eastAsia="Cambria" w:cs="Cambria"/>
          <w:b w:val="false"/>
          <w:bCs w:val="false"/>
          <w:i w:val="false"/>
          <w:iCs w:val="false"/>
          <w:sz w:val="22"/>
          <w:szCs w:val="22"/>
        </w:rPr>
        <w:t xml:space="preserve"> Ein Sachverständiger prüft Dach, Elektrik, Heizung, Keller (300–500 $). Bei Mängeln verhandelst du Preis oder Reparatur nach oder trittst zurück.</w:t>
      </w:r>
    </w:p>
    <w:p>
      <w:pPr>
        <w:pStyle w:val="ListParagraph"/>
        <w:numPr>
          <w:ilvl w:val="0"/>
          <w:numId w:val="125"/>
        </w:numPr>
        <w:spacing w:lineRule="exact" w:line="288" w:before="0" w:after="60"/>
        <w:rPr/>
      </w:pPr>
      <w:r>
        <w:rPr>
          <w:rFonts w:eastAsia="Cambria" w:cs="Cambria"/>
          <w:b/>
          <w:bCs/>
          <w:i w:val="false"/>
          <w:iCs w:val="false"/>
          <w:sz w:val="22"/>
          <w:szCs w:val="22"/>
        </w:rPr>
        <w:t>Gutachten (</w:t>
      </w:r>
      <w:r>
        <w:rPr>
          <w:rFonts w:eastAsia="Cambria" w:cs="Cambria"/>
          <w:b/>
          <w:bCs/>
          <w:i/>
          <w:iCs/>
          <w:sz w:val="22"/>
          <w:szCs w:val="22"/>
        </w:rPr>
        <w:t>Appraisal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beauftragt einen unabhängigen Gutachter (500–1.000 $ und mehr). Liegt der Wert unter dem Preis, finanziert der Kreditgeber nur bis zum niedrigeren Wert; die Lücke schließt du oder du verhandelst neu.</w:t>
      </w:r>
    </w:p>
    <w:p>
      <w:pPr>
        <w:pStyle w:val="ListParagraph"/>
        <w:numPr>
          <w:ilvl w:val="0"/>
          <w:numId w:val="126"/>
        </w:numPr>
        <w:spacing w:lineRule="exact" w:line="288" w:before="0" w:after="60"/>
        <w:rPr/>
      </w:pPr>
      <w:r>
        <w:rPr>
          <w:rFonts w:eastAsia="Cambria" w:cs="Cambria"/>
          <w:b/>
          <w:bCs/>
          <w:i w:val="false"/>
          <w:iCs w:val="false"/>
          <w:sz w:val="22"/>
          <w:szCs w:val="22"/>
        </w:rPr>
        <w:t>Underwriting und Titelprüfung.</w:t>
      </w:r>
      <w:r>
        <w:rPr>
          <w:rFonts w:eastAsia="Cambria" w:cs="Cambria"/>
          <w:b w:val="false"/>
          <w:bCs w:val="false"/>
          <w:i w:val="false"/>
          <w:iCs w:val="false"/>
          <w:sz w:val="22"/>
          <w:szCs w:val="22"/>
        </w:rPr>
        <w:t xml:space="preserve"> Der Kreditgeber prüft den Antrag abschließend. Die </w:t>
      </w:r>
      <w:r>
        <w:rPr>
          <w:rFonts w:eastAsia="Cambria" w:cs="Cambria"/>
          <w:b w:val="false"/>
          <w:bCs w:val="false"/>
          <w:i/>
          <w:iCs/>
          <w:sz w:val="22"/>
          <w:szCs w:val="22"/>
        </w:rPr>
        <w:t>Title Company</w:t>
      </w:r>
      <w:r>
        <w:rPr>
          <w:rFonts w:eastAsia="Cambria" w:cs="Cambria"/>
          <w:b w:val="false"/>
          <w:bCs w:val="false"/>
          <w:i w:val="false"/>
          <w:iCs w:val="false"/>
          <w:sz w:val="22"/>
          <w:szCs w:val="22"/>
        </w:rPr>
        <w:t xml:space="preserve">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pPr>
        <w:pStyle w:val="ListParagraph"/>
        <w:numPr>
          <w:ilvl w:val="0"/>
          <w:numId w:val="127"/>
        </w:numPr>
        <w:spacing w:lineRule="exact" w:line="288" w:before="0" w:after="60"/>
        <w:rPr/>
      </w:pPr>
      <w:r>
        <w:rPr>
          <w:rFonts w:eastAsia="Cambria" w:cs="Cambria"/>
          <w:b/>
          <w:bCs/>
          <w:i w:val="false"/>
          <w:iCs w:val="false"/>
          <w:sz w:val="22"/>
          <w:szCs w:val="22"/>
        </w:rPr>
        <w:t>Closing Disclosure.</w:t>
      </w:r>
      <w:r>
        <w:rPr>
          <w:rFonts w:eastAsia="Cambria" w:cs="Cambria"/>
          <w:b w:val="false"/>
          <w:bCs w:val="false"/>
          <w:i w:val="false"/>
          <w:iCs w:val="false"/>
          <w:sz w:val="22"/>
          <w:szCs w:val="22"/>
        </w:rPr>
        <w:t xml:space="preserve"> Die endgültige Kostenaufstellung muss mindestens drei Werktage vor dem Closing vorliegen; vergleiche sie mit dem Loan Estimate. Danach folgt der Rundgang durchs Haus (</w:t>
      </w:r>
      <w:r>
        <w:rPr>
          <w:rFonts w:eastAsia="Cambria" w:cs="Cambria"/>
          <w:b w:val="false"/>
          <w:bCs w:val="false"/>
          <w:i/>
          <w:iCs/>
          <w:sz w:val="22"/>
          <w:szCs w:val="22"/>
        </w:rPr>
        <w:t>Final Walk-Through</w:t>
      </w:r>
      <w:r>
        <w:rPr>
          <w:rFonts w:eastAsia="Cambria" w:cs="Cambria"/>
          <w:b w:val="false"/>
          <w:bCs w:val="false"/>
          <w:i w:val="false"/>
          <w:iCs w:val="false"/>
          <w:sz w:val="22"/>
          <w:szCs w:val="22"/>
        </w:rPr>
        <w:t>).</w:t>
      </w:r>
    </w:p>
    <w:p>
      <w:pPr>
        <w:pStyle w:val="ListParagraph"/>
        <w:numPr>
          <w:ilvl w:val="0"/>
          <w:numId w:val="128"/>
        </w:numPr>
        <w:spacing w:lineRule="exact" w:line="288" w:before="0" w:after="60"/>
        <w:rPr/>
      </w:pPr>
      <w:r>
        <w:rPr>
          <w:rFonts w:eastAsia="Cambria" w:cs="Cambria"/>
          <w:b/>
          <w:bCs/>
          <w:i w:val="false"/>
          <w:iCs w:val="false"/>
          <w:sz w:val="22"/>
          <w:szCs w:val="22"/>
        </w:rPr>
        <w:t>Closing.</w:t>
      </w:r>
      <w:r>
        <w:rPr>
          <w:rFonts w:eastAsia="Cambria" w:cs="Cambria"/>
          <w:b w:val="false"/>
          <w:bCs w:val="false"/>
          <w:i w:val="false"/>
          <w:iCs w:val="false"/>
          <w:sz w:val="22"/>
          <w:szCs w:val="22"/>
        </w:rPr>
        <w:t xml:space="preserve"> Unterschrift, Überweisung des Restbetrags (</w:t>
      </w:r>
      <w:r>
        <w:rPr>
          <w:rFonts w:eastAsia="Cambria" w:cs="Cambria"/>
          <w:b w:val="false"/>
          <w:bCs w:val="false"/>
          <w:i/>
          <w:iCs/>
          <w:sz w:val="22"/>
          <w:szCs w:val="22"/>
        </w:rPr>
        <w:t>Cash to Close</w:t>
      </w:r>
      <w:r>
        <w:rPr>
          <w:rFonts w:eastAsia="Cambria" w:cs="Cambria"/>
          <w:b w:val="false"/>
          <w:bCs w:val="false"/>
          <w:i w:val="false"/>
          <w:iCs w:val="false"/>
          <w:sz w:val="22"/>
          <w:szCs w:val="22"/>
        </w:rPr>
        <w:t>), Schlüsselübergabe, Eintragung der Eigentumsübertragung im Register des Landkreises. Vom Angebot bis zum Closing vergehen grob 30–60 Tage (Richtwert, passend zu den üblichen Rate-Lock-Fristen).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Bieterwettbewerb und </w:t>
            </w:r>
            <w:r>
              <w:rPr>
                <w:rFonts w:eastAsia="Cambria" w:cs="Cambria"/>
                <w:b w:val="false"/>
                <w:bCs w:val="false"/>
                <w:i/>
                <w:iCs/>
                <w:sz w:val="20"/>
                <w:szCs w:val="20"/>
              </w:rPr>
              <w:t>As-Is</w:t>
            </w:r>
            <w:r>
              <w:rPr>
                <w:rFonts w:eastAsia="Cambria" w:cs="Cambria"/>
                <w:b w:val="false"/>
                <w:bCs w:val="false"/>
                <w:i w:val="false"/>
                <w:iCs w:val="false"/>
                <w:sz w:val="20"/>
                <w:szCs w:val="20"/>
              </w:rPr>
              <w:t>-Verkäufe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Abschlusskosten und laufende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betragen für Käufer 2–5 % des Kaufpreises, bei 500.000 $ also 10.000–25.000 $. Typische Posten:</w:t>
      </w:r>
    </w:p>
    <w:tbl>
      <w:tblPr>
        <w:tblW w:w="6480" w:type="dxa"/>
        <w:jc w:val="left"/>
        <w:tblInd w:w="0" w:type="dxa"/>
        <w:tblLayout w:type="fixed"/>
        <w:tblCellMar>
          <w:top w:w="50" w:type="dxa"/>
          <w:left w:w="80" w:type="dxa"/>
          <w:bottom w:w="50" w:type="dxa"/>
          <w:right w:w="80" w:type="dxa"/>
        </w:tblCellMar>
      </w:tblPr>
      <w:tblGrid>
        <w:gridCol w:w="3216"/>
        <w:gridCol w:w="3263"/>
      </w:tblGrid>
      <w:tr>
        <w:trPr>
          <w:tblHeader w:val="true"/>
          <w:cantSplit w:val="true"/>
        </w:trPr>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Gutachten (</w:t>
            </w:r>
            <w:r>
              <w:rPr>
                <w:rFonts w:eastAsia="Cambria" w:cs="Cambria"/>
                <w:b w:val="false"/>
                <w:bCs w:val="false"/>
                <w:i/>
                <w:iCs/>
                <w:sz w:val="18"/>
                <w:szCs w:val="18"/>
              </w:rPr>
              <w:t>Appraisal</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Titelversicherung des Kreditgebers</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300–1.500 $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Titelrecherche (</w:t>
            </w:r>
            <w:r>
              <w:rPr>
                <w:rFonts w:eastAsia="Cambria" w:cs="Cambria"/>
                <w:b w:val="false"/>
                <w:bCs w:val="false"/>
                <w:i/>
                <w:iCs/>
                <w:sz w:val="18"/>
                <w:szCs w:val="18"/>
              </w:rPr>
              <w:t>Title Search</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300–2.500 $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Inspektion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300–500 $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Kreditgebühren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Origination 0–1 % des Darlehens; Bearbeitung 300–900 $; Underwriting 300–750 $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Escrow-Gebühr</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Eintragung (</w:t>
            </w:r>
            <w:r>
              <w:rPr>
                <w:rFonts w:eastAsia="Cambria" w:cs="Cambria"/>
                <w:b w:val="false"/>
                <w:bCs w:val="false"/>
                <w:i/>
                <w:iCs/>
                <w:sz w:val="18"/>
                <w:szCs w:val="18"/>
              </w:rPr>
              <w:t>Recording</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Vorauszahlungen (</w:t>
            </w:r>
            <w:r>
              <w:rPr>
                <w:rFonts w:eastAsia="Cambria" w:cs="Cambria"/>
                <w:b w:val="false"/>
                <w:bCs w:val="false"/>
                <w:i/>
                <w:iCs/>
                <w:sz w:val="18"/>
                <w:szCs w:val="18"/>
              </w:rPr>
              <w:t>Prepaids</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1.000–4.500 $ und mehr (Steuern, Versicherung, Zinsen)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bei 500.000 $ Kaufpreis: 20 % Anzahlung plus Abschlusskosten sind 110.000–125.000 $, bei 10 % Anzahlung 60.000–75.000 $. Die Eigentümer-Titelversicherung (</w:t>
      </w:r>
      <w:r>
        <w:rPr>
          <w:rFonts w:eastAsia="Cambria" w:cs="Cambria"/>
          <w:b w:val="false"/>
          <w:bCs w:val="false"/>
          <w:i/>
          <w:iCs/>
          <w:sz w:val="22"/>
          <w:szCs w:val="22"/>
        </w:rPr>
        <w:t>Owner’s Title Policy</w:t>
      </w:r>
      <w:r>
        <w:rPr>
          <w:rFonts w:eastAsia="Cambria" w:cs="Cambria"/>
          <w:b w:val="false"/>
          <w:bCs w:val="false"/>
          <w:i w:val="false"/>
          <w:iCs w:val="false"/>
          <w:sz w:val="22"/>
          <w:szCs w:val="22"/>
        </w:rPr>
        <w:t>), die dich gegen verborgene Rechtsmängel schützt, kostet einmalig etwa 0,5–1 % des Preises. Wer sie zahlt, ist je nach Bundesstaat und Region verschieden: In Texas etwa trägt sie meist der Verkäufer.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Property Tax</w:t>
      </w:r>
      <w:r>
        <w:rPr>
          <w:rFonts w:eastAsia="Cambria" w:cs="Cambria"/>
          <w:b w:val="false"/>
          <w:bCs w:val="false"/>
          <w:i w:val="false"/>
          <w:iCs w:val="false"/>
          <w:sz w:val="22"/>
          <w:szCs w:val="22"/>
        </w:rPr>
        <w:t xml:space="preserve"> (Grundsteuer) richtet sich nach dem Wert und dem Satz von Landkreis und Gemeinde. Im Durchschnitt beträgt der effektive Satz rund 0,9 % des Hauswerts pro Jahr (ACS 2024). Die Quellen weichen um bis zu 0,1 Prozentpunkte ab. Die Werte teilen die Median-Steuer durch den Median-Hauswert; Neukäufer zahlen oft mehr, weil neu bewertet wird.</w:t>
      </w:r>
    </w:p>
    <w:tbl>
      <w:tblPr>
        <w:tblW w:w="6480" w:type="dxa"/>
        <w:jc w:val="left"/>
        <w:tblInd w:w="0" w:type="dxa"/>
        <w:tblLayout w:type="fixed"/>
        <w:tblCellMar>
          <w:top w:w="50" w:type="dxa"/>
          <w:left w:w="80" w:type="dxa"/>
          <w:bottom w:w="50" w:type="dxa"/>
          <w:right w:w="80" w:type="dxa"/>
        </w:tblCellMar>
      </w:tblPr>
      <w:tblGrid>
        <w:gridCol w:w="2096"/>
        <w:gridCol w:w="2060"/>
        <w:gridCol w:w="2324"/>
      </w:tblGrid>
      <w:tr>
        <w:trPr>
          <w:tblHeader w:val="true"/>
          <w:cantSplit w:val="true"/>
        </w:trPr>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w:t>
            </w:r>
          </w:p>
        </w:tc>
        <w:tc>
          <w:tcPr>
            <w:tcW w:w="20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Effektiver Satz</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500.000 $ Wert</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1,4–1,5 %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7.000–7.500 $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1,3–1,4 %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6.500–7.000 $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0,7–0,8 %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3.500–4.000 $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Hawaii</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0,3 %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1.500 $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hat keine Einkommensteuer, dafür eine hohe Grundsteuer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In Kalifornien gilt </w:t>
      </w:r>
      <w:r>
        <w:rPr>
          <w:rFonts w:eastAsia="Cambria" w:cs="Cambria"/>
          <w:b w:val="false"/>
          <w:bCs w:val="false"/>
          <w:i/>
          <w:iCs/>
          <w:sz w:val="22"/>
          <w:szCs w:val="22"/>
        </w:rPr>
        <w:t>Proposition 13</w:t>
      </w:r>
      <w:r>
        <w:rPr>
          <w:rFonts w:eastAsia="Cambria" w:cs="Cambria"/>
          <w:b w:val="false"/>
          <w:bCs w:val="false"/>
          <w:i w:val="false"/>
          <w:iCs w:val="false"/>
          <w:sz w:val="22"/>
          <w:szCs w:val="22"/>
        </w:rP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Hausversicherung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Homeowners Insurance</w:t>
      </w:r>
      <w:r>
        <w:rPr>
          <w:rFonts w:eastAsia="Cambria" w:cs="Cambria"/>
          <w:b w:val="false"/>
          <w:bCs w:val="false"/>
          <w:i w:val="false"/>
          <w:iCs w:val="false"/>
          <w:sz w:val="22"/>
          <w:szCs w:val="22"/>
        </w:rPr>
        <w:t xml:space="preserv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 rund das Achtfache für dieselbe Deckungssumme, nur an einem anderen Ort. Die Quellen widersprechen einander im Detail (für Florida 3.382–6.432 $), weil Deckung, Selbstbehalt und Methodik verschieden sind. Nimm sie als Größenordnung.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Kalifornien und Florida zeigt sich die Krise am Versicherungsmarkt. Der staatliche Notversicherer </w:t>
      </w:r>
      <w:r>
        <w:rPr>
          <w:rFonts w:eastAsia="Cambria" w:cs="Cambria"/>
          <w:b w:val="false"/>
          <w:bCs w:val="false"/>
          <w:i/>
          <w:iCs/>
          <w:sz w:val="22"/>
          <w:szCs w:val="22"/>
        </w:rPr>
        <w:t>FAIR Plan</w:t>
      </w:r>
      <w:r>
        <w:rPr>
          <w:rFonts w:eastAsia="Cambria" w:cs="Cambria"/>
          <w:b w:val="false"/>
          <w:bCs w:val="false"/>
          <w:i w:val="false"/>
          <w:iCs w:val="false"/>
          <w:sz w:val="22"/>
          <w:szCs w:val="22"/>
        </w:rPr>
        <w:t xml:space="preserve"> in Kalifornien wuchs von 124.000 Policen (2019) auf 663.000 (03/2026) und erhöhte 2026 die Tarife um 29 %. Floridas staatlicher Versicherer Citizens sank auf unter 800.000 Policen (06/2025), nach einer Spitze von 1,3–1,4 Millionen.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Standardpolice deckt weder Flut noch Erdbeben. Liegt das Haus in einer ausgewiesenen Hochrisiko-Flutzone (</w:t>
            </w:r>
            <w:r>
              <w:rPr>
                <w:rFonts w:eastAsia="Cambria" w:cs="Cambria"/>
                <w:b w:val="false"/>
                <w:bCs w:val="false"/>
                <w:i/>
                <w:iCs/>
                <w:sz w:val="20"/>
                <w:szCs w:val="20"/>
              </w:rPr>
              <w:t>Flood Zone</w:t>
            </w:r>
            <w:r>
              <w:rPr>
                <w:rFonts w:eastAsia="Cambria" w:cs="Cambria"/>
                <w:b w:val="false"/>
                <w:bCs w:val="false"/>
                <w:i w:val="false"/>
                <w:iCs w:val="false"/>
                <w:sz w:val="20"/>
                <w:szCs w:val="20"/>
              </w:rPr>
              <w:t>), verlangt der Kreditgeber in der Regel zusätzlich eine Flutversicherung. Hol vor dem Angebot ein Versicherungsangebot ein und prüfe die Flutkarte der Bundesbehörde FEMA. In Kalifornien und Florida ist manchmal schon der Abschluss einer Police das Problem.</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HOA und Instandhaltung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HOA</w:t>
      </w:r>
      <w:r>
        <w:rPr>
          <w:rFonts w:eastAsia="Cambria" w:cs="Cambria"/>
          <w:b w:val="false"/>
          <w:bCs w:val="false"/>
          <w:i w:val="false"/>
          <w:iCs w:val="false"/>
          <w:sz w:val="22"/>
          <w:szCs w:val="22"/>
        </w:rPr>
        <w:t xml:space="preserve"> (</w:t>
      </w:r>
      <w:r>
        <w:rPr>
          <w:rFonts w:eastAsia="Cambria" w:cs="Cambria"/>
          <w:b w:val="false"/>
          <w:bCs w:val="false"/>
          <w:i/>
          <w:iCs/>
          <w:sz w:val="22"/>
          <w:szCs w:val="22"/>
        </w:rPr>
        <w:t>Homeowners Association</w:t>
      </w:r>
      <w:r>
        <w:rPr>
          <w:rFonts w:eastAsia="Cambria" w:cs="Cambria"/>
          <w:b w:val="false"/>
          <w:bCs w:val="false"/>
          <w:i w:val="false"/>
          <w:iCs w:val="false"/>
          <w:sz w:val="22"/>
          <w:szCs w:val="22"/>
        </w:rPr>
        <w:t>, Eigentümergemeinschaft) erhebt Gebühren, die in typischen Siedlungen bei wenigen Hundert bis 2.500 $ pro Jahr liegen (etwa 17–208 $ im Monat, Bankrate). Sonderumlagen sind möglich. Bei Eigentumswohnungen (</w:t>
      </w:r>
      <w:r>
        <w:rPr>
          <w:rFonts w:eastAsia="Cambria" w:cs="Cambria"/>
          <w:b w:val="false"/>
          <w:bCs w:val="false"/>
          <w:i/>
          <w:iCs/>
          <w:sz w:val="22"/>
          <w:szCs w:val="22"/>
        </w:rPr>
        <w:t>Condos</w:t>
      </w:r>
      <w:r>
        <w:rPr>
          <w:rFonts w:eastAsia="Cambria" w:cs="Cambria"/>
          <w:b w:val="false"/>
          <w:bCs w:val="false"/>
          <w:i w:val="false"/>
          <w:iCs w:val="false"/>
          <w:sz w:val="22"/>
          <w:szCs w:val="22"/>
        </w:rPr>
        <w:t>) können die Gebühren darüber liegen; genaue Spannen wurden nicht ermittelt. Lies vor dem Kauf die HOA-Unterlagen: Regeln zu Fassade, Zaun, Vermietung, die Rücklagen und anstehende Sonderumlagen. Die Instandhaltung (Faustregel 1–2 % des Werts pro Jahr) kommt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Steuervorteile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bringt in den USA Abzugsmöglichkeiten, die du nur nutzt, wenn du die Einzelposten in der Steuererklärung angibst (</w:t>
      </w:r>
      <w:r>
        <w:rPr>
          <w:rFonts w:eastAsia="Cambria" w:cs="Cambria"/>
          <w:b w:val="false"/>
          <w:bCs w:val="false"/>
          <w:i/>
          <w:iCs/>
          <w:sz w:val="22"/>
          <w:szCs w:val="22"/>
        </w:rPr>
        <w:t>Itemizing</w:t>
      </w:r>
      <w:r>
        <w:rPr>
          <w:rFonts w:eastAsia="Cambria" w:cs="Cambria"/>
          <w:b w:val="false"/>
          <w:bCs w:val="false"/>
          <w:i w:val="false"/>
          <w:iCs w:val="false"/>
          <w:sz w:val="22"/>
          <w:szCs w:val="22"/>
        </w:rPr>
        <w:t>) statt den Standardabzug zu nehmen. Der Standardabzug 2026 beträgt 16.100 $ (Einzelperson) bzw. 32.200 $ (Ehepaar). Was du darüber hinaus abziehen kannst:</w:t>
      </w:r>
    </w:p>
    <w:p>
      <w:pPr>
        <w:pStyle w:val="ListParagraph"/>
        <w:numPr>
          <w:ilvl w:val="0"/>
          <w:numId w:val="1"/>
        </w:numPr>
        <w:spacing w:lineRule="exact" w:line="288" w:before="0" w:after="60"/>
        <w:rPr/>
      </w:pPr>
      <w:r>
        <w:rPr>
          <w:rFonts w:eastAsia="Cambria" w:cs="Cambria"/>
          <w:b/>
          <w:bCs/>
          <w:i w:val="false"/>
          <w:iCs w:val="false"/>
          <w:sz w:val="22"/>
          <w:szCs w:val="22"/>
        </w:rPr>
        <w:t>Hypothekenzinsen</w:t>
      </w:r>
      <w:r>
        <w:rPr>
          <w:rFonts w:eastAsia="Cambria" w:cs="Cambria"/>
          <w:b w:val="false"/>
          <w:bCs w:val="false"/>
          <w:i w:val="false"/>
          <w:iCs w:val="false"/>
          <w:sz w:val="22"/>
          <w:szCs w:val="22"/>
        </w:rPr>
        <w:t xml:space="preserve"> für Schulden nach dem 15. Dezember 2017 bis 750.000 $ (375.000 $ bei getrennter Veranlagung von Ehepaaren); Points sind abziehbar oder abschreibbar.</w:t>
      </w:r>
    </w:p>
    <w:p>
      <w:pPr>
        <w:pStyle w:val="ListParagraph"/>
        <w:numPr>
          <w:ilvl w:val="0"/>
          <w:numId w:val="1"/>
        </w:numPr>
        <w:spacing w:lineRule="exact" w:line="288" w:before="0" w:after="60"/>
        <w:rPr/>
      </w:pPr>
      <w:r>
        <w:rPr>
          <w:rFonts w:eastAsia="Cambria" w:cs="Cambria"/>
          <w:b/>
          <w:bCs/>
          <w:i w:val="false"/>
          <w:iCs w:val="false"/>
          <w:sz w:val="22"/>
          <w:szCs w:val="22"/>
        </w:rPr>
        <w:t>Grundsteuer und Landessteuern (</w:t>
      </w:r>
      <w:r>
        <w:rPr>
          <w:rFonts w:eastAsia="Cambria" w:cs="Cambria"/>
          <w:b/>
          <w:bCs/>
          <w:i/>
          <w:iCs/>
          <w:sz w:val="22"/>
          <w:szCs w:val="22"/>
        </w:rPr>
        <w:t>SALT</w:t>
      </w:r>
      <w:r>
        <w:rPr>
          <w:rFonts w:eastAsia="Cambria" w:cs="Cambria"/>
          <w:b/>
          <w:bCs/>
          <w:i w:val="false"/>
          <w:iCs w:val="false"/>
          <w:sz w:val="22"/>
          <w:szCs w:val="22"/>
        </w:rPr>
        <w:t>, State and Local Taxes):</w:t>
      </w:r>
      <w:r>
        <w:rPr>
          <w:rFonts w:eastAsia="Cambria" w:cs="Cambria"/>
          <w:b w:val="false"/>
          <w:bCs w:val="false"/>
          <w:i w:val="false"/>
          <w:iCs w:val="false"/>
          <w:sz w:val="22"/>
          <w:szCs w:val="22"/>
        </w:rPr>
        <w:t xml:space="preserve"> Der Deckel liegt für 2025 bei 40.000 $ und für 2026 bei 40.400 $. Er schmilzt bei hohem Einkommen ab (2026: ab 505.000 $ MAGI, 2025: ab 500.000 $) und fällt nicht unter 10.000 $. Er gilt bis 2029; ab 2030 sieht das Gesetz wieder 10.000 $ vor.</w:t>
      </w:r>
    </w:p>
    <w:p>
      <w:pPr>
        <w:pStyle w:val="ListParagraph"/>
        <w:numPr>
          <w:ilvl w:val="0"/>
          <w:numId w:val="1"/>
        </w:numPr>
        <w:spacing w:lineRule="exact" w:line="288" w:before="0" w:after="60"/>
        <w:rPr/>
      </w:pPr>
      <w:r>
        <w:rPr>
          <w:rFonts w:eastAsia="Cambria" w:cs="Cambria"/>
          <w:b/>
          <w:bCs/>
          <w:i w:val="false"/>
          <w:iCs w:val="false"/>
          <w:sz w:val="22"/>
          <w:szCs w:val="22"/>
        </w:rPr>
        <w:t>PMI-Beiträge:</w:t>
      </w:r>
      <w:r>
        <w:rPr>
          <w:rFonts w:eastAsia="Cambria" w:cs="Cambria"/>
          <w:b w:val="false"/>
          <w:bCs w:val="false"/>
          <w:i w:val="false"/>
          <w:iCs w:val="false"/>
          <w:sz w:val="22"/>
          <w:szCs w:val="22"/>
        </w:rPr>
        <w:t xml:space="preserv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Landeseinkommensteuer kommt auf 39.700 $, das sind 7.500 $ über dem Standardabzug. Bei einem Grenzsteuersatz von 22 % (Beispielannahme) sind das rund 1.650 $ pro Jahr. Zinsen plus Grundsteuer allein liegen mit 32.700 $ kaum über dem Standardabzug – der Steuervorteil ist also häufig kleiner, als die Broschüren suggerieren.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Verkauf eines selbstgenutzten Hauses bleiben 250.000 $ Gewinn steuerfrei (Ehepaar 500.000 $), wenn du es in den vergangenen fünf Jahren mindestens 24 Monate besessen und bewohnt hast (IRS Topic 701). Wer als Nichtansässiger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verkauft, etwa nach der Rückkehr nach Deutschland, muss mit einem Einbehalt nach </w:t>
      </w:r>
      <w:r>
        <w:rPr>
          <w:rFonts w:eastAsia="Cambria" w:cs="Cambria"/>
          <w:b w:val="false"/>
          <w:bCs w:val="false"/>
          <w:i/>
          <w:iCs/>
          <w:sz w:val="22"/>
          <w:szCs w:val="22"/>
        </w:rPr>
        <w:t>FIRPTA</w:t>
      </w:r>
      <w:r>
        <w:rPr>
          <w:rFonts w:eastAsia="Cambria" w:cs="Cambria"/>
          <w:b w:val="false"/>
          <w:bCs w:val="false"/>
          <w:i w:val="false"/>
          <w:iCs w:val="false"/>
          <w:sz w:val="22"/>
          <w:szCs w:val="22"/>
        </w:rPr>
        <w:t xml:space="preserve"> rechnen: Der Käufer behält grundsätzlich 15 % des Erlöses für das Finanzamt ein, bei Nutzung durch den Käufer als Wohnsitz gestaffelt weniger. Das ist eine Vorauszahlung, keine Endabrechnung.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Steuer- oder Finanzberatung. Ob du Zinsen und Steuern abziehen kannst, hängt von deiner steuerlichen Ansässigkeit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deiner Gesamtsituation ab. Lass dich vor dem Kauf von einem </w:t>
            </w:r>
            <w:r>
              <w:rPr>
                <w:rFonts w:eastAsia="Cambria" w:cs="Cambria"/>
                <w:b w:val="false"/>
                <w:bCs w:val="false"/>
                <w:i/>
                <w:iCs/>
                <w:sz w:val="20"/>
                <w:szCs w:val="20"/>
              </w:rPr>
              <w:t>CPA</w:t>
            </w:r>
            <w:r>
              <w:rPr>
                <w:rFonts w:eastAsia="Cambria" w:cs="Cambria"/>
                <w:b w:val="false"/>
                <w:bCs w:val="false"/>
                <w:i w:val="false"/>
                <w:iCs w:val="false"/>
                <w:sz w:val="20"/>
                <w:szCs w:val="20"/>
              </w:rPr>
              <w:t xml:space="preserve">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in den USA zugelassener Steuer- und Finanzexperte) beraten,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Kauf</w:t>
      </w:r>
    </w:p>
    <w:tbl>
      <w:tblPr>
        <w:tblW w:w="6480" w:type="dxa"/>
        <w:jc w:val="left"/>
        <w:tblInd w:w="0" w:type="dxa"/>
        <w:tblLayout w:type="fixed"/>
        <w:tblCellMar>
          <w:top w:w="50" w:type="dxa"/>
          <w:left w:w="80" w:type="dxa"/>
          <w:bottom w:w="50" w:type="dxa"/>
          <w:right w:w="80" w:type="dxa"/>
        </w:tblCellMar>
      </w:tblPr>
      <w:tblGrid>
        <w:gridCol w:w="1474"/>
        <w:gridCol w:w="2618"/>
        <w:gridCol w:w="2388"/>
      </w:tblGrid>
      <w:tr>
        <w:trPr>
          <w:tblHeader w:val="true"/>
          <w:cantSplit w:val="true"/>
        </w:trPr>
        <w:tc>
          <w:tcPr>
            <w:tcW w:w="14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Vertrag</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Notar beurkundet den Kaufvertrag; Notar und Grundbuch ca. 1,5–2 %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Standardvertrag über die Makler; Closing bei Title Company, Escrow oder (z. B. in New York) Anwalt</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Eigentum</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Grundbuch mit öffentlichem Glauben</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 des Landkreises; Title Search und Title Insurance gegen versteckte Ansprüche</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beim Kauf</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3,5 % (Bayern) bis 6,5 % (u. a. NRW, Brandenburg)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bundesweite; einzelne Staaten und Städte erheben Übertragungssteuern</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Makler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Kauf von Wohnung oder Haus hälftig (§ 656c BGB); Gesamtprovision üblich 5,95–7,14 %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Käuferagent Ø 2,42 %; Höhe und Zahler verhandelbar</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 Käufer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5 % (Bayern, ohne Makler) bis etwa 12 % (6,5 %-Länder, mit Makler)</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 2–5 %</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 Kosten</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Gebäudeversicherung, Instandhaltung; bei Wohnungen Hausgeld</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 (Ø 0,9 %), Homeowners Insurance, HOA, Instandhaltung</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Zinsbindung meist 10–15 Jahre, dann Anschlussfinanzierung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Jahre fest üblich; Umschuldung möglich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 in Deutschland behalten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Wohnung oder ein Haus in Deutschland besitzt, steht vor der Frage, ob er verkauft, vermietet oder leer lässt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bei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Drei Punkte gehören in die Rechnung:</w:t>
      </w:r>
    </w:p>
    <w:p>
      <w:pPr>
        <w:pStyle w:val="ListParagraph"/>
        <w:numPr>
          <w:ilvl w:val="0"/>
          <w:numId w:val="1"/>
        </w:numPr>
        <w:spacing w:lineRule="exact" w:line="288" w:before="0" w:after="60"/>
        <w:rPr/>
      </w:pPr>
      <w:r>
        <w:rPr>
          <w:rFonts w:eastAsia="Cambria" w:cs="Cambria"/>
          <w:b/>
          <w:bCs/>
          <w:i w:val="false"/>
          <w:iCs w:val="false"/>
          <w:sz w:val="22"/>
          <w:szCs w:val="22"/>
        </w:rPr>
        <w:t>Steuer beim Verkauf.</w:t>
      </w:r>
      <w:r>
        <w:rPr>
          <w:rFonts w:eastAsia="Cambria" w:cs="Cambria"/>
          <w:b w:val="false"/>
          <w:bCs w:val="false"/>
          <w:i w:val="false"/>
          <w:iCs w:val="false"/>
          <w:sz w:val="22"/>
          <w:szCs w:val="22"/>
        </w:rPr>
        <w:t xml:space="preserve"> Nach § 23 EStG ist ein Gewinn steuerpflichtig, wenn du innerhalb von zehn Jahren nach dem Kauf verkaufst. Steuerfrei bleibt der Verkauf, wenn du die Immobilie zwischen Kauf und Verkauf ausschließlich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pPr>
        <w:pStyle w:val="ListParagraph"/>
        <w:numPr>
          <w:ilvl w:val="0"/>
          <w:numId w:val="1"/>
        </w:numPr>
        <w:spacing w:lineRule="exact" w:line="288" w:before="0" w:after="60"/>
        <w:rPr/>
      </w:pPr>
      <w:r>
        <w:rPr>
          <w:rFonts w:eastAsia="Cambria" w:cs="Cambria"/>
          <w:b/>
          <w:bCs/>
          <w:i w:val="false"/>
          <w:iCs w:val="false"/>
          <w:sz w:val="22"/>
          <w:szCs w:val="22"/>
        </w:rPr>
        <w:t>Vermieten.</w:t>
      </w:r>
      <w:r>
        <w:rPr>
          <w:rFonts w:eastAsia="Cambria" w:cs="Cambria"/>
          <w:b w:val="false"/>
          <w:bCs w:val="false"/>
          <w:i w:val="false"/>
          <w:iCs w:val="false"/>
          <w:sz w:val="22"/>
          <w:szCs w:val="22"/>
        </w:rPr>
        <w:t xml:space="preserve"> Die Einkünfte sind in Deutschland steuerpflichtig und als US-Steuerpflichtiger in der Regel auch in den USA zu erklären; Doppelbesteuerung wird über Anrechnung vermieden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Rechne mit Verwaltung, Mietrecht und Kredit aus der Ferne.</w:t>
      </w:r>
    </w:p>
    <w:p>
      <w:pPr>
        <w:pStyle w:val="ListParagraph"/>
        <w:numPr>
          <w:ilvl w:val="0"/>
          <w:numId w:val="1"/>
        </w:numPr>
        <w:spacing w:lineRule="exact" w:line="288" w:before="0" w:after="60"/>
        <w:rPr/>
      </w:pPr>
      <w:r>
        <w:rPr>
          <w:rFonts w:eastAsia="Cambria" w:cs="Cambria"/>
          <w:b/>
          <w:bCs/>
          <w:i w:val="false"/>
          <w:iCs w:val="false"/>
          <w:sz w:val="22"/>
          <w:szCs w:val="22"/>
        </w:rPr>
        <w:t>Kreditwürdigkeit.</w:t>
      </w:r>
      <w:r>
        <w:rPr>
          <w:rFonts w:eastAsia="Cambria" w:cs="Cambria"/>
          <w:b w:val="false"/>
          <w:bCs w:val="false"/>
          <w:i w:val="false"/>
          <w:iCs w:val="false"/>
          <w:sz w:val="22"/>
          <w:szCs w:val="22"/>
        </w:rPr>
        <w:t xml:space="preserve"> Eine laufende deutsche Kreditrate zählt bei US-Kreditgebern in der Regel zu deinen Schulden und senkt den finanzierbaren Kaufpreis in den USA.</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Zins über 30 Jahre, während Mieten steigen können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baut Eigenkapital auf, Wertzuwachs möglich</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und Jobrisiko: Verkauf unter Zeitdruck</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Zinsen und Grundsteuer abziehbar (bei </w:t>
            </w:r>
            <w:r>
              <w:rPr>
                <w:rFonts w:eastAsia="Cambria" w:cs="Cambria"/>
                <w:b w:val="false"/>
                <w:bCs w:val="false"/>
                <w:i/>
                <w:iCs/>
                <w:sz w:val="18"/>
                <w:szCs w:val="18"/>
              </w:rPr>
              <w:t>Itemizing</w:t>
            </w:r>
            <w:r>
              <w:rPr>
                <w:rFonts w:eastAsia="Cambria" w:cs="Cambria"/>
                <w:b w:val="false"/>
                <w:bCs w:val="false"/>
                <w:i w:val="false"/>
                <w:iCs w:val="false"/>
                <w:sz w:val="18"/>
                <w:szCs w:val="18"/>
              </w:rPr>
              <w: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Bargeldbedarf 60.000–125.000 $ bei 500.000 $ Preis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250.000 $ (Ehepaar 500.000 $) Gewinn steuerfrei bei Selbstnutzung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Grundsteuer, Versicherung, HOA, Instandhaltung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Freiheit bei Umbau, Haustieren, Gestaltung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Kreditzugang eng: FHA weg, Overlays, Non-QM mit 20–50 % Anzahlung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Stabilität für Kinder: gleiche Schule und Nachbarschaft über Jahre</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Zinsniveau hoch (6,95 %, höchster Stand seit Januar 2025)</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 ersten zwölf Monate für die Vorarbeit: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Konto und Kreditkarte für die Kredithistorie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Anzahlung und Reserve ansparen. Zahle die Miete pünktlich, sie zählt bei einer nichttraditionellen Kredithistorie. Sprich mit zwei bis drei Kreditgebern, bevor du Häuser besichtigst, dann erst mit einem Makler. Der Steuerteil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gehört vor die Unterschrift,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Bleibedauer ehrlich schätzen: mindestens fünf bis sieben Jahre am Ort? Aufenthaltsstatus und Stand des Green-Card-Verfahrens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SSN beantragen und US-Kredithistorie aufbauen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Anzahlung, 2–5 % Abschlusskosten und eine Reserve von mehreren Monatsraten ansparen.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Kreditgeber nach Overlays fragen: Visum-Restlaufzeit, Mindest-Score, Reserven, Anzahlung.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Loan Estimates vergleichen (Zins, Points, Gesamtkosten, Rate-Lock-Dauer).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Pre-Approval einholen, bevor du besichtigst.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Angebot: Versicherungsangebot, Flutzone, Grundsteuer der Gemeinde, HOA-Gebühren und -Regeln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Inspektion und Gutachten einplanen; Contingencies nur mit Bedacht streichen.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Closing die Überweisungsdaten telefonisch bei der Title Company bestätigen.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dem Kauf: PMI-Löschung im Kalender notieren, Grundsteuerbescheid prüfen, Abzüge mit einem CPA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Immobilie: Verkauf oder Vermietung vor dem Wegzug mit dem Steuerberater durchrechnen.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CFPB — Kaufen, Kredite, Loan Estimate, Rate Lock, PMI (</w:t>
      </w:r>
      <w:hyperlink r:id="rId134">
        <w:r>
          <w:rPr>
            <w:rStyle w:val="ListLabel113"/>
            <w:rFonts w:eastAsia="Cambria" w:cs="Cambria"/>
            <w:b w:val="false"/>
            <w:bCs w:val="false"/>
            <w:i w:val="false"/>
            <w:iCs w:val="false"/>
            <w:color w:val="0563C1"/>
            <w:sz w:val="22"/>
            <w:szCs w:val="22"/>
            <w:u w:val="single"/>
          </w:rPr>
          <w:t>consumerfinance.gov/owning-a-home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Fannie Mae — Selling Guide zu Nicht-US-Bürgern und Kredithistorie (</w:t>
      </w:r>
      <w:hyperlink r:id="rId135">
        <w:r>
          <w:rPr>
            <w:rStyle w:val="ListLabel113"/>
            <w:rFonts w:eastAsia="Cambria" w:cs="Cambria"/>
            <w:b w:val="false"/>
            <w:bCs w:val="false"/>
            <w:i w:val="false"/>
            <w:iCs w:val="false"/>
            <w:color w:val="0563C1"/>
            <w:sz w:val="22"/>
            <w:szCs w:val="22"/>
            <w:u w:val="single"/>
          </w:rPr>
          <w:t>selling-guide.fanniemae.com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HUD — FHA-Regel für Nicht-Daueraufenthaltsberechtigte, Mortgagee Letter 2025-09 (</w:t>
      </w:r>
      <w:hyperlink r:id="rId136">
        <w:r>
          <w:rPr>
            <w:rStyle w:val="ListLabel113"/>
            <w:rFonts w:eastAsia="Cambria" w:cs="Cambria"/>
            <w:b w:val="false"/>
            <w:bCs w:val="false"/>
            <w:i w:val="false"/>
            <w:iCs w:val="false"/>
            <w:color w:val="0563C1"/>
            <w:sz w:val="22"/>
            <w:szCs w:val="22"/>
            <w:u w:val="single"/>
          </w:rPr>
          <w:t>hud.gov/sites/default/files/OCHCO/documents/2025-09hsgml.pdf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wöchentliche Zinsumfrage (</w:t>
      </w:r>
      <w:hyperlink r:id="rId137">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FHFA — Conforming Loan Limits (</w:t>
      </w:r>
      <w:hyperlink r:id="rId138">
        <w:r>
          <w:rPr>
            <w:rStyle w:val="ListLabel113"/>
            <w:rFonts w:eastAsia="Cambria" w:cs="Cambria"/>
            <w:b w:val="false"/>
            <w:bCs w:val="false"/>
            <w:i w:val="false"/>
            <w:iCs w:val="false"/>
            <w:color w:val="0563C1"/>
            <w:sz w:val="22"/>
            <w:szCs w:val="22"/>
            <w:u w:val="single"/>
          </w:rPr>
          <w:t>fhfa.gov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Hypothekenzinsen und Hausverkauf (</w:t>
      </w:r>
      <w:hyperlink r:id="rId139">
        <w:r>
          <w:rPr>
            <w:rStyle w:val="ListLabel113"/>
            <w:rFonts w:eastAsia="Cambria" w:cs="Cambria"/>
            <w:b w:val="false"/>
            <w:bCs w:val="false"/>
            <w:i w:val="false"/>
            <w:iCs w:val="false"/>
            <w:color w:val="0563C1"/>
            <w:sz w:val="22"/>
            <w:szCs w:val="22"/>
            <w:u w:val="single"/>
          </w:rPr>
          <w:t>irs.gov/publications/p936</w:t>
        </w:r>
      </w:hyperlink>
      <w:r>
        <w:rPr>
          <w:rFonts w:eastAsia="Cambria" w:cs="Cambria"/>
          <w:b w:val="false"/>
          <w:bCs w:val="false"/>
          <w:i w:val="false"/>
          <w:iCs w:val="false"/>
          <w:sz w:val="22"/>
          <w:szCs w:val="22"/>
        </w:rPr>
        <w:t xml:space="preserve"> und </w:t>
      </w:r>
      <w:hyperlink r:id="rId140">
        <w:r>
          <w:rPr>
            <w:rStyle w:val="ListLabel113"/>
            <w:rFonts w:eastAsia="Cambria" w:cs="Cambria"/>
            <w:b w:val="false"/>
            <w:bCs w:val="false"/>
            <w:i w:val="false"/>
            <w:iCs w:val="false"/>
            <w:color w:val="0563C1"/>
            <w:sz w:val="22"/>
            <w:szCs w:val="22"/>
            <w:u w:val="single"/>
          </w:rPr>
          <w:t>irs.gov/taxtopics/tc701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FEMA — Flutkarten (</w:t>
      </w:r>
      <w:hyperlink r:id="rId141">
        <w:r>
          <w:rPr>
            <w:rStyle w:val="ListLabel113"/>
            <w:rFonts w:eastAsia="Cambria" w:cs="Cambria"/>
            <w:b w:val="false"/>
            <w:bCs w:val="false"/>
            <w:i w:val="false"/>
            <w:iCs w:val="false"/>
            <w:color w:val="0563C1"/>
            <w:sz w:val="22"/>
            <w:szCs w:val="22"/>
            <w:u w:val="single"/>
          </w:rPr>
          <w:t>fema.gov/flood-maps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Spekulationsfrist bei Immobilien, § 23 EStG (</w:t>
      </w:r>
      <w:hyperlink r:id="rId142">
        <w:r>
          <w:rPr>
            <w:rStyle w:val="ListLabel113"/>
            <w:rFonts w:eastAsia="Cambria" w:cs="Cambria"/>
            <w:b w:val="false"/>
            <w:bCs w:val="false"/>
            <w:i w:val="false"/>
            <w:iCs w:val="false"/>
            <w:color w:val="0563C1"/>
            <w:sz w:val="22"/>
            <w:szCs w:val="22"/>
            <w:u w:val="single"/>
          </w:rPr>
          <w:t>gesetze-im-internet.de/estg/__23.html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tc>
      </w:tr>
    </w:tbl>
    <w:p>
      <w:pPr>
        <w:sectPr>
          <w:footerReference w:type="even" r:id="rId143"/>
          <w:footerReference w:type="default" r:id="rId144"/>
          <w:footerReference w:type="first" r:id="rId145"/>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40" w:name="__RefHeading___Toc56460_3457424410"/>
      <w:bookmarkEnd w:id="40"/>
      <w:r>
        <w:rPr>
          <w:rFonts w:eastAsia="Amazon Ember" w:cs="Amazon Ember" w:ascii="Amazon Ember" w:hAnsi="Amazon Ember"/>
          <w:b/>
          <w:bCs/>
          <w:color w:val="0000FF"/>
        </w:rPr>
        <w:t>TEIL IV — Vorbereitung in Deutschland</w:t>
      </w:r>
    </w:p>
    <w:p>
      <w:pPr>
        <w:sectPr>
          <w:footerReference w:type="even" r:id="rId146"/>
          <w:footerReference w:type="default" r:id="rId147"/>
          <w:footerReference w:type="first" r:id="rId148"/>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Was du erledigst, solange du noch einen deutschen Briefkasten hast: Behörden, Verträge, Steuern, Rente, Krankenversicherung und Dokumente.</w:t>
      </w:r>
      <w:r>
        <w:br w:type="page"/>
      </w:r>
    </w:p>
    <w:p>
      <w:pPr>
        <w:pStyle w:val="Heading2"/>
        <w:keepNext w:val="true"/>
        <w:spacing w:lineRule="exact" w:line="340" w:before="0" w:after="300"/>
        <w:jc w:val="center"/>
        <w:rPr/>
      </w:pPr>
      <w:bookmarkStart w:id="41" w:name="__RefHeading___Toc56462_3457424410"/>
      <w:bookmarkStart w:id="42" w:name="k15"/>
      <w:bookmarkEnd w:id="41"/>
      <w:r>
        <w:rPr>
          <w:rFonts w:eastAsia="Amazon Ember" w:cs="Amazon Ember" w:ascii="Amazon Ember" w:hAnsi="Amazon Ember"/>
          <w:b/>
          <w:bCs/>
          <w:color w:val="0000FF"/>
          <w:sz w:val="36"/>
          <w:szCs w:val="36"/>
        </w:rPr>
        <w:t>Kapitel 15: Der Masterplan: Zeitleiste vom Entschluss bis zum Abflug</w:t>
      </w:r>
      <w:bookmarkEnd w:id="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Familie Brandt aus Stuttgart (fiktives Beispiel) sitzt im Januar vor drei Kalendern gleichzeitig: dem der H-1B-Lotterie im März, dem der dreimonatigen Kündigungsfrist ihrer Wohnung und dem der Spedition, die am liebsten sechs bis acht Wochen vor der Verladung gebucht werden will. Keiner der drei wartet auf die anderen beiden, und doch hängen sie voneinander ab. Wer die Reihenfolge falsch plant, zahlt am Ende Doppelmiete oder steht am Stichtag ohne Container da. Dieses Kapitel legt die Zeitleiste fest, an der sich der Rest des Buches orientiert.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rückwärts vom Abflugtermin, nicht vorwärts vom Entschluss: Der Abflugtag ist der Fixpunkt, alle Fristen laufen auf ihn zu.</w:t>
            </w:r>
          </w:p>
          <w:p>
            <w:pPr>
              <w:pStyle w:val="ListParagraph"/>
              <w:numPr>
                <w:ilvl w:val="0"/>
                <w:numId w:val="1"/>
              </w:numPr>
              <w:spacing w:lineRule="exact" w:line="264" w:before="0" w:after="50"/>
              <w:rPr/>
            </w:pPr>
            <w:r>
              <w:rPr>
                <w:rFonts w:eastAsia="Cambria" w:cs="Cambria"/>
                <w:b w:val="false"/>
                <w:bCs w:val="false"/>
                <w:i w:val="false"/>
                <w:iCs w:val="false"/>
                <w:sz w:val="20"/>
                <w:szCs w:val="20"/>
              </w:rPr>
              <w:t>Der kritische Pfad heißt Visum vor Wohnungskündigung vor Verschiffung: Jeder Schritt braucht den vorherigen als sichere Grundlage.</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H-1B-Lotterieweg vergehen zwischen Jobangebot und Arbeitsbeginn acht bis 18 Monate; dieses Kapitel legt für Familie Brandt (fiktiv) die Beispielzeitleiste Januar bis Ende September fest.</w:t>
            </w:r>
          </w:p>
          <w:p>
            <w:pPr>
              <w:pStyle w:val="ListParagraph"/>
              <w:numPr>
                <w:ilvl w:val="0"/>
                <w:numId w:val="1"/>
              </w:numPr>
              <w:spacing w:lineRule="exact" w:line="264" w:before="0" w:after="50"/>
              <w:rPr/>
            </w:pPr>
            <w:r>
              <w:rPr>
                <w:rFonts w:eastAsia="Cambria" w:cs="Cambria"/>
                <w:b w:val="false"/>
                <w:bCs w:val="false"/>
                <w:i w:val="false"/>
                <w:iCs w:val="false"/>
                <w:sz w:val="20"/>
                <w:szCs w:val="20"/>
              </w:rPr>
              <w:t>Andere Wege wie L-1 oder E-2 sind planbarer und oft kürzer, weil die März-Lotterie entfällt.</w:t>
            </w:r>
          </w:p>
          <w:p>
            <w:pPr>
              <w:pStyle w:val="ListParagraph"/>
              <w:numPr>
                <w:ilvl w:val="0"/>
                <w:numId w:val="1"/>
              </w:numPr>
              <w:spacing w:lineRule="exact" w:line="264" w:before="0" w:after="50"/>
              <w:rPr/>
            </w:pPr>
            <w:r>
              <w:rPr>
                <w:rFonts w:eastAsia="Cambria" w:cs="Cambria"/>
                <w:b w:val="false"/>
                <w:bCs w:val="false"/>
                <w:i w:val="false"/>
                <w:iCs w:val="false"/>
                <w:sz w:val="20"/>
                <w:szCs w:val="20"/>
              </w:rPr>
              <w:t>Ein Schuljahreswechsel mitten im Herbst ist beim Lotterieweg fast unvermeidlich.</w:t>
            </w:r>
          </w:p>
          <w:p>
            <w:pPr>
              <w:pStyle w:val="ListParagraph"/>
              <w:numPr>
                <w:ilvl w:val="0"/>
                <w:numId w:val="1"/>
              </w:numPr>
              <w:spacing w:lineRule="exact" w:line="264" w:before="0" w:after="50"/>
              <w:rPr/>
            </w:pPr>
            <w:r>
              <w:rPr>
                <w:rFonts w:eastAsia="Cambria" w:cs="Cambria"/>
                <w:b w:val="false"/>
                <w:bCs w:val="false"/>
                <w:i w:val="false"/>
                <w:iCs w:val="false"/>
                <w:sz w:val="20"/>
                <w:szCs w:val="20"/>
              </w:rPr>
              <w:t>Nutze die Wartezeit vor der Genehmigung für alles, was keinen Visumsstatus braucht: Dokumente, Finanzen, Bewerbungen.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T–18 bis T–0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T–0 ist der Abflugtag, nicht der heutige Tag: Jede Frist wird von dort aus rückwärts gezählt, wie es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auch einzeln empfehlen. Die Zählweise erinnert an einen Countdown, und die letzten Wochen fühlen sich für die meisten Familien auch so an: viel Zählen, wenig Einfluss auf den Start selbst. Die Tabelle zeigt die Beispielzeitleiste von Familie Brandt für den H-1B-Lotterieweg, mit Abflug Ende September und Arbeitsbeginn am 1. Oktober, dem festen Start des Fiskaljahrs für H-1B-Petitionen. Die ersten Monate (T–18 bis T–9) haben kein festes Datum, sondern beginnen, sobald der Entschluss steht, und enden mit dem Jobangebot. Verbreiteter Irrtum: Wer die schriftliche Jobzusage in der Hand hält, hält den Rest oft für Formsache. Tatsächlich vergehen bis zum Arbeitsbeginn acht bis 18 Monate, und keine Etappe dazwischen lässt sich durch Eile abkürzen. Bei anderen Visumswegen verschieben sich die späteren Monate, das Prinzip bleibt gleich.</w:t>
      </w:r>
    </w:p>
    <w:tbl>
      <w:tblPr>
        <w:tblW w:w="6480" w:type="dxa"/>
        <w:jc w:val="left"/>
        <w:tblInd w:w="0" w:type="dxa"/>
        <w:tblLayout w:type="fixed"/>
        <w:tblCellMar>
          <w:top w:w="50" w:type="dxa"/>
          <w:left w:w="80" w:type="dxa"/>
          <w:bottom w:w="50" w:type="dxa"/>
          <w:right w:w="80" w:type="dxa"/>
        </w:tblCellMar>
      </w:tblPr>
      <w:tblGrid>
        <w:gridCol w:w="806"/>
        <w:gridCol w:w="1822"/>
        <w:gridCol w:w="2944"/>
        <w:gridCol w:w="907"/>
      </w:tblGrid>
      <w:tr>
        <w:trPr>
          <w:tblHeader w:val="true"/>
          <w:cantSplit w:val="true"/>
        </w:trPr>
        <w:tc>
          <w:tcPr>
            <w:tcW w:w="8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w:t>
            </w:r>
          </w:p>
        </w:tc>
        <w:tc>
          <w:tcPr>
            <w:tcW w:w="1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Monat (Beispiel Brandt)</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Meilenstein</w:t>
            </w:r>
          </w:p>
        </w:tc>
        <w:tc>
          <w:tcPr>
            <w:tcW w:w="9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T–18 bis T–9</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Entschluss fassen, Weg wählen, Englisch und Finanzen vorbereiten, Bewerbungen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schriftliche Sponsoring-Zusage, Lohn-Level</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 bis 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beauftragen, Pässe prüfen, Übersetzungen anstoßen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H-1B-Lotterie-Registrierung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März/April</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Auswahlergebnis</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Petition, USCIS-Entscheidung, ggf. Nachforderung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Mai–Juni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Krankenkasse und Anwartschaft, Depot und PFIC, Rentenversicherung klären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17, 18</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kündigen, sobald Genehmigung und Interviewtermin feststehen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bis 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Juli–August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Konsulargebühr, Interviewtermin, Interview</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Arbeitsvertrag kündigen, Spedition verbindlich buchen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bis 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Impfungen, Vorsorgevollmacht, Abmeldung, Verladung, Wohnungsübergabe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16, 18, 19, 20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 und Einreise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Oktober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23–25</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Engpass in diesem Fahrplan ist selten das Visum selbst, sondern die drei Monate Kündigungsfrist deiner Wohnung, die nach deutschem Recht unabhängig vom Stand deines Visumsverfahrens läuft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Kommt das Jobangebot erst nach der März-Registrierung, verschiebt sich die ganze Kette um ein Jahr: Die Registrierung folgt erst im nächsten März, der Arbeitsbeginn frühestens am 1. Oktober des übernächsten Jahres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deshalb bei jedem Angebot ausdrücklich, ob und wann der Arbeitgeber registriert, und halte in der Zwischenzeit ein Ausweichmodell offen, etwa eine befristete Tätigkeit in Deutschland oder einen anderen Visumsweg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bekommt im Januar das Jobangebot aus Michigan – der Anruf kommt an einem Dienstagabend mitten beim Abendessen, und Markus schreibt das Datum noch am Küchentisch auf einen Zettel, der bis zum Abflug am Kühlschrank hängen bleibt. Im März registriert der Arbeitgeber sie für die H-1B-Lotterie, Ende März steht die Auswahl fest. Bis Juni laufen LCA und Petition, dann die Genehmigung. Ende Juni kündigt Markus die Wohnung, sobald Interviewtermin und Genehmigung sicher sind; das Mietverhältnis endet am 30. September. Im Juli und August folgen DS-160, Konsulartermin und Interview in München, danach liegt das Visum im Pass. Erst jetzt kündigt Markus seinen Arbeitsvertrag und bucht die Spedition verbindlich. Ende September fliegt die Familie, der Container kommt Wochen später nach. Lena und Jonas verpassen die ersten Schulwochen in Michigan, ein Kompromiss, den der 1. Oktober als Starttermin erzwingt.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kritische Pfad: Visum, Wohnung, Verschiffung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Schritte hängen in fester Reihenfolge zusammen, und jeder frühere sichert den nächsten ab. Erst wenn die Petition genehmigt ist und ein Interviewtermin feststeht, hast du eine belastbare Grundlage, um die Wohnung zu kündigen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Erst wenn die Wohnung gekündigt und der Übergabetermin bekannt ist, kannst du realistisch planen, wann die Spedition verladen soll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Wohnung nicht auf bloßen Verdacht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Wer die drei Monate Frist trotzdem knapp ausreizen will, akzeptiert wie Familie Brandt im Beispiel ein kleines Restrisiko: Die Kündigung erfolgt, sobald Genehmigung und Interviewtermin feststehen, nicht erst mit dem Visum im Pass. Wäge dieses Risiko bewusst ab, nicht aus Zeitdruck.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Spedition empfiehlt eine Buchung sechs bis acht Wochen vor der Verladung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Beim komprimierten Lotterieweg bleiben zwischen Visum im Pass und Abflug oft nur vier bis sechs Wochen. Buche trotzdem sofort verbindlich, sobald das Visum feststeht, und rechne von vornherein damit, dass der Container erst Wochen nach dir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Doppelmiete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Doppelmiete entsteht auf zwei Arten: Du kündigst zu spät und zahlst nach dem Abflug noch für eine Wohnung, die du nicht mehr nutzt, oder du kündigst zu früh und stehst vor dem Abflug ohne Wohnung da, während das Visum noch nicht sicher ist. Die dreimonatige Kündigungsfrist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läuft ab dem Zugang beim Vermieter, nicht ab dem Absenden, und endet immer zum Monatsende. Rechne deshalb rückwärts vom gewünschten letzten Miettag, nicht vorwärts vom Kündigungstag, und plane den Zugang so, dass das Mietende möglichst nah am tatsächlichen Abflugtermin liegt, ohne ihn zu unterschreiten. Bei einer Kaltmiete von 1.350 € (Beispiel Brandt,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kostet ein einziger falsch getroffener Stichtag schnell eine zusätzliche Monatsmiete; ein Nachmieter oder ein Aufhebungsvertrag mit dem Vermieter kann die letzten Wochen zusätzlich abfedern.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Wartezeit zwischen Registrierung und Petition-Entscheidung für alles, was keinen Visumsstatus braucht: Zeugnisbewertung, Übersetzungen, Angebote von Speditionen einholen, Kontakt zum künftigen Schuldistrikt aufnehmen. Das verkürzt die eigentliche Endphase spürbar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Anwalt,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tbl>
      <w:tblPr>
        <w:tblW w:w="6480" w:type="dxa"/>
        <w:jc w:val="left"/>
        <w:tblInd w:w="0" w:type="dxa"/>
        <w:tblLayout w:type="fixed"/>
        <w:tblCellMar>
          <w:top w:w="50" w:type="dxa"/>
          <w:left w:w="80" w:type="dxa"/>
          <w:bottom w:w="50" w:type="dxa"/>
          <w:right w:w="80" w:type="dxa"/>
        </w:tblCellMar>
      </w:tblPr>
      <w:tblGrid>
        <w:gridCol w:w="2037"/>
        <w:gridCol w:w="1760"/>
        <w:gridCol w:w="1294"/>
        <w:gridCol w:w="1388"/>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7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Arbeitgeber/Kanzlei</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Eigener Anwalt</w:t>
            </w:r>
          </w:p>
        </w:tc>
        <w:tc>
          <w:tcPr>
            <w:tcW w:w="1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Sponsoring-Zusage, Lohn-Level</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entscheidet, meldet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auf Wunsch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LCA, Petition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reicht ein, zahlt Gebühren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möglich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zügig antworten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beauftragt Kanzlei, zahlt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unterstützt, falls beauftragt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Interviewtermin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erklärt Ablauf, erstattet oft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erscheinen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Arbeitsvertrag kündigen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verhandelt Aufhebungsvertrag</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kündigt schriftlich, sobald sicher</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Spedition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oft Pauschale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Angebote einholen, buchen, packen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Apostillen, Vollmachten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beschafft, lässt beurkunden, übersetzen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Rente, Depot</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klärt mit Kasse, DRV, Steuerberater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221(g)-Vermerk beim Interview oder eine Nachforderung mit nur 30 Tagen Frist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verschiebt den ganzen Plan um Wochen. Lege deshalb schon bei der Wohnungskündigung und der Buchung der Spedition einen Puffer von zwei bis vier Wochen ein, statt exakt auf den Abflugtermin hin zu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Wege: schneller oder anders getaktet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Beispielzeitleiste von Familie Brandt gilt für den häufigsten, aber auch unberechenbarsten Weg: die H-1B-Lotterie. Andere Wege takten anders, und wer eine Wahl hat, plant damit deutlich entspannter. Eine konzerninterne Versetzung mit L-1 kennt keine Lotterie und kein festes Startfenster; von der Petition bis zum Visum vergehen mit Premium Processing oft nur wenige Monate, und du bestimmst den Starttermin weitgehend selbst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 ein Luxus, von dem Lotterie-Kandidaten nur träumen können. Wer mit E-2 als Investor geht, braucht keine Petition bei USCIS, dafür eine solide Geschäftsplanung, die selbst Monate dauert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Der Studienweg über F-1, OPT und den späteren Wechsel zu H-1B erstreckt sich über Jahre und hat seinen eigenen Kalender aus Semestern, OPT-Fristen und einer eigenen Lotterie-Runde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Bei der Green Card über den Arbeitgeber bestimmen Bearbeitungszeit und Wartelisten nach Herkunftsland den Rhythmus, oft mehrere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kritische Pfad selbst, Visum vor Wohnungskündigung vor Verschiffung, bleibt in jedem Fall gleich; nur die Monate, die du dafür einplanst, verschieben sich, und mit ihnen die Reihenfolge, in der du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abarbeitest.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Schuljahreswechsel mitdenken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amerikanische Schuljahr beginnt je nach Bundesstaat und Schuldistrikt meist Mitte oder Ende August, selten später als Anfang September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Abschied nehmen und lose Enden schließen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Masterplan ist eine Liste von Fristen, aber die letzten Wochen sind auch die letzten Wochen mit Menschen, Wohnung und Stadt, die du lange nicht wiedersiehst. Plane bewusst Zeit für Abschiedsbesuche bei Familie, Freunden und wichtigen Arztterminen ein, statt sie zwischen Kündigungen und Packkartons verschwinden zu lassen; Heimweh und Abschiedsschmerz sind normal und kein Zeichen einer falschen Entscheidung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Parallel dazu läuft ein praktischer Nachlass in Deutschland: Möbel und Hausrat, die nicht mit dem Container reisen, verkaufst, verschenkst oder spendest du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Vorsorgevollmacht, Patientenverfügung und Betreuungsverfügung stehen beim Notar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wer Immobilien, Unternehmensanteile oder ein Testament zu regeln hat, klärt das mit Steuerberater und Notar, bevor der Wohnsitz wechselt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rückwärts vom Abflug plant, erkennt Engpässe Monate im Voraus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Lotterieweg lässt sich kaum beschleunigen, selbst mit perfektem Plan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und Bewertungen lassen sich schon vor der Genehmigung vorbereiten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kündigt, trägt ein Restrisiko, falls sich das Visum verzögert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fester Fahrplan macht Doppelmiete und Leerstand seltener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221(g)-Vermerk oder eine Nachforderung verschiebt den ganzen Plan um Wochen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Zuständigkeiten zwischen Arbeitgeber, Anwalt und dir vermeiden doppelte Arbeit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viele Abhängigkeiten in einer Woche erhöhen den Stress spürbar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realistischer Puffer federt Verzögerungen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zu großer Puffer verlängert die Zeit der Unsicherheit unnötig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einzelnen Fristen stehen ausführlich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und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hier geht es nur noch darum, sie in die richtige Reihenfolge zu bringen.</w:t>
      </w:r>
    </w:p>
    <w:p>
      <w:pPr>
        <w:pStyle w:val="ListParagraph"/>
        <w:numPr>
          <w:ilvl w:val="0"/>
          <w:numId w:val="129"/>
        </w:numPr>
        <w:spacing w:lineRule="exact" w:line="288" w:before="0" w:after="60"/>
        <w:rPr/>
      </w:pPr>
      <w:r>
        <w:rPr>
          <w:rFonts w:eastAsia="Cambria" w:cs="Cambria"/>
          <w:b w:val="false"/>
          <w:bCs w:val="false"/>
          <w:i w:val="false"/>
          <w:iCs w:val="false"/>
          <w:sz w:val="22"/>
          <w:szCs w:val="22"/>
        </w:rPr>
        <w:t>Trage den Abflugtermin oder das wahrscheinlichste Zeitfenster als Fixpunkt ein und rechne die Fristen 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rückwärts.</w:t>
      </w:r>
    </w:p>
    <w:p>
      <w:pPr>
        <w:pStyle w:val="ListParagraph"/>
        <w:numPr>
          <w:ilvl w:val="0"/>
          <w:numId w:val="130"/>
        </w:numPr>
        <w:spacing w:lineRule="exact" w:line="288" w:before="0" w:after="60"/>
        <w:rPr/>
      </w:pPr>
      <w:r>
        <w:rPr>
          <w:rFonts w:eastAsia="Cambria" w:cs="Cambria"/>
          <w:b w:val="false"/>
          <w:bCs w:val="false"/>
          <w:i w:val="false"/>
          <w:iCs w:val="false"/>
          <w:sz w:val="22"/>
          <w:szCs w:val="22"/>
        </w:rPr>
        <w:t>Kläre mit Arbeitgeber und Kanzlei, wann Registrierung, Petition und Interviewtermin realistisch liegen, und plane deinen Puffer entsprechend.</w:t>
      </w:r>
    </w:p>
    <w:p>
      <w:pPr>
        <w:pStyle w:val="ListParagraph"/>
        <w:numPr>
          <w:ilvl w:val="0"/>
          <w:numId w:val="131"/>
        </w:numPr>
        <w:spacing w:lineRule="exact" w:line="288" w:before="0" w:after="60"/>
        <w:rPr/>
      </w:pPr>
      <w:r>
        <w:rPr>
          <w:rFonts w:eastAsia="Cambria" w:cs="Cambria"/>
          <w:b w:val="false"/>
          <w:bCs w:val="false"/>
          <w:i w:val="false"/>
          <w:iCs w:val="false"/>
          <w:sz w:val="22"/>
          <w:szCs w:val="22"/>
        </w:rPr>
        <w:t>Trage die drei kritischen Schritte, Visum, Wohnungskündigung und Verschiffung, als feste Reihenfolge in deinen Kalender ein, nicht als lose Liste.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Abflugtermin oder realistisches Zeitfenster festgelegt und als Fixpunkt im Kalender markiert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Zeitleiste T–18 bis T–0 mit den Fristen aus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 xml:space="preserve">,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und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Zeugnisbewertung vor der März-Registrierung beauftragt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Wohnung erst gekündigt, sobald Genehmigung und Interviewtermin feststehen; Kündigungsfrist rückwärts 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gekündigt oder Aufhebungsvertrag verhandelt, erst nach gesichertem Visum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Spedition mit mehreren Festpreisangeboten verglichen und verbindlich gebucht, sobald das Visum im Pass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Krankenversicherung, Anwartschaft und Rentenversicherung rechtzeitig vor dem Abflug angestoßen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informiert und Schuljahreswechsel eingeplant, falls Kinder mitziehen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Abschiedsbesuche und der Nachlass nicht mitgenommener Gegenstände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Puffer für Verzögerungen wie 221(g) oder Nachforderungen im Zeitplan berücksichtigt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49">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H-1B-Registrierung und Fristen: </w:t>
      </w:r>
      <w:hyperlink r:id="rId15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Terminwartezeiten der Konsulate: </w:t>
      </w:r>
      <w:hyperlink r:id="rId151">
        <w:r>
          <w:rPr>
            <w:rStyle w:val="ListLabel113"/>
            <w:rFonts w:eastAsia="Cambria" w:cs="Cambria"/>
            <w:b w:val="false"/>
            <w:bCs w:val="false"/>
            <w:i w:val="false"/>
            <w:iCs w:val="false"/>
            <w:color w:val="0563C1"/>
            <w:sz w:val="22"/>
            <w:szCs w:val="22"/>
            <w:u w:val="single"/>
          </w:rPr>
          <w:t>travel.state.gov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Gesetze im Internet — BGB § 573c, Kündigungsfrist Wohnraum: </w:t>
      </w:r>
      <w:hyperlink r:id="rId152">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Rentenversicherung — Beratung vor dem Umzug: </w:t>
      </w:r>
      <w:hyperlink r:id="rId153">
        <w:r>
          <w:rPr>
            <w:rStyle w:val="ListLabel113"/>
            <w:rFonts w:eastAsia="Cambria" w:cs="Cambria"/>
            <w:b w:val="false"/>
            <w:bCs w:val="false"/>
            <w:i w:val="false"/>
            <w:iCs w:val="false"/>
            <w:color w:val="0563C1"/>
            <w:sz w:val="22"/>
            <w:szCs w:val="22"/>
            <w:u w:val="single"/>
          </w:rPr>
          <w:t>deutsche-rentenversicherung.de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Zeitleiste ist ein Beispielfahrplan für den H-1B-Lotterieweg von Familie Brandt (fiktiv); Registrierungsfenster, Bearbeitungszeiten und Terminwartezeiten der Konsulate ändern sich jährlich und stehen aktuell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Bei anderen Visumswegen verschieben sich die Monate, der kritische Pfad aus Visum, Wohnungskündigung und Verschiffung bleibt gleich. Prüfe vor jeder Kündigung und Buchung die aktuellen Fristen 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bis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3" w:name="__RefHeading___Toc56464_3457424410"/>
      <w:bookmarkStart w:id="44" w:name="k16"/>
      <w:bookmarkEnd w:id="43"/>
      <w:r>
        <w:rPr>
          <w:rFonts w:eastAsia="Amazon Ember" w:cs="Amazon Ember" w:ascii="Amazon Ember" w:hAnsi="Amazon Ember"/>
          <w:b/>
          <w:bCs/>
          <w:color w:val="0000FF"/>
          <w:sz w:val="36"/>
          <w:szCs w:val="36"/>
        </w:rPr>
        <w:t>Kapitel 16: Behörden, Verträge, Versicherungen abwickeln</w:t>
      </w:r>
      <w:bookmarkEnd w:id="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Verträge laufen weiter, bis du sie beendest, und Vertragspartner erfahren vom Wegzug nur, wenn du es ihnen schreibst. Dieses Kapitel zeigt, was du wann kündigst, was du bewusst behältst und wie du dabei nichts Wichtiges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Kein Vertrag endet mit dem Flug: Miete, Handy, Versicherungen, Rundfunkbeitrag und eine freiwillige Krankenversicherung laufen weiter, bis du kündigst oder abmeldest.</w:t>
            </w:r>
          </w:p>
          <w:p>
            <w:pPr>
              <w:pStyle w:val="ListParagraph"/>
              <w:numPr>
                <w:ilvl w:val="0"/>
                <w:numId w:val="1"/>
              </w:numPr>
              <w:spacing w:lineRule="exact" w:line="264" w:before="0" w:after="50"/>
              <w:rPr/>
            </w:pPr>
            <w:r>
              <w:rPr>
                <w:rFonts w:eastAsia="Cambria" w:cs="Cambria"/>
                <w:b w:val="false"/>
                <w:bCs w:val="false"/>
                <w:i w:val="false"/>
                <w:iCs w:val="false"/>
                <w:sz w:val="20"/>
                <w:szCs w:val="20"/>
              </w:rPr>
              <w:t>Abmelden musst du dich innerhalb von zwei Wochen nach dem Auszug, frühestens eine Woche vorher; ein Versäumnis kostet bis zu 1.000 € Bußgeld.</w:t>
            </w:r>
          </w:p>
          <w:p>
            <w:pPr>
              <w:pStyle w:val="ListParagraph"/>
              <w:numPr>
                <w:ilvl w:val="0"/>
                <w:numId w:val="1"/>
              </w:numPr>
              <w:spacing w:lineRule="exact" w:line="264" w:before="0" w:after="50"/>
              <w:rPr/>
            </w:pPr>
            <w:r>
              <w:rPr>
                <w:rFonts w:eastAsia="Cambria" w:cs="Cambria"/>
                <w:b w:val="false"/>
                <w:bCs w:val="false"/>
                <w:i w:val="false"/>
                <w:iCs w:val="false"/>
                <w:sz w:val="20"/>
                <w:szCs w:val="20"/>
              </w:rPr>
              <w:t>Die längsten Fristen haben meist Wohnung (drei Monate) und Arbeitsvertrag (gesetzlich vier Wochen, vertraglich oft mehr). Kündige dort aber erst, wenn dein Visum sicher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Behalte ein deutsches Girokonto, eine Postadresse bei einer Vertrauensperson und deine Steuer-ID. Vollmachten lässt du vor dem Abflug beim Notar beurkunden.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Kindergeld und Elterngeld enden in der Regel mit dem Wegzug; melde ihn der Familienkasse und der Elterngeldstelle.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die Vertragsliste, dann die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den Fristen: Was am längsten läuft, kündigst du zuerst. Das kollidiert mit der Unsicherheit beim Visum; wie du das entschärfst und Doppelmiete vermeidest, zeigt der Zeitplan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Altersvorsorge (Riester, Rürup, Bausparen, Lebensversicherung) gehört nicht in die Kündigungswelle, denn ein Wegzug löst dort eigene Folgen aus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jede Frist vom Abflugtermin rückwärts und lass dir jede Kündigung schriftlich bestätigen. Ohne Bestätigung kannst du im Streitfall weder Zugang noch Zeitpunkt beweisen.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Kündigungsfristen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nennt die gesetzliche Regel (Stand September 2026); dein Vertrag kann abweichen.</w:t>
      </w:r>
    </w:p>
    <w:tbl>
      <w:tblPr>
        <w:tblW w:w="6480" w:type="dxa"/>
        <w:jc w:val="left"/>
        <w:tblInd w:w="0" w:type="dxa"/>
        <w:tblLayout w:type="fixed"/>
        <w:tblCellMar>
          <w:top w:w="50" w:type="dxa"/>
          <w:left w:w="80" w:type="dxa"/>
          <w:bottom w:w="50" w:type="dxa"/>
          <w:right w:w="80" w:type="dxa"/>
        </w:tblCellMar>
      </w:tblPr>
      <w:tblGrid>
        <w:gridCol w:w="2061"/>
        <w:gridCol w:w="2160"/>
        <w:gridCol w:w="2259"/>
      </w:tblGrid>
      <w:tr>
        <w:trPr>
          <w:tblHeader w:val="true"/>
          <w:cantSplit w:val="true"/>
        </w:trPr>
        <w:tc>
          <w:tcPr>
            <w:tcW w:w="2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Vertrag</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(Rechtsgrundlage)</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Auslandsumzug</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Mietwohnung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Monate; Zugang bis zum dritten Werktag des Monats (§ 573c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Sonderkündigungsrecht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zum 15. oder Monatsende, in der Probezeit zwei Wochen; nur schriftlich (§§ 622, 623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Aufhebungsvertrag verhandeln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 und Internet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Erstlaufzeit höchstens 24 Monate, danach ein Monat (§ 56 TKG)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Sonderkündigung mit einem Monat, wenn der Anbieter am neuen Wohnort nicht leistet (§ 60 TKG); 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Grundversorgung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Wochen (§ 20 StromGVV)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Besonderheit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Sondervertrag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Wochen bei Wohnsitzwechsel (§ 41b EnWG)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Kündigung, sondern Abmeldung der Wohnung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beifügen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 Haftpflicht, Rechtsschutz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Vertragsbedingungen; Wegfall des Risikos sofort melden (§ 80 VVG)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im Vertrag prüfen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Nachsendeauftrag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Monate Laufzeit, fünf Werktage Vorlauf</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 eingeschränkt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gesetzliche Krankenversicherung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endet nicht automatisch mit dem Wegzug (§ 191 SGB 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oder Anwartschaft: Kapitel </w:t>
            </w:r>
            <w:hyperlink w:anchor="k18">
              <w:r>
                <w:rPr>
                  <w:rStyle w:val="ListLabel112"/>
                  <w:rFonts w:eastAsia="Cambria" w:cs="Cambria"/>
                  <w:b w:val="false"/>
                  <w:bCs w:val="false"/>
                  <w:i w:val="false"/>
                  <w:iCs w:val="false"/>
                  <w:sz w:val="18"/>
                  <w:szCs w:val="18"/>
                </w:rPr>
                <w:t>18</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Miet-, Arbeits- und Versicherungsverträge können von der gesetzlichen Regel abweichen. Bei Streit helfen Mieterverein, Fachanwalt für Arbeitsrecht oder Verbraucherzentrale.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Abmeldung: Frist, Bescheinigung, Wohnsitz behalten?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Wohnsitz behalten?</w:t>
      </w:r>
      <w:r>
        <w:rPr>
          <w:rFonts w:eastAsia="Cambria" w:cs="Cambria"/>
          <w:b w:val="false"/>
          <w:bCs w:val="false"/>
          <w:i w:val="false"/>
          <w:iCs w:val="false"/>
          <w:sz w:val="22"/>
          <w:szCs w:val="22"/>
        </w:rPr>
        <w:t xml:space="preserve"> Solange du eine Wohnung im Inland bezogen hältst, entfällt nach dem Gesetzeswortlaut die Abmeldepflicht; sie zählt dann als Haupt- oder Nebenwohnung (§ 21 BMG). Der Preis: Eine behaltene Wohnung kann Folgen für Steuerpflicht, Krankenkasse und Kindergeld haben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Entscheide das vor dem Umzug,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Bleibe nicht „pro forma“ bei Eltern oder Freunden gemeldet, wenn du dort nicht wohnst. Wer eine Scheinadresse bereitstellt, riskiert bis zu 50.000 € Bußgeld (§ 19 Abs. 6, § 54 BMG), und für dich kann die Anmeldung als Wohnsitz gewertet werden, mit steuerlichen Folgen.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Männer bis 45:</w:t>
      </w:r>
      <w:r>
        <w:rPr>
          <w:rFonts w:eastAsia="Cambria" w:cs="Cambria"/>
          <w:b w:val="false"/>
          <w:bCs w:val="false"/>
          <w:i w:val="false"/>
          <w:iCs w:val="false"/>
          <w:sz w:val="22"/>
          <w:szCs w:val="22"/>
        </w:rPr>
        <w:t xml:space="preserve"> Nach § 3 Abs. 2 Wehrpflichtgesetz brauchen Männer ab 17 Jahren grundsätzlich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Kündigung, Kaution, Übergabe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schriftlich mit eigenhändiger Unterschrift; eine E-Mail ist unwirksam (§ 623 BGB).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Wirst du innerhalb deines Konzerns versetzt (etwa mit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muss der deutsche Vertrag nicht enden; das verändert aber Sozialversicherung und Steuer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Internet, Energie, Rundfunkbeitrag und Kirche</w:t>
      </w:r>
    </w:p>
    <w:p>
      <w:pPr>
        <w:pStyle w:val="Normal"/>
        <w:keepNext w:val="false"/>
        <w:keepLines w:val="false"/>
        <w:spacing w:lineRule="exact" w:line="288" w:before="0" w:after="140"/>
        <w:jc w:val="left"/>
        <w:rPr/>
      </w:pPr>
      <w:r>
        <w:rPr>
          <w:rFonts w:eastAsia="Cambria" w:cs="Cambria"/>
          <w:b/>
          <w:bCs/>
          <w:i w:val="false"/>
          <w:iCs w:val="false"/>
          <w:sz w:val="22"/>
          <w:szCs w:val="22"/>
        </w:rPr>
        <w:t>Handy und Internet:</w:t>
      </w:r>
      <w:r>
        <w:rPr>
          <w:rFonts w:eastAsia="Cambria" w:cs="Cambria"/>
          <w:b w:val="false"/>
          <w:bCs w:val="false"/>
          <w:i w:val="false"/>
          <w:iCs w:val="false"/>
          <w:sz w:val="22"/>
          <w:szCs w:val="22"/>
        </w:rPr>
        <w:t xml:space="preserve">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pPr>
        <w:pStyle w:val="Normal"/>
        <w:keepNext w:val="false"/>
        <w:keepLines w:val="false"/>
        <w:spacing w:lineRule="exact" w:line="288" w:before="0" w:after="140"/>
        <w:jc w:val="left"/>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Lies am Auszugstag die Zähler ab, fotografiere sie und melde die Stände dem Versorger. Ob der Sonderkündigungsgrund bei Wohnsitzwechsel für einen Umzug ins Ausland gilt, ist wie beim Handy offen.</w:t>
      </w:r>
    </w:p>
    <w:p>
      <w:pPr>
        <w:pStyle w:val="Normal"/>
        <w:keepNext w:val="false"/>
        <w:keepLines w:val="false"/>
        <w:spacing w:lineRule="exact" w:line="288" w:before="0" w:after="140"/>
        <w:jc w:val="left"/>
        <w:rPr/>
      </w:pPr>
      <w:r>
        <w:rPr>
          <w:rFonts w:eastAsia="Cambria" w:cs="Cambria"/>
          <w:b/>
          <w:bCs/>
          <w:i w:val="false"/>
          <w:iCs w:val="false"/>
          <w:sz w:val="22"/>
          <w:szCs w:val="22"/>
        </w:rPr>
        <w:t>Rundfunkbeitrag:</w:t>
      </w:r>
      <w:r>
        <w:rPr>
          <w:rFonts w:eastAsia="Cambria" w:cs="Cambria"/>
          <w:b w:val="false"/>
          <w:bCs w:val="false"/>
          <w:i w:val="false"/>
          <w:iCs w:val="false"/>
          <w:sz w:val="22"/>
          <w:szCs w:val="22"/>
        </w:rPr>
        <w:t xml:space="preserve"> 18,36 € im Monat je Wohnung (Stand 20. September 2026), rund 220 € im Jahr. Er endet nicht durch Kündigung, sondern durch Abmeldung der Wohnung im Online-Formular „Abmelden“ auf rundfunkbeitrag.de. Du brauchst die neunstellige Beitragsnummer und kannst Nachweise als Datei anhängen. Welche Nachweise verlangt werden und wie weit rückwirkend abgemeldet wird, nennt die Seite nicht. Melde dich deshalb sofort nach dem Auszug ab.</w:t>
      </w:r>
    </w:p>
    <w:p>
      <w:pPr>
        <w:pStyle w:val="Normal"/>
        <w:keepNext w:val="false"/>
        <w:keepLines w:val="false"/>
        <w:spacing w:lineRule="exact" w:line="288" w:before="0" w:after="140"/>
        <w:jc w:val="left"/>
        <w:rPr/>
      </w:pPr>
      <w:r>
        <w:rPr>
          <w:rFonts w:eastAsia="Cambria" w:cs="Cambria"/>
          <w:b/>
          <w:bCs/>
          <w:i w:val="false"/>
          <w:iCs w:val="false"/>
          <w:sz w:val="22"/>
          <w:szCs w:val="22"/>
        </w:rPr>
        <w:t>Kirche:</w:t>
      </w:r>
      <w:r>
        <w:rPr>
          <w:rFonts w:eastAsia="Cambria" w:cs="Cambria"/>
          <w:b w:val="false"/>
          <w:bCs w:val="false"/>
          <w:i w:val="false"/>
          <w:iCs w:val="false"/>
          <w:sz w:val="22"/>
          <w:szCs w:val="22"/>
        </w:rPr>
        <w:t xml:space="preserve"> Die Kirchensteuerpflicht knüpft nach den Landeskirchensteuergesetzen an Wohnsitz oder gewöhnlichen Aufenthalt im Inland und endet deshalb in der Regel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rFonts w:eastAsia="Cambria" w:cs="Cambria"/>
          <w:b w:val="false"/>
          <w:bCs w:val="false"/>
          <w:i/>
          <w:iCs/>
          <w:sz w:val="22"/>
          <w:szCs w:val="22"/>
        </w:rPr>
        <w:t>Allgemeinen Versicherungsbedingungen</w:t>
      </w:r>
      <w:r>
        <w:rPr>
          <w:rFonts w:eastAsia="Cambria" w:cs="Cambria"/>
          <w:b w:val="false"/>
          <w:bCs w:val="false"/>
          <w:i w:val="false"/>
          <w:iCs w:val="false"/>
          <w:sz w:val="22"/>
          <w:szCs w:val="22"/>
        </w:rPr>
        <w:t xml:space="preserve"> (AVB) jedes Vertrags; die Übersicht ist Praxiswissen, keine Regel.</w:t>
      </w:r>
    </w:p>
    <w:tbl>
      <w:tblPr>
        <w:tblW w:w="6480" w:type="dxa"/>
        <w:jc w:val="left"/>
        <w:tblInd w:w="0" w:type="dxa"/>
        <w:tblLayout w:type="fixed"/>
        <w:tblCellMar>
          <w:top w:w="50" w:type="dxa"/>
          <w:left w:w="80" w:type="dxa"/>
          <w:bottom w:w="50" w:type="dxa"/>
          <w:right w:w="80" w:type="dxa"/>
        </w:tblCellMar>
      </w:tblPr>
      <w:tblGrid>
        <w:gridCol w:w="2025"/>
        <w:gridCol w:w="1312"/>
        <w:gridCol w:w="3143"/>
      </w:tblGrid>
      <w:tr>
        <w:trPr>
          <w:tblHeader w:val="true"/>
          <w:cantSplit w:val="true"/>
        </w:trPr>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Versicherung</w:t>
            </w:r>
          </w:p>
        </w:tc>
        <w:tc>
          <w:tcPr>
            <w:tcW w:w="13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sinnvoll</w:t>
            </w:r>
          </w:p>
        </w:tc>
        <w:tc>
          <w:tcPr>
            <w:tcW w:w="31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prüfst du</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Privathaftpflicht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 Übergabetag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Auslandsschutz ist meist zeitlich begrenzt; in den USA neu abschließen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kündigen, sobald die Wohnung geräumt ist</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Umzugsgut auf dem Transport gesondert versichern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Rechtsschutz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deutschen Wohnsitz gebunden; laufende Fälle vorher klären</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Berufsunfähigkeit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Auslands- und Meldeklauseln; Leistungsfall im Ausland</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Risikoleben, Lebensversicherung</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Adressmeldepflicht; ein Neuabschluss später ist teurer, weil du dann älter bist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Verkauf oder Abmeldung beenden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Schadenfreiheitsbescheinigung auf Englisch anfordern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Schadenfreiheitsbescheinigung (SF-Klasse und Schadenverlauf) stellt der Versicherer auf Anfrage aus. Ob ein US-Versicherer sie anerkennt, ist uneinheitlich; die deutsche SF-Klasse zählt in den USA meist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Kranken-, Pflege- und Auslandsreisekrankenversicherung sind ein Sonderfall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Bankkonten und Kreditkarten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dein deutsches Girokonto. Deutsche Konsulate identifizieren seit den Änderungen am Geldwäschegesetz niemanden mehr für Kontoeröffnungen, Kredite über 15.000 € oder Kreditkarten; ein 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die Schufa hilft dabei nicht, ihr guter Ruf endet am Gate.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verkaufen, Post umleiten</w:t>
      </w:r>
    </w:p>
    <w:p>
      <w:pPr>
        <w:pStyle w:val="Normal"/>
        <w:keepNext w:val="false"/>
        <w:keepLines w:val="false"/>
        <w:spacing w:lineRule="exact" w:line="288" w:before="0" w:after="140"/>
        <w:jc w:val="left"/>
        <w:rPr/>
      </w:pPr>
      <w:r>
        <w:rPr>
          <w:rFonts w:eastAsia="Cambria" w:cs="Cambria"/>
          <w:b/>
          <w:bCs/>
          <w:i w:val="false"/>
          <w:iCs w:val="false"/>
          <w:sz w:val="22"/>
          <w:szCs w:val="22"/>
        </w:rPr>
        <w:t>Auto:</w:t>
      </w:r>
      <w:r>
        <w:rPr>
          <w:rFonts w:eastAsia="Cambria" w:cs="Cambria"/>
          <w:b w:val="false"/>
          <w:bCs w:val="false"/>
          <w:i w:val="false"/>
          <w:iCs w:val="false"/>
          <w:sz w:val="22"/>
          <w:szCs w:val="22"/>
        </w:rPr>
        <w:t xml:space="preserve"> Verkaufe das Auto in Deutschland, so spät, wie dein Alltag es erlaubt; eine Mitnahme ist aufwendig und selten sinnvoll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Halte den Kaufvertrag schriftlich fest (Datum, Kilometerstand, Preis) und übergib Schlüssel und Papiere erst nach Zahlungseingang. Melde den Verkauf der Zulassungsstelle und dem Kfz-Versicherer, damit Steuer und Beiträge enden.</w:t>
      </w:r>
    </w:p>
    <w:p>
      <w:pPr>
        <w:pStyle w:val="Normal"/>
        <w:keepNext w:val="false"/>
        <w:keepLines w:val="false"/>
        <w:spacing w:lineRule="exact" w:line="288" w:before="0" w:after="140"/>
        <w:jc w:val="left"/>
        <w:rPr/>
      </w:pPr>
      <w:r>
        <w:rPr>
          <w:rFonts w:eastAsia="Cambria" w:cs="Cambria"/>
          <w:b/>
          <w:bCs/>
          <w:i w:val="false"/>
          <w:iCs w:val="false"/>
          <w:sz w:val="22"/>
          <w:szCs w:val="22"/>
        </w:rPr>
        <w:t>Post:</w:t>
      </w:r>
      <w:r>
        <w:rPr>
          <w:rFonts w:eastAsia="Cambria" w:cs="Cambria"/>
          <w:b w:val="false"/>
          <w:bCs w:val="false"/>
          <w:i w:val="false"/>
          <w:iCs w:val="false"/>
          <w:sz w:val="22"/>
          <w:szCs w:val="22"/>
        </w:rPr>
        <w:t xml:space="preserve">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Vollmachten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pPr>
        <w:pStyle w:val="ListParagraph"/>
        <w:numPr>
          <w:ilvl w:val="0"/>
          <w:numId w:val="1"/>
        </w:numPr>
        <w:spacing w:lineRule="exact" w:line="288" w:before="0" w:after="60"/>
        <w:rPr/>
      </w:pP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Finanzen, Verträge und Behörden. Manche Banken verlangen ihr eigenes Formular; frage nach, ob die notarielle Vollmacht genügt.</w:t>
      </w:r>
    </w:p>
    <w:p>
      <w:pPr>
        <w:pStyle w:val="ListParagraph"/>
        <w:numPr>
          <w:ilvl w:val="0"/>
          <w:numId w:val="1"/>
        </w:numPr>
        <w:spacing w:lineRule="exact" w:line="288" w:before="0" w:after="60"/>
        <w:rPr/>
      </w:pPr>
      <w:r>
        <w:rPr>
          <w:rFonts w:eastAsia="Cambria" w:cs="Cambria"/>
          <w:b/>
          <w:bCs/>
          <w:i w:val="false"/>
          <w:iCs w:val="false"/>
          <w:sz w:val="22"/>
          <w:szCs w:val="22"/>
        </w:rPr>
        <w:t>Patientenverfügung</w:t>
      </w:r>
      <w:r>
        <w:rPr>
          <w:rFonts w:eastAsia="Cambria" w:cs="Cambria"/>
          <w:b w:val="false"/>
          <w:bCs w:val="false"/>
          <w:i w:val="false"/>
          <w:iCs w:val="false"/>
          <w:sz w:val="22"/>
          <w:szCs w:val="22"/>
        </w:rPr>
        <w:t xml:space="preserve"> und Gesundheitsvollmacht. Die Patientenverfügung braucht Schriftform und ist jederzeit formlos widerrufbar (§ 1827 BGB).</w:t>
      </w:r>
    </w:p>
    <w:p>
      <w:pPr>
        <w:pStyle w:val="ListParagraph"/>
        <w:numPr>
          <w:ilvl w:val="0"/>
          <w:numId w:val="1"/>
        </w:numPr>
        <w:spacing w:lineRule="exact" w:line="288" w:before="0" w:after="60"/>
        <w:rPr/>
      </w:pPr>
      <w:r>
        <w:rPr>
          <w:rFonts w:eastAsia="Cambria" w:cs="Cambria"/>
          <w:b/>
          <w:bCs/>
          <w:i w:val="false"/>
          <w:iCs w:val="false"/>
          <w:sz w:val="22"/>
          <w:szCs w:val="22"/>
        </w:rPr>
        <w:t>Betreuungsverfügung</w:t>
      </w:r>
      <w:r>
        <w:rPr>
          <w:rFonts w:eastAsia="Cambria" w:cs="Cambria"/>
          <w:b w:val="false"/>
          <w:bCs w:val="false"/>
          <w:i w:val="false"/>
          <w:iCs w:val="false"/>
          <w:sz w:val="22"/>
          <w:szCs w:val="22"/>
        </w:rPr>
        <w:t xml:space="preserve"> für den Fall, dass ein Gericht eine Betreuung anordnen muss.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xml:space="preserve"> (Vollmacht, die auch bei Geschäftsunfähigkeit gilt) und </w:t>
      </w:r>
      <w:r>
        <w:rPr>
          <w:rFonts w:eastAsia="Cambria" w:cs="Cambria"/>
          <w:b w:val="false"/>
          <w:bCs w:val="false"/>
          <w:i/>
          <w:iCs/>
          <w:sz w:val="22"/>
          <w:szCs w:val="22"/>
        </w:rPr>
        <w:t>Health Care Proxy</w:t>
      </w:r>
      <w:r>
        <w:rPr>
          <w:rFonts w:eastAsia="Cambria" w:cs="Cambria"/>
          <w:b w:val="false"/>
          <w:bCs w:val="false"/>
          <w:i w:val="false"/>
          <w:iCs w:val="false"/>
          <w:sz w:val="22"/>
          <w:szCs w:val="22"/>
        </w:rPr>
        <w:t xml:space="preserve"> oder </w:t>
      </w:r>
      <w:r>
        <w:rPr>
          <w:rFonts w:eastAsia="Cambria" w:cs="Cambria"/>
          <w:b w:val="false"/>
          <w:bCs w:val="false"/>
          <w:i/>
          <w:iCs/>
          <w:sz w:val="22"/>
          <w:szCs w:val="22"/>
        </w:rPr>
        <w:t>Advance Directive</w:t>
      </w:r>
      <w:r>
        <w:rPr>
          <w:rFonts w:eastAsia="Cambria" w:cs="Cambria"/>
          <w:b w:val="false"/>
          <w:bCs w:val="false"/>
          <w:i w:val="false"/>
          <w:iCs w:val="false"/>
          <w:sz w:val="22"/>
          <w:szCs w:val="22"/>
        </w:rPr>
        <w:t xml:space="preserve"> (Gesundheitsvollmacht und Patientenverfügung); Form und Regeln bestimmt jeder Bundesstaat. Errichte sie nach der Ankunft zusätzlich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nicht bis zur Ankunft. Aus den USA kannst du beim Konsulat nur Unterschriften beglaubigen lassen, keine Vorsorgedokumente beurkunden. Die Notarkosten richten sich in der Regel nach dem Vermögen; hole vorab ein Angebot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Elefand und Wahlrecht: Kontakt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ununterbrochen in Deutschland gewohnt hast und das nicht länger als 25 Jahre zurückliegt.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Kindergeld, Elterngeld, Kita, Schule</w:t>
      </w:r>
    </w:p>
    <w:p>
      <w:pPr>
        <w:pStyle w:val="Normal"/>
        <w:keepNext w:val="false"/>
        <w:keepLines w:val="false"/>
        <w:spacing w:lineRule="exact" w:line="288" w:before="0" w:after="140"/>
        <w:jc w:val="left"/>
        <w:rPr/>
      </w:pPr>
      <w:r>
        <w:rPr>
          <w:rFonts w:eastAsia="Cambria" w:cs="Cambria"/>
          <w:b/>
          <w:bCs/>
          <w:i w:val="false"/>
          <w:iCs w:val="false"/>
          <w:sz w:val="22"/>
          <w:szCs w:val="22"/>
        </w:rPr>
        <w:t>Kindergeld:</w:t>
      </w:r>
      <w:r>
        <w:rPr>
          <w:rFonts w:eastAsia="Cambria" w:cs="Cambria"/>
          <w:b w:val="false"/>
          <w:bCs w:val="false"/>
          <w:i w:val="false"/>
          <w:iCs w:val="false"/>
          <w:sz w:val="22"/>
          <w:szCs w:val="22"/>
        </w:rPr>
        <w:t xml:space="preserve"> Anspruch hat, wer im Inland wohnt oder sich gewöhnlich aufhält (§ 62 EStG) – nicht, wer nur die deutsche Staatsangehörigkeit behält, ein verbreiteter Irrtum. Ziehst du mit den Kindern in die USA, endet der Anspruch in der Regel mit dem Wegzug. Teile das der Familienkasse rechtzeitig mit; zu Unrecht gezahlte Beträge werden zurückgefordert.</w:t>
      </w:r>
    </w:p>
    <w:p>
      <w:pPr>
        <w:pStyle w:val="Normal"/>
        <w:keepNext w:val="false"/>
        <w:keepLines w:val="false"/>
        <w:spacing w:lineRule="exact" w:line="288" w:before="0" w:after="140"/>
        <w:jc w:val="left"/>
        <w:rPr/>
      </w:pPr>
      <w:r>
        <w:rPr>
          <w:rFonts w:eastAsia="Cambria" w:cs="Cambria"/>
          <w:b/>
          <w:bCs/>
          <w:i w:val="false"/>
          <w:iCs w:val="false"/>
          <w:sz w:val="22"/>
          <w:szCs w:val="22"/>
        </w:rPr>
        <w:t>Elterngeld:</w:t>
      </w:r>
      <w:r>
        <w:rPr>
          <w:rFonts w:eastAsia="Cambria" w:cs="Cambria"/>
          <w:b w:val="false"/>
          <w:bCs w:val="false"/>
          <w:i w:val="false"/>
          <w:iCs w:val="false"/>
          <w:sz w:val="22"/>
          <w:szCs w:val="22"/>
        </w:rPr>
        <w:t xml:space="preserve"> Voraussetzung ist ein Wohnsitz oder gewöhnlicher Aufenthalt in Deutschland (§ 1 BEEG). Ausnahmen gelten für vorübergehend Entsandte; wer dauerhaft mit einem US-Arbeitgeber auswandert, fällt in der Regel nicht darunter. Bist du im laufenden Bezug oder erwartest ein Baby, sprich vor dem Umzug mit der Elterngeldstelle.</w:t>
      </w:r>
    </w:p>
    <w:p>
      <w:pPr>
        <w:pStyle w:val="Normal"/>
        <w:keepNext w:val="false"/>
        <w:keepLines w:val="false"/>
        <w:spacing w:lineRule="exact" w:line="288" w:before="0" w:after="140"/>
        <w:jc w:val="left"/>
        <w:rPr/>
      </w:pPr>
      <w:r>
        <w:rPr>
          <w:rFonts w:eastAsia="Cambria" w:cs="Cambria"/>
          <w:b/>
          <w:bCs/>
          <w:i w:val="false"/>
          <w:iCs w:val="false"/>
          <w:sz w:val="22"/>
          <w:szCs w:val="22"/>
        </w:rPr>
        <w:t>Kita und Schule:</w:t>
      </w:r>
      <w:r>
        <w:rPr>
          <w:rFonts w:eastAsia="Cambria" w:cs="Cambria"/>
          <w:b w:val="false"/>
          <w:bCs w:val="false"/>
          <w:i w:val="false"/>
          <w:iCs w:val="false"/>
          <w:sz w:val="22"/>
          <w:szCs w:val="22"/>
        </w:rP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Sorgerecht:</w:t>
      </w:r>
      <w:r>
        <w:rPr>
          <w:rFonts w:eastAsia="Cambria" w:cs="Cambria"/>
          <w:b w:val="false"/>
          <w:bCs w:val="false"/>
          <w:i w:val="false"/>
          <w:iCs w:val="false"/>
          <w:sz w:val="22"/>
          <w:szCs w:val="22"/>
        </w:rPr>
        <w:t xml:space="preserve"> Haben getrennt lebende Eltern das gemeinsame Sorgerecht, ist ein Umzug ins Ausland in der Regel nur mit Zustimmung des anderen Elternteils oder einer familiengerichtlichen Entscheidung möglich. Lass dich vorher familienrechtlich beraten.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in Deutschland unbedingt behalten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sauberer Schnitt klingt aufgeräumt, kostet aber den Rückweg. Diese Dinge behältst du:</w:t>
      </w:r>
    </w:p>
    <w:p>
      <w:pPr>
        <w:pStyle w:val="ListParagraph"/>
        <w:numPr>
          <w:ilvl w:val="0"/>
          <w:numId w:val="1"/>
        </w:numPr>
        <w:spacing w:lineRule="exact" w:line="288" w:before="0" w:after="60"/>
        <w:rPr/>
      </w:pPr>
      <w:r>
        <w:rPr>
          <w:rFonts w:eastAsia="Cambria" w:cs="Cambria"/>
          <w:b/>
          <w:bCs/>
          <w:i w:val="false"/>
          <w:iCs w:val="false"/>
          <w:sz w:val="22"/>
          <w:szCs w:val="22"/>
        </w:rPr>
        <w:t>Ein deutsches Girokonto</w:t>
      </w:r>
      <w:r>
        <w:rPr>
          <w:rFonts w:eastAsia="Cambria" w:cs="Cambria"/>
          <w:b w:val="false"/>
          <w:bCs w:val="false"/>
          <w:i w:val="false"/>
          <w:iCs w:val="false"/>
          <w:sz w:val="22"/>
          <w:szCs w:val="22"/>
        </w:rPr>
        <w:t xml:space="preserve"> samt Kreditkarte, als Ziel für Rückzahlungen und Rückfallebene.</w:t>
      </w:r>
    </w:p>
    <w:p>
      <w:pPr>
        <w:pStyle w:val="ListParagraph"/>
        <w:numPr>
          <w:ilvl w:val="0"/>
          <w:numId w:val="1"/>
        </w:numPr>
        <w:spacing w:lineRule="exact" w:line="288" w:before="0" w:after="60"/>
        <w:rPr/>
      </w:pPr>
      <w:r>
        <w:rPr>
          <w:rFonts w:eastAsia="Cambria" w:cs="Cambria"/>
          <w:b/>
          <w:bCs/>
          <w:i w:val="false"/>
          <w:iCs w:val="false"/>
          <w:sz w:val="22"/>
          <w:szCs w:val="22"/>
        </w:rPr>
        <w:t>Eine Postadresse und eine Vertrauensperson.</w:t>
      </w:r>
      <w:r>
        <w:rPr>
          <w:rFonts w:eastAsia="Cambria" w:cs="Cambria"/>
          <w:b w:val="false"/>
          <w:bCs w:val="false"/>
          <w:i w:val="false"/>
          <w:iCs w:val="false"/>
          <w:sz w:val="22"/>
          <w:szCs w:val="22"/>
        </w:rP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Steuer-ID und deine Rentenversicherungsnummer.</w:t>
      </w:r>
      <w:r>
        <w:rPr>
          <w:rFonts w:eastAsia="Cambria" w:cs="Cambria"/>
          <w:b w:val="false"/>
          <w:bCs w:val="false"/>
          <w:i w:val="false"/>
          <w:iCs w:val="false"/>
          <w:sz w:val="22"/>
          <w:szCs w:val="22"/>
        </w:rPr>
        <w:t xml:space="preserve"> Notiere beide und lege sie sicher ab.</w:t>
      </w:r>
    </w:p>
    <w:p>
      <w:pPr>
        <w:pStyle w:val="ListParagraph"/>
        <w:numPr>
          <w:ilvl w:val="0"/>
          <w:numId w:val="1"/>
        </w:numPr>
        <w:spacing w:lineRule="exact" w:line="288" w:before="0" w:after="60"/>
        <w:rPr/>
      </w:pPr>
      <w:r>
        <w:rPr>
          <w:rFonts w:eastAsia="Cambria" w:cs="Cambria"/>
          <w:b/>
          <w:bCs/>
          <w:i w:val="false"/>
          <w:iCs w:val="false"/>
          <w:sz w:val="22"/>
          <w:szCs w:val="22"/>
        </w:rPr>
        <w:t>Den Rückweg in die Krankenversicherung.</w:t>
      </w:r>
      <w:r>
        <w:rPr>
          <w:rFonts w:eastAsia="Cambria" w:cs="Cambria"/>
          <w:b w:val="false"/>
          <w:bCs w:val="false"/>
          <w:i w:val="false"/>
          <w:iCs w:val="false"/>
          <w:sz w:val="22"/>
          <w:szCs w:val="22"/>
        </w:rPr>
        <w:t xml:space="preserve"> Prüfe, ob eine Anwartschaft in der gesetzlichen oder privaten Krankenversicherung ihn offenhält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Eine deutsche Telefonnummer oder E-Mail-Adresse</w:t>
      </w:r>
      <w:r>
        <w:rPr>
          <w:rFonts w:eastAsia="Cambria" w:cs="Cambria"/>
          <w:b w:val="false"/>
          <w:bCs w:val="false"/>
          <w:i w:val="false"/>
          <w:iCs w:val="false"/>
          <w:sz w:val="22"/>
          <w:szCs w:val="22"/>
        </w:rPr>
        <w:t xml:space="preserve"> als Verifizierungskanal für Bank und Portale. Ein günstiger Prepaid- oder Monatstarif genügt; prüfe, ob der Anbieter ungenutzte Karten abschaltet.</w:t>
      </w:r>
    </w:p>
    <w:p>
      <w:pPr>
        <w:pStyle w:val="ListParagraph"/>
        <w:numPr>
          <w:ilvl w:val="0"/>
          <w:numId w:val="1"/>
        </w:numPr>
        <w:spacing w:lineRule="exact" w:line="288" w:before="0" w:after="60"/>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Renteninformation, Versicherungsverläufe, Schadenfreiheitsbescheinigung, Urkunden und Zeugnisse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deutsche Staatsangehörigkeit.</w:t>
      </w:r>
      <w:r>
        <w:rPr>
          <w:rFonts w:eastAsia="Cambria" w:cs="Cambria"/>
          <w:b w:val="false"/>
          <w:bCs w:val="false"/>
          <w:i w:val="false"/>
          <w:iCs w:val="false"/>
          <w:sz w:val="22"/>
          <w:szCs w:val="22"/>
        </w:rPr>
        <w:t xml:space="preserve"> Sie bleibt beim Umzug unberührt, und die spätere US-Einbürgerung kostet sie seit dem 27. Juni 2024 nicht mehr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will Ende September fliegen, passend zum H-1B-Start am 1. Oktober. Als die Genehmigung vorliegt und der Konsulatstermin feststeht, geht Markus am 28. Juni mit dem Kündigungsschreiben zur Post – er hat es dreimal gegengelesen, bevor er es als Einwurf-Einschreiben zustellen lässt, vor dem dritten Werktag im Juli; das Mietverhältnis endet am 30. September. Die Kaution von 4.050 € (dreimal 1.350 € Kaltmiete) soll auf das Stuttgarter Girokonto zurück, das die Familie behält. Anna kündigt Haftpflicht und Hausrat zum Übergabetag, fordert vom Kfz-Versicherer eine englische Schadenfreiheitsbescheinigung an und meldet der Familienkasse den Wegzug. Annas Bruder erhält eine notarielle Vorsorgevollmacht und wird Postadresse der Familie. Eine Doppelmiete entsteht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deutsches Konto nimmt Kaution, Erstattungen und Rente auf und erleichtert den Rückweg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Banken schränken Konten bei US-Wohnsitz ein oder verlangen zusätzliche Erklärungen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hält die Rückkehr in die Krankenversicherung offen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Beitrag, ohne dass du Leistungen erhältst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Fortgeführte Berufsunfähigkeits- und Risikolebensversicherung behalten die einmal geprüfte Gesundheitseinstufung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und Auslandsklauseln können im Leistungsfall Ärger machen; der Beitrag läuft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bevollmächtigte Vertrauensperson fängt Post und Fristen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Setzt dein volles Vertrauen voraus; Notar und Vorsorgeregister kosten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behaltene Wohnung ist ein sicherer Hafen bei Rückkehr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Steuer- und Meldepflichten auslösen und kostet laufend Miete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sauberer Schnitt bedeutet wenig Verwaltung und keine laufenden Kosten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Rückkehr fehlen Konto, Versicherungshistorie und Wohnung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32"/>
        </w:numPr>
        <w:spacing w:lineRule="exact" w:line="288" w:before="0" w:after="60"/>
        <w:rPr/>
      </w:pPr>
      <w:r>
        <w:rPr>
          <w:rFonts w:eastAsia="Cambria" w:cs="Cambria"/>
          <w:b w:val="false"/>
          <w:bCs w:val="false"/>
          <w:i w:val="false"/>
          <w:iCs w:val="false"/>
          <w:sz w:val="22"/>
          <w:szCs w:val="22"/>
        </w:rPr>
        <w:t>Erstelle heute die Vertragsliste und rechne die Kündigungstermine rückwärts vom Abflug.</w:t>
      </w:r>
    </w:p>
    <w:p>
      <w:pPr>
        <w:pStyle w:val="ListParagraph"/>
        <w:numPr>
          <w:ilvl w:val="0"/>
          <w:numId w:val="133"/>
        </w:numPr>
        <w:spacing w:lineRule="exact" w:line="288" w:before="0" w:after="60"/>
        <w:rPr/>
      </w:pPr>
      <w:r>
        <w:rPr>
          <w:rFonts w:eastAsia="Cambria" w:cs="Cambria"/>
          <w:b w:val="false"/>
          <w:bCs w:val="false"/>
          <w:i w:val="false"/>
          <w:iCs w:val="false"/>
          <w:sz w:val="22"/>
          <w:szCs w:val="22"/>
        </w:rPr>
        <w:t>Buche früh Notar (Vollmachten) und Bürgeramt (Abmeldung).</w:t>
      </w:r>
    </w:p>
    <w:p>
      <w:pPr>
        <w:pStyle w:val="ListParagraph"/>
        <w:numPr>
          <w:ilvl w:val="0"/>
          <w:numId w:val="134"/>
        </w:numPr>
        <w:spacing w:lineRule="exact" w:line="288" w:before="0" w:after="60"/>
        <w:rPr/>
      </w:pPr>
      <w:r>
        <w:rPr>
          <w:rFonts w:eastAsia="Cambria" w:cs="Cambria"/>
          <w:b w:val="false"/>
          <w:bCs w:val="false"/>
          <w:i w:val="false"/>
          <w:iCs w:val="false"/>
          <w:sz w:val="22"/>
          <w:szCs w:val="22"/>
        </w:rPr>
        <w:t>Kündige Wohnung und Arbeitsvertrag, sobald das Visum sicher ist, den Rest nach 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Vertragsliste aus zwölf Monaten Kontoauszügen erstellt, Kündigungstermine vom Abflug rückwärts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genehmigt und Termine mit Arbeitgeber und Anwalt abgestimmt, bevor Wohnung und Arbeitsvertrag gekündigt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schriftlich gekündigt (Zugang bis zum dritten Werktag), Übergabetermin und Kautionskonto mitgeteilt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Unterschrift gekündigt oder Aufhebungsvertrag geschlossen, Arbeitszeugnis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Abmeldung frühestens eine Woche vor dem Auszug erledigt, Abmeldebescheinigung mehrfach kopiert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Rundfunkbeitrag, Handy, Internet, Strom und Gas beendet oder abgemeldet, Bestätigungen abgelegt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 Hausrat und Rechtsschutz zum Übergabetag gekündigt, Berufsunfähigkeits- und Risikolebensversicherung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Schadenfreiheitsbescheinigung auf Englisch angefordert, Auto verkauft, Zulassungsstelle informiert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über Wegzug informiert, App-Verfahren für Überweisungen eingerichtet, Konto und Kreditkarte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Patientenverfügung und Betreuungsverfügung beim Notar beurkundet und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Familienkasse, Elterngeldstelle, Kita und Schule informiert, Zeugniskopien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Nachsendeauftrag und Adressänderungen erledigt, Elefand-Eintrag nach der Ankunft eingeplant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Bundesmeldegesetz, BGB, Telekommunikationsgesetz, Versicherungsvertragsgesetz, Wehrpflichtgesetz (Wortlaut) — </w:t>
      </w:r>
      <w:hyperlink r:id="rId154">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Rundfunkbeitrag, Abmeldung einer Wohnung — </w:t>
      </w:r>
      <w:hyperlink r:id="rId155">
        <w:r>
          <w:rPr>
            <w:rStyle w:val="ListLabel113"/>
            <w:rFonts w:eastAsia="Cambria" w:cs="Cambria"/>
            <w:b w:val="false"/>
            <w:bCs w:val="false"/>
            <w:i w:val="false"/>
            <w:iCs w:val="false"/>
            <w:color w:val="0563C1"/>
            <w:sz w:val="22"/>
            <w:szCs w:val="22"/>
            <w:u w:val="single"/>
          </w:rPr>
          <w:t>rundfunkbeitrag.de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Nachsendeservice der Deutschen Post — </w:t>
      </w:r>
      <w:hyperlink r:id="rId156">
        <w:r>
          <w:rPr>
            <w:rStyle w:val="ListLabel113"/>
            <w:rFonts w:eastAsia="Cambria" w:cs="Cambria"/>
            <w:b w:val="false"/>
            <w:bCs w:val="false"/>
            <w:i w:val="false"/>
            <w:iCs w:val="false"/>
            <w:color w:val="0563C1"/>
            <w:sz w:val="22"/>
            <w:szCs w:val="22"/>
            <w:u w:val="single"/>
          </w:rPr>
          <w:t>deutschepost.de/de/n/nachsendeservice.html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den USA: Beglaubigungen, Pässe, Wahlen — </w:t>
      </w:r>
      <w:hyperlink r:id="rId157">
        <w:r>
          <w:rPr>
            <w:rStyle w:val="ListLabel113"/>
            <w:rFonts w:eastAsia="Cambria" w:cs="Cambria"/>
            <w:b w:val="false"/>
            <w:bCs w:val="false"/>
            <w:i w:val="false"/>
            <w:iCs w:val="false"/>
            <w:color w:val="0563C1"/>
            <w:sz w:val="22"/>
            <w:szCs w:val="22"/>
            <w:u w:val="single"/>
          </w:rPr>
          <w:t>germany.info/us-en/service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Reise- und Sicherheitshinweise USA, Krisenvorsorgeliste — </w:t>
      </w:r>
      <w:hyperlink r:id="rId158">
        <w:r>
          <w:rPr>
            <w:rStyle w:val="ListLabel113"/>
            <w:rFonts w:eastAsia="Cambria" w:cs="Cambria"/>
            <w:b w:val="false"/>
            <w:bCs w:val="false"/>
            <w:i w:val="false"/>
            <w:iCs w:val="false"/>
            <w:color w:val="0563C1"/>
            <w:sz w:val="22"/>
            <w:szCs w:val="22"/>
            <w:u w:val="single"/>
          </w:rPr>
          <w:t>auswaertiges-amt.de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Zentrales Vorsorgeregister der Bundesnotarkammer — </w:t>
      </w:r>
      <w:hyperlink r:id="rId159">
        <w:r>
          <w:rPr>
            <w:rStyle w:val="ListLabel113"/>
            <w:rFonts w:eastAsia="Cambria" w:cs="Cambria"/>
            <w:b w:val="false"/>
            <w:bCs w:val="false"/>
            <w:i w:val="false"/>
            <w:iCs w:val="false"/>
            <w:color w:val="0563C1"/>
            <w:sz w:val="22"/>
            <w:szCs w:val="22"/>
            <w:u w:val="single"/>
          </w:rPr>
          <w:t>vorsorgeregister.de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Kindergeld (Familienkasse) und Elterngeld — </w:t>
      </w:r>
      <w:hyperlink r:id="rId160">
        <w:r>
          <w:rPr>
            <w:rStyle w:val="ListLabel113"/>
            <w:rFonts w:eastAsia="Cambria" w:cs="Cambria"/>
            <w:b w:val="false"/>
            <w:bCs w:val="false"/>
            <w:i w:val="false"/>
            <w:iCs w:val="false"/>
            <w:color w:val="0563C1"/>
            <w:sz w:val="22"/>
            <w:szCs w:val="22"/>
            <w:u w:val="single"/>
          </w:rPr>
          <w:t>arbeitsagentur.de</w:t>
        </w:r>
      </w:hyperlink>
      <w:r>
        <w:rPr>
          <w:rFonts w:eastAsia="Cambria" w:cs="Cambria"/>
          <w:b w:val="false"/>
          <w:bCs w:val="false"/>
          <w:i w:val="false"/>
          <w:iCs w:val="false"/>
          <w:sz w:val="22"/>
          <w:szCs w:val="22"/>
        </w:rPr>
        <w:t xml:space="preserve"> und </w:t>
      </w:r>
      <w:hyperlink r:id="rId161">
        <w:r>
          <w:rPr>
            <w:rStyle w:val="ListLabel113"/>
            <w:rFonts w:eastAsia="Cambria" w:cs="Cambria"/>
            <w:b w:val="false"/>
            <w:bCs w:val="false"/>
            <w:i w:val="false"/>
            <w:iCs w:val="false"/>
            <w:color w:val="0563C1"/>
            <w:sz w:val="22"/>
            <w:szCs w:val="22"/>
            <w:u w:val="single"/>
          </w:rPr>
          <w:t>familienportal.de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Wehrdienst und Auslandsaufenthalt — </w:t>
      </w:r>
      <w:hyperlink r:id="rId162">
        <w:r>
          <w:rPr>
            <w:rStyle w:val="ListLabel113"/>
            <w:rFonts w:eastAsia="Cambria" w:cs="Cambria"/>
            <w:b w:val="false"/>
            <w:bCs w:val="false"/>
            <w:i w:val="false"/>
            <w:iCs w:val="false"/>
            <w:color w:val="0563C1"/>
            <w:sz w:val="22"/>
            <w:szCs w:val="22"/>
            <w:u w:val="single"/>
          </w:rPr>
          <w:t>bmvg.de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5" w:name="__RefHeading___Toc56466_3457424410"/>
      <w:bookmarkStart w:id="46" w:name="k17"/>
      <w:bookmarkEnd w:id="45"/>
      <w:r>
        <w:rPr>
          <w:rFonts w:eastAsia="Amazon Ember" w:cs="Amazon Ember" w:ascii="Amazon Ember" w:hAnsi="Amazon Ember"/>
          <w:b/>
          <w:bCs/>
          <w:color w:val="0000FF"/>
          <w:sz w:val="36"/>
          <w:szCs w:val="36"/>
        </w:rPr>
        <w:t>Kapitel 17: Steuern, Rente und Geld: die deutsche Seite</w:t>
      </w:r>
      <w:bookmarkEnd w:id="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 an Zeit, an Nerven und oft auch an Geld. Dieses Kapitel ordnet, was auf der deutschen Seite vor dem Wegzug zu regeln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Mit dem Wegzug wirst du in Deutschland meist beschränkt steuerpflichtig – außer du behältst eine nutzbare Wohnung (Zweitwohnsitz-Falle).</w:t>
            </w:r>
          </w:p>
          <w:p>
            <w:pPr>
              <w:pStyle w:val="ListParagraph"/>
              <w:numPr>
                <w:ilvl w:val="0"/>
                <w:numId w:val="1"/>
              </w:numPr>
              <w:spacing w:lineRule="exact" w:line="264" w:before="0" w:after="50"/>
              <w:rPr/>
            </w:pPr>
            <w:r>
              <w:rPr>
                <w:rFonts w:eastAsia="Cambria" w:cs="Cambria"/>
                <w:b w:val="false"/>
                <w:bCs w:val="false"/>
                <w:i w:val="false"/>
                <w:iCs w:val="false"/>
                <w:sz w:val="20"/>
                <w:szCs w:val="20"/>
              </w:rPr>
              <w:t>Besitzt du GmbH-Anteile oder eine Beteiligung ab 1 %: Prüfe die Wegzugsteuer nach § 6 AStG rechtzeitig.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für die US-Steuer zur PFIC – kläre das vor dem US-Zuzug, nicht danach.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gesetzliche Rente läuft weiter und wird für US-Ansässige nur in den USA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Riester, Depot und Bankkonto brauchen vor dem Abflug eine bewusste Entscheidung.</w:t>
            </w:r>
          </w:p>
          <w:p>
            <w:pPr>
              <w:pStyle w:val="ListParagraph"/>
              <w:numPr>
                <w:ilvl w:val="0"/>
                <w:numId w:val="1"/>
              </w:numPr>
              <w:spacing w:lineRule="exact" w:line="264" w:before="0" w:after="50"/>
              <w:rPr/>
            </w:pPr>
            <w:r>
              <w:rPr>
                <w:rFonts w:eastAsia="Cambria" w:cs="Cambria"/>
                <w:b w:val="false"/>
                <w:bCs w:val="false"/>
                <w:i w:val="false"/>
                <w:iCs w:val="false"/>
                <w:sz w:val="20"/>
                <w:szCs w:val="20"/>
              </w:rPr>
              <w:t>Für Überweisungen und Bargeld gelten Meldegrenzen, die du kennen solltest.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Vom unbeschränkten zum beschränkten Steuerpflichtigen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Solange du in Deutschland wohnst, bist du unbeschränkt steuerpflichtig: Das Finanzamt besteuert dein Welteinkommen, dafür stehen dir Grundfreibetrag, Sonderausgaben und Kinderfreibeträge zu. Mit dem Wegzug ändert sich das – vorausgesetzt, du gibst den deutschen Wohnsitz wirklich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ist § 8 der Abgabenordnung (AO): Ein Wohnsitz ist jede Wohnung, die du „beibehalten und benutzen wirst“ –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für den entscheidenden Schritt. Tatsächlich ist sie nur ein Indiz; die Entscheidung trifft das Finanzamt anhand der tatsächlichen Wohnverhältnisse, nicht anhand des Meldezettels.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Wohnung in Deutschland „für alle Fälle“ behält, bleibt unbeschränkt steuerpflichtig – mit dem gesamten Welteinkommen, nicht nur den deutschen Einkünften. Die Zweitwohnsitz-Falle trifft vor allem Familien mit Rückkehroption. Wer der unbeschränkten Steuerpflicht wirklich entkommen will, muss die Wohnung verkaufen oder vollständig vermieten.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dann die Staatsangehörigkeit, notfalls ein Verständigungsverfahren zwischen beiden Finanzverwaltungen. Bei Familien, die mit Job und Kindern in die USA ziehen, liegt dieser Mittelpunkt fast immer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beschränkt Steuerpflichtiger besteuert das Finanzamt nur noch Einkünfte aus deutschen Quellen – etwa Miete, bestimmte Kapitalerträge oder in Deutschland verbrachte Arbeitstage. Der Tarif wird berechnet, als gälte der Grundfreibetrag nicht; Sonderausgaben und Kinderfreibeträge entfallen. Ein Antrag auf Behandlung als unbeschränkt steuerpflichtig (§ 1 Abs. 3 EStG) hilft nur, wenn mindestens 90 % deines Einkommens aus Deutschland stammen oder dein Auslandseinkommen unter dem Grundfreibetrag liegt – für ein normales US-Gehalt praktisch nie der Fall. Wer weiterhin deutsche Einkünfte hat (Miete, Depot, § 6 AStG), sollte einen Zustellungsbevollmächtigten in Deutschland benennen (§ 123 AO), damit Post vom Finanzamt nicht ins Leere 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Wegzugsteuer nach § 6 AStG: nur bei echten Unternehmensanteilen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an einer Kapitalgesellschaft – GmbH, AG oder Start-up – mit mindestens 1 % beteiligt ist und mindestens 7 der letzten 12 Jahre in Deutschland unbeschränkt steuerpflichtig war, löst mit dem Wegzug die Wegzugsteuer nach § 6 Außensteuergesetz (AStG) aus. Das Finanzamt behandelt die Anteile so, als wären sie am Wegzugstag zum vollen Marktwert verkauft worden – auch wenn nichts verkauft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31. Juli deine aktuelle Anschrift melden. Auf US-Seite erlaubt Artikel 13 Absatz 6 des DBA ein </w:t>
      </w:r>
      <w:r>
        <w:rPr>
          <w:rFonts w:eastAsia="Cambria" w:cs="Cambria"/>
          <w:b w:val="false"/>
          <w:bCs w:val="false"/>
          <w:i/>
          <w:iCs/>
          <w:sz w:val="22"/>
          <w:szCs w:val="22"/>
        </w:rPr>
        <w:t>Step-up</w:t>
      </w:r>
      <w:r>
        <w:rPr>
          <w:rFonts w:eastAsia="Cambria" w:cs="Cambria"/>
          <w:b w:val="false"/>
          <w:bCs w:val="false"/>
          <w:i w:val="false"/>
          <w:iCs w:val="false"/>
          <w:sz w:val="22"/>
          <w:szCs w:val="22"/>
        </w:rPr>
        <w:t>-Wahlrecht: Die USA können den Wert am Wegzugstag als neue Anschaffungskosten ansetzen, damit derselbe Wertzuwachs nicht doppelt besteuert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zur Größenordnung: Hältst du 5 % an einer GmbH, die dein Steuerberater beim Wegzug mit 400.000 € bewertet, bei ursprünglichen Anschaffungskosten von 40.000 €, gilt der fiktive Gewinn von 360.000 € als steuerpflichtig – unabhängig davon, ob du je einen Euro davon ausgezahlt bekommst. Die genaue Steuerlast hängt von Freibeträgen und dem Besteuerungsverfahren für Anteile nach § 17 EStG ab; das rechnet der Steuerberater vor dem Wegzug konkret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6 AStG betrifft nur echte Unternehmensbeteiligungen ab 1 %, nicht dein Aktien- oder ETF-Depot. Für Wertpapierdepots ist die PFIC-Regel das relevante Thema (siehe unten).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Immobilien in Deutschland: vermieten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Immobilie in Deutschland behält und vermietet, bleibt beschränkt steuerpflichtig –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Wer sein Reihenhaus vor 7 Jahren für 300.000 € gekauft hat und es 3 Jahre nach dem Umzug in die USA für 380.000 € verkauft, versteuert den Gewinn von 80.000 € in Deutschland –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 möglichst noch mit greifender Selbstnutzungsausnahme – vor dem Wegzug durchrechnen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Depot, Kapitalerträge und die Bankfrage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Dividenden deutscher Unternehmen behält die Bank pauschal 26,375 % ein – 25 % Kapitalertragsteuer plus Solidaritätszuschlag (zusätzlich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klar ist die Bankpraxis: Deutsche Banken melden „US-Personen“ nach dem FATCA-Abkommen (</w:t>
      </w:r>
      <w:r>
        <w:rPr>
          <w:rFonts w:eastAsia="Cambria" w:cs="Cambria"/>
          <w:b w:val="false"/>
          <w:bCs w:val="false"/>
          <w:i/>
          <w:iCs/>
          <w:sz w:val="22"/>
          <w:szCs w:val="22"/>
        </w:rPr>
        <w:t>Foreign Account Tax Compliance Act</w:t>
      </w:r>
      <w:r>
        <w:rPr>
          <w:rFonts w:eastAsia="Cambria" w:cs="Cambria"/>
          <w:b w:val="false"/>
          <w:bCs w:val="false"/>
          <w:i w:val="false"/>
          <w:iCs w:val="false"/>
          <w:sz w:val="22"/>
          <w:szCs w:val="22"/>
        </w:rPr>
        <w: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Konto und Depot nach dem Umzug unverändert weiterlaufen. Frag deine Bank vor dem Wegzug schriftlich, wie sie mit Kunden umgeht, die in den USA steuerpflichtig werden – Kündigung, Einschränkung oder Weiterführung sind alle möglich.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davon, was die Bank tut, entsteht eine eigene Meldepflicht, sobald du in den USA steuerlich ansässig bist: Der </w:t>
      </w:r>
      <w:r>
        <w:rPr>
          <w:rFonts w:eastAsia="Cambria" w:cs="Cambria"/>
          <w:b w:val="false"/>
          <w:bCs w:val="false"/>
          <w:i/>
          <w:iCs/>
          <w:sz w:val="22"/>
          <w:szCs w:val="22"/>
        </w:rPr>
        <w:t>Foreign Bank Account Report</w:t>
      </w:r>
      <w:r>
        <w:rPr>
          <w:rFonts w:eastAsia="Cambria" w:cs="Cambria"/>
          <w:b w:val="false"/>
          <w:bCs w:val="false"/>
          <w:i w:val="false"/>
          <w:iCs w:val="false"/>
          <w:sz w:val="22"/>
          <w:szCs w:val="22"/>
        </w:rPr>
        <w:t xml:space="preserve"> (FBAR, die jährliche Meldung ausländischer Konten ans US-Finanzministerium) wird fällig, sobald die Summe aller ausländischen Konten zu irgendeinem Zeitpunkt im Jahr 10.000 $ übersteigt – Giro-, Spar- und Depotkonten zählen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PFIC-Falle: deutsche Fonds und ETFs vor dem Zuzug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US-Steuer gelten fast alle im Ausland aufgelegten Investmentfonds und ETFs – auch die deutschen Fondssparpläne, mit denen halb Deutschland seine Altersvorsorge bestreitet – als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eine ausländische Kapitalanlage mit überwiegend passiven Erträgen). Der Name klingt dramatischer, als der biedere Sparplan es je verdient hätte; die steuerlichen Folgen sind es leider auch. Sobald du nach US-Recht steuerlich ansässig bist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greift ein Regelwerk, das spürbar härter ist als die normale Kapitalertragsbesteuerung.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Standardfall werden Ausschüttungen und Verkaufsgewinne als </w:t>
      </w:r>
      <w:r>
        <w:rPr>
          <w:rFonts w:eastAsia="Cambria" w:cs="Cambria"/>
          <w:b w:val="false"/>
          <w:bCs w:val="false"/>
          <w:i/>
          <w:iCs/>
          <w:sz w:val="22"/>
          <w:szCs w:val="22"/>
        </w:rPr>
        <w:t>Excess Distribution</w:t>
      </w:r>
      <w:r>
        <w:rPr>
          <w:rFonts w:eastAsia="Cambria" w:cs="Cambria"/>
          <w:b w:val="false"/>
          <w:bCs w:val="false"/>
          <w:i w:val="false"/>
          <w:iCs w:val="false"/>
          <w:sz w:val="22"/>
          <w:szCs w:val="22"/>
        </w:rPr>
        <w:t xml:space="preserve">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w:t>
      </w:r>
      <w:r>
        <w:rPr>
          <w:rFonts w:eastAsia="Cambria" w:cs="Cambria"/>
          <w:b w:val="false"/>
          <w:bCs w:val="false"/>
          <w:i/>
          <w:iCs/>
          <w:sz w:val="22"/>
          <w:szCs w:val="22"/>
        </w:rPr>
        <w:t>QEF</w:t>
      </w:r>
      <w:r>
        <w:rPr>
          <w:rFonts w:eastAsia="Cambria" w:cs="Cambria"/>
          <w:b w:val="false"/>
          <w:bCs w:val="false"/>
          <w:i w:val="false"/>
          <w:iCs w:val="false"/>
          <w:sz w:val="22"/>
          <w:szCs w:val="22"/>
        </w:rPr>
        <w:t>-Wahl (laufende Besteuerung der anteiligen Fondserträge statt pauschaler Nachversteuerung) müsste die deutsche Fondsgesellschaft ein „PFIC Annual Information Statement“ liefern, was sie in der Praxis kaum tut; die Marktbewertung (</w:t>
      </w:r>
      <w:r>
        <w:rPr>
          <w:rFonts w:eastAsia="Cambria" w:cs="Cambria"/>
          <w:b w:val="false"/>
          <w:bCs w:val="false"/>
          <w:i/>
          <w:iCs/>
          <w:sz w:val="22"/>
          <w:szCs w:val="22"/>
        </w:rPr>
        <w:t>Mark-to-Market</w:t>
      </w:r>
      <w:r>
        <w:rPr>
          <w:rFonts w:eastAsia="Cambria" w:cs="Cambria"/>
          <w:b w:val="false"/>
          <w:bCs w:val="false"/>
          <w:i w:val="false"/>
          <w:iCs w:val="false"/>
          <w:sz w:val="22"/>
          <w:szCs w:val="22"/>
        </w:rPr>
        <w:t>) funktioniert nur für börsengehandelte Anteile, nicht für klassische Fondsanteile.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greift ab dem Tag, an dem du steuerlich als US-ansässig giltst – das kann schon vor dem eigentlichen Umzug der Fall sein, wenn du dich vorher lange in den USA aufhältst. Wer Fonds und ETFs erst nach der Ankunft verkauft, hat die Falle oft schon ausgelöst.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zur langfristigen Vermögensplanung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hatte bei ihrer Bank in der Nähe von Stuttgart seit Jahren einen ETF-Sparplan auf einen weltweiten Aktienindex laufen. Als Markus’ H-1B-Antrag genehmigt war, saß das Paar beim Steuerberater eigentlich nur wegen der Wegzugsformalitäten – bis der einen Blick ins Depot warf und an die PFIC-Regel erinnerte: Nach dem Umzug nach Michigan wäre der Sparplan aus US-Sicht eine hoch besteuerte Excess Distribution gewesen, mit Formular 8621 für jedes einzelne Jahr. Die Familie verkaufte den Sparplan 2 Monate vor dem Abflug, versteuerte den Gewinn regulär mit deutscher Abgeltungsteuer und eröffnete nach der Ankunft in Detroit ein Depot bei einem US-Broker für einen amerikanischen ETF.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Riester, Rürup, bAV, Lebensversicherung, Bausparen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bestehender Riester-Vertrag läuft während der Ansparphase unverändert weiter –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Rürup-Vertrag lässt sich nicht kündigen oder beleihen; der Wegzug ändert daran nichts. Wie Auszahlungen an dich als dann beschränkt Steuerpflichtigen mit US-Wohnsitz steuerlich behandelt werden, ist nicht abschließend geklärt – frag gezielt beim Steuerberater nach. Ansprüche aus der betrieblichen Altersvorsorge (bAV) bleiben bei Unverfallbarkeit erhalten und lassen sich auch ins Ausland auszahlen; nach dem DBA wird eine solche private Rente nur im Wohnsitzstaat besteuert, also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gesetzliche Rente: Wartezeit, Abkommen, freiwillige Beiträge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gesetzliche Rente gilt eine Wartezeit von 5 Jahren; deutsche und US-amerikanische Versicherungszeiten werden dafür zusammengerechnet, auch wenn am Ende jedes Land seine Rente separat aus den eigenen Zeiten berechnet und zahlt. In den USA sind dafür normalerweise 40 Credits nötig (etwa 10 Berufsjahre); das Abkommen hilft, Lücken zu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den Erwerbsminderungsschutz über freiwillige Mindestbeiträge zur Rentenversicherung aufrechterhält, kommt oft günstiger weg als mit einer neuen privaten Berufsunfähigkeitsversicherung in den USA – und sichert zugleich die spätere Rente ab.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Verbreiteter Irrtum: Viele befürchten, diese Rente werde am Ende doppelt besteuert, einmal in Deutschland und einmal in den USA. Tatsächlich gilt: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Nach Artikel 18 Absatz 5 des DBA wird die deutsche gesetzliche Rente für US-Ansässige ausschließlich in den USA besteuert, nicht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mitnehmen: Überweisung, Wechselkurs, Meldepflichten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Überweisungen ins Ausland bis 50.000 € muss niemand melden – darüber hinaus meldet die Bank die Zahlung automatisch der Bundesbank (§ 67 Außenwirtschaftsverordnung). Das ist kein Hindernis, nur gut zu wissen, damit eine größere Überweisung –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1 € entsprach im September 2026 etwa 1,15 $ (bitte tagesaktuell prüfen). Normale Banküberweisungen ins Ausland haben oft einen versteckt schlechten Wechselkurs zusätzlich zur Gebühr.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größere Beträge lohnt sich der Vergleich: Spezialisierte Dienste wie Wise rechnen meist zum Interbankenkurs plus transparenter Gebühr ab und sind bei größeren Summen oft spürbar günstiger als eine klassische Bank-Überweisung.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Steuerberater finden, der beide Länder kennt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(CPA, den US-Wirtschaftsprüfer mit Steuerbefugnis) oder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einen von der US-Steuerbehörde zugelassenen Steuerfachmann;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nur wenige Kanzleien decken beide Systeme kompetent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 gezielt nach Erfahrung mit § 6 AStG, PFIC, FBAR und dem Doppelbesteuerungsabkommen Deutschland–USA, und lass dir vorab einen Kostenrahmen nennen –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 Angebote lohnen sich, gerade im ersten Jahr. Sinnvoll ist außerdem, den deutschen Steuerberater gleich als Zustellungsbevollmächtigten nach § 123 AO zu benennen, damit Post vom Finanzamt zuverlässig ankommt.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Erbschaftsteuer nach dem Wegzug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Freibeträge und Gestaltungsmöglichkeiten gehören in die langfristige Vorsorgeplanung;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gesetzliche Rente bleibt bestehen und wird weltweit ausgezahlt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Fonds und ETFs werden in den USA zur teuren PFIC</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Doppelbesteuerungsabkommen verhindert doppelte Besteuerung derselben Rente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Depot und Bankkonto können bei US-Wohnsitz eingeschränkt oder gekündigt werden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Rentenbeiträge sichern Wartezeit und Erwerbsminderungsschutz günstig ab</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Wegzugsteuer nach § 6 AStG trifft Unternehmensanteile hart, wenn auch in Raten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Riester läuft während der Ansparphase unbeschränkt weiter</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Steuersysteme bedeuten doppelte Beratungskosten und doppelte Meldepflichten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Bausparvertrag und Lebensversicherung lassen sich oft fortführen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Zweitwohnsitz-Falle kann die unbeschränkte Steuerpflicht ungewollt verlängern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zeitkritischen Punkten: Depot und Fondssparpläne auf PFIC-Risiko prüfen, bevor du steuerlich in den USA ansässig wirst, und bei Unternehmensanteilen ab 1 % die Wegzugsteuer durchrechnen lassen. Kläre parallel, ob eine Wohnung in 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nach dem Wegzug eine nutzbare Wohnung in Deutschland zurückbleibt (Zweitwohnsitz-Falle)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Unternehmensanteilen ab 1 %: Wegzugsteuer nach § 6 AStG mit dem Steuerberater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Depot und Fondssparpläne auf PFIC-Risiko prüfen und vor dem Zuzug entscheiden: verkaufen oder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und Depotbank schriftlich über den künftigen US-Wohnsitz informieren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Rentenversicherungsverlauf klären lassen (Kontenklärung) und neue Anschrift der Deutschen Rentenversicherung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freiwillige Rentenbeiträge sinnvoll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Riester-Vertrag auf den geplanten Zeitpunkt der Auszahlungsphase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vermieteter Immobilie oder einer Immobilie, die noch keine zehn Jahre im Besitz ist: steuerliche Folgen von Vermietung oder Verkauf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Zustellungsbevollmächtigten in Deutschland benennen (§ 123 AO)</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Steuerberater mit Erfahrung im deutsch-amerikanischen Steuerrecht finden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Meldegrenzen für Geldtransfers und Bargeld (50.000 € / 10.000 €) im Kopf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US-Steuerpflichten wie FBAR, Formular 8938 und PFIC mit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abgleichen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3">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Einkommensteuergesetz, Außensteuergesetz, Abgabenordnung</w:t>
      </w:r>
    </w:p>
    <w:p>
      <w:pPr>
        <w:pStyle w:val="ListParagraph"/>
        <w:numPr>
          <w:ilvl w:val="0"/>
          <w:numId w:val="1"/>
        </w:numPr>
        <w:spacing w:lineRule="exact" w:line="288" w:before="0" w:after="60"/>
        <w:rPr/>
      </w:pPr>
      <w:hyperlink r:id="rId164">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 xml:space="preserve"> – Broschüre „Arbeit und Rente in Deutschland und in den USA“</w:t>
      </w:r>
    </w:p>
    <w:p>
      <w:pPr>
        <w:pStyle w:val="ListParagraph"/>
        <w:numPr>
          <w:ilvl w:val="0"/>
          <w:numId w:val="1"/>
        </w:numPr>
        <w:spacing w:lineRule="exact" w:line="288" w:before="0" w:after="60"/>
        <w:rPr/>
      </w:pPr>
      <w:hyperlink r:id="rId165">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 xml:space="preserve"> – FATCA und Erstattung der Kapitalertragsteuer</w:t>
      </w:r>
    </w:p>
    <w:p>
      <w:pPr>
        <w:pStyle w:val="ListParagraph"/>
        <w:numPr>
          <w:ilvl w:val="0"/>
          <w:numId w:val="1"/>
        </w:numPr>
        <w:spacing w:lineRule="exact" w:line="288" w:before="0" w:after="60"/>
        <w:rPr/>
      </w:pPr>
      <w:hyperlink r:id="rId166">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 xml:space="preserve"> – FAQ zur Reform der privaten Altersvorsorge</w:t>
      </w:r>
    </w:p>
    <w:p>
      <w:pPr>
        <w:pStyle w:val="ListParagraph"/>
        <w:numPr>
          <w:ilvl w:val="0"/>
          <w:numId w:val="1"/>
        </w:numPr>
        <w:spacing w:lineRule="exact" w:line="288" w:before="0" w:after="60"/>
        <w:rPr/>
      </w:pPr>
      <w:hyperlink r:id="rId1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 xml:space="preserve"> – Doppelbesteuerungsabkommen Deutschland–USA</w:t>
      </w:r>
    </w:p>
    <w:p>
      <w:pPr>
        <w:pStyle w:val="ListParagraph"/>
        <w:numPr>
          <w:ilvl w:val="0"/>
          <w:numId w:val="1"/>
        </w:numPr>
        <w:spacing w:lineRule="exact" w:line="288" w:before="0" w:after="60"/>
        <w:rPr/>
      </w:pPr>
      <w:hyperlink r:id="rId168">
        <w:r>
          <w:rPr>
            <w:rStyle w:val="ListLabel113"/>
            <w:rFonts w:eastAsia="Cambria" w:cs="Cambria"/>
            <w:b w:val="false"/>
            <w:bCs w:val="false"/>
            <w:i w:val="false"/>
            <w:iCs w:val="false"/>
            <w:color w:val="0563C1"/>
            <w:sz w:val="22"/>
            <w:szCs w:val="22"/>
            <w:u w:val="single"/>
          </w:rPr>
          <w:t>irs.gov/instructions/i8621</w:t>
        </w:r>
      </w:hyperlink>
      <w:r>
        <w:rPr>
          <w:rFonts w:eastAsia="Cambria" w:cs="Cambria"/>
          <w:b w:val="false"/>
          <w:bCs w:val="false"/>
          <w:i w:val="false"/>
          <w:iCs w:val="false"/>
          <w:sz w:val="22"/>
          <w:szCs w:val="22"/>
        </w:rPr>
        <w:t xml:space="preserve"> – Formular 8621 (PFIC)</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Rentenwert, Beitragsbemessungsgrenzen, PFIC-Freigrenzen und die Riester-Reform ändern sich regelmäßig. Prüfe aktuelle Zahlen und Fristen vor jeder Entscheidung auf den offiziellen Seiten oder mit einem Steuerberater.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7" w:name="__RefHeading___Toc56468_3457424410"/>
      <w:bookmarkStart w:id="48" w:name="k18"/>
      <w:bookmarkEnd w:id="47"/>
      <w:r>
        <w:rPr>
          <w:rFonts w:eastAsia="Amazon Ember" w:cs="Amazon Ember" w:ascii="Amazon Ember" w:hAnsi="Amazon Ember"/>
          <w:b/>
          <w:bCs/>
          <w:color w:val="0000FF"/>
          <w:sz w:val="36"/>
          <w:szCs w:val="36"/>
        </w:rPr>
        <w:t>Kapitel 18: Krankenversicherung und Gesundheit vor dem Abflug</w:t>
      </w:r>
      <w:bookmarkEnd w:id="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nach Michigan sitzt Anna Brandt (fiktiv) über zwei Listen: eine für Zahnarzt-, Augen- und Kinderarzttermine, eine für Fristen bei der Krankenkasse. Der neue Arbeitgeber meldet Markus zur Firmen-Krankenversicherung erst mit Arbeitsbeginn an, und bis die Deckung greift, können mehrere Monate vergehen. In dieser Zeit ist die Familie weder in Deutschland noch in den USA automatisch abgesichert. Was mit der deutschen Krankenversicherung beim Wegzug passiert, wie du die Lücke schließt und was du in Sachen Gesundheit vor dem Abflug erledigst, klärt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Pflichtmitgliedschaft in der GKV endet mit dem letzten Arbeitstag; eine freiwillige Mitgliedschaft endet nicht automatisch, sondern erst mit Kündigung und Nachweis einer anderen Absicherung.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Eine Anwartschaft bei GKV oder PKV hält dir die Rückkehr offen, kostet aber laufend Beitrag, ohne dass du davon in den USA etwas hast.</w:t>
            </w:r>
          </w:p>
          <w:p>
            <w:pPr>
              <w:pStyle w:val="ListParagraph"/>
              <w:numPr>
                <w:ilvl w:val="0"/>
                <w:numId w:val="1"/>
              </w:numPr>
              <w:spacing w:lineRule="exact" w:line="264" w:before="0" w:after="50"/>
              <w:rPr/>
            </w:pPr>
            <w:r>
              <w:rPr>
                <w:rFonts w:eastAsia="Cambria" w:cs="Cambria"/>
                <w:b w:val="false"/>
                <w:bCs w:val="false"/>
                <w:i w:val="false"/>
                <w:iCs w:val="false"/>
                <w:sz w:val="20"/>
                <w:szCs w:val="20"/>
              </w:rPr>
              <w:t>Zwischen deutscher Absicherung und dem Start der US-Versicherung liegt oft eine Lücke von mehreren Wochen bis Monaten, die eine Auslandskrankenversicherung überbrücken sollte.</w:t>
            </w:r>
          </w:p>
          <w:p>
            <w:pPr>
              <w:pStyle w:val="ListParagraph"/>
              <w:numPr>
                <w:ilvl w:val="0"/>
                <w:numId w:val="1"/>
              </w:numPr>
              <w:spacing w:lineRule="exact" w:line="264" w:before="0" w:after="50"/>
              <w:rPr/>
            </w:pPr>
            <w:r>
              <w:rPr>
                <w:rFonts w:eastAsia="Cambria" w:cs="Cambria"/>
                <w:b w:val="false"/>
                <w:bCs w:val="false"/>
                <w:i w:val="false"/>
                <w:iCs w:val="false"/>
                <w:sz w:val="20"/>
                <w:szCs w:val="20"/>
              </w:rPr>
              <w:t>Erledige Zahnarzt, Augenarzt, Kinderarzt und größere Vorsorgetermine vor dem Abflug: In den USA sind Zahn- und Augenbehandlung meist separat versichert und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Schulimpfpflichten regelt jeder Bundesstaat selbst; lass den Impfpass übersetzen und rechne mit Nachimpfungen.</w:t>
            </w:r>
          </w:p>
          <w:p>
            <w:pPr>
              <w:pStyle w:val="ListParagraph"/>
              <w:numPr>
                <w:ilvl w:val="0"/>
                <w:numId w:val="1"/>
              </w:numPr>
              <w:spacing w:lineRule="exact" w:line="264" w:before="0" w:after="50"/>
              <w:rPr/>
            </w:pPr>
            <w:r>
              <w:rPr>
                <w:rFonts w:eastAsia="Cambria" w:cs="Cambria"/>
                <w:b w:val="false"/>
                <w:bCs w:val="false"/>
                <w:i w:val="false"/>
                <w:iCs w:val="false"/>
                <w:sz w:val="20"/>
                <w:szCs w:val="20"/>
              </w:rPr>
              <w:t>Bist du 55 oder älter oder verdienst du über der Versicherungspflichtgrenze, denk die Rückkehr in die GKV schon jetzt mit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mit deiner Krankenversicherung passiert, wenn du gehst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Leistungsanspruch der GKV ruht im Ausland. Wer nicht kündigt oder in eine Anwartschaft wechselt, zahlt weiter Beitrag, ohne je eine Leistung dafür zu bekommen.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freiwillige Mitgliedschaft nicht auf Verdacht. Sie wirkt erst mit Nachweis einer anderen Absicherung – kläre zuerst Anwartschaft oder Übergangsversicherung, sonst entsteht eine Lücke ganz ohne Schutz.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Anwartschaft: die Rückkehr offen 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Anwartschaftsversicherung ist kein gesetzlicher Anspruch, sondern ein Angebot der Kassen und Versicherer: Du zahlst einen reduzierten Beitrag dafür, dass du bei der Rückkehr ohne neue Wartezeit und – bei der PKV – ohne neue Gesundheitsprüfung wieder einsteigen kannst. Für die GKV bieten einzelne Kassen, etwa die Techniker Krankenkasse, eine solche Anwartschaft für längere außereuropäische Aufenthalte an, vor allem für Selbständige, freiwillig Versicherte und alle, die sonst bei der Rückkehr Probleme bekämen. Ein Auswanderer-Ratgeber nennt einen Richtwert von rund 70 € im Monat; Rechtsgrundlage, Vorversicherungszeit und Höhe legt aber jede Kasse selbst fest – frag konkret nach den Bedingungen.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PKV unterscheidest du die kleine und die große Anwartschaft. Die kleine friert nur den Gesundheitszustand ein: Du kommst ohne neue Gesundheitsprüfung zurück, zahlst aber nach deinem tatsächlichen Eintrittsalter zum Zeitpunkt der Rückkehr. Sie kostet grob 5 bis 10 % des vollen Tarifbeitrags. Die große Anwartschaft erhält zusätzlich das ursprüngliche Eintrittsalter und die angesparten Alterungsrückstellungen; dafür kostet sie etwa 20 bis 45 % des Tarifbeitrags. Je länger der Auslandsaufenthalt und je wahrscheinlicher eine Rückkehr im höheren Alter, desto eher lohnt sich die teurere Variante.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 nicht erst bei der Rückkehr in einigen Jahren. Das ist der eigentliche Wert der Anwartschaft.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Familienversicherung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Bis dahin gilt dieselbe Lücke wie für die versicherte Person selbst – und dieselbe Lösung: eine Übergangsversicherung.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Lücke überbrücken: Auslandskrankenversicherung als Übergang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 meist eine deutsche Auslandsreise- oder, bei längerer Lücke, eine Langzeit-Auslandskrankenversicherung.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in der Regel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die Personalabteilung des neuen Arbeitgebers ausdrücklich, ob eine Deckung „ab Tag 1“ möglich ist oder ob sich die Wartefrist verkürzen lässt. Jeder Monat, den du so einsparst, ist ein Monat weniger Doppelbeitrag für die Übergangsversicherung.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vor dem Abflug: Zähne, Augen, Kinderarzt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sind Zahn- und Augenbehandlungen für Erwachsene meist nicht Teil der Krankenversicherung, sondern eigene, oft zusätzlich zu zahlende Pläne mit Jahreshöchstleistung und Wartefristen für Zahnersatz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Impfungen und die US-Schulimpfpflicht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welche Impfungen ein Kind für Schule oder Kita braucht, regelt in den USA jeder Bundesstaat selbst, teils ergänzend der Schuldistrikt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Connecticut, Maine, New York und West Virginia; mehrere andere Staaten haben ihre Ausnahmeregeln 2025 und 2026 eher gelockert (Stand September 2026). Die genauen Vorgaben deines künftigen Bundesstaats und Schuldistrikts erfragst du am besten direkt bei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vollständiger deutscher Impfpass wird meist anerkannt, wenn Datum und Impfstoffname erkennbar sind – doch die Dosierschemata der deutschen Ständigen Impfkommission (STIKO) und die US-amerikanischen weichen an einigen Stellen ab. Windpocken (Varizellen) verlangen in den USA meist zwei Dosen, eine Tdap-Auffrischung ist oft erst für die weiterführende Schule fällig. Rechne damit, dass der künftige Kinderarzt nachimpft, auch bei vollständig erfüllten STIKO-Empfehlungen.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Stand September 2026 noch nicht entschieden. Die gesetzlichen Schulimpfpflichten der Bundesstaaten sind davon unabhängig und bislang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lässt Lena (9) und Jonas (5) sechs Wochen vor dem Abflug beim Kinderarzt durchchecken. Beide haben laut Impfpass alle STIKO-Impfungen, doch die künftige Schule in Michigan verlangt eine zweite Varizellen-Dosis, die in Deutschland früher nur einmal üblich war. Jonas findet die zweite Spritze „total unfair“, weil er dachte, das Impfen sei doch längst erledigt gewesen – der Kinderarzt impft trotzdem nach und stellt die Nachweise obendrein auf Englisch aus. Anna lässt den Impfpass beglaubigt übersetzen, weil die Schule ein offizielles Dokument sehen will. Kosten: rund 90 € für die Nachimpfung, 60 € für die Übersetzung.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Impfpass und Krankenakte auf Englisch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Datum und Impfstoffname; eine Apostille verlangt dafür in aller Regel niemand (Einzelheiten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zuerst deine Ärzte, ob sie den Bericht direkt zweisprachig oder auf Englisch ausstellen. Das ist oft günstiger und schneller als eine nachträgliche beglaubigte Übersetzung durch ein externes Büro.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Medikamente: Vorrat, Wirkstoffname, Einfuhr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in der Regel nicht, wohl aber den internationalen Wirkstoffnamen – aus Paracetamol wird dort etwa Acetaminophen, als hätten sich beide Länder stillschweigend auf unterschiedliche Wörter geeinigt.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Rezepten nicht auf den deutschen Handelsnamen. Notiere für jedes Dauermedikament den Wirkstoffnamen und, falls bekannt, die US-Handelsbezeichnung – sonst stehst du in der amerikanischen Apotheke ohne verwertbares Rezept da.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zurück in die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sichert die Rückkehr ohne neue Gesundheitsprüfung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laufend Beitrag, ohne dass du in den USA etwas davon hast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der freiwilligen GKV spart sofort Beitrag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Rückkehr kann an der Versicherungspflichtgrenze, an Selbständigkeit oder am hohen Einreisealter scheitern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große PKV-Anwartschaft erhält Eintrittsalter und Alterungsrückstellungen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teurer als die kleine Variante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Auslandskrankenversicherung schließt die Lücke bis zum US-Start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oft keine Vorerkrankungen, Schwangerschaft oder reine Vorsorge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in Deutschland ist meist günstiger und schneller organisiert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Zeit im ohnehin engen Zeitplan vor dem Abflug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vollständiger, übersetzter Impfpass beschleunigt die Schulanmeldung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US-Schulen verlangen oft zusätzliche Dosen, die STIKO nicht vorsieht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Medikamentenvorrat mit deinem Arzt und besorgst die englischen Rezepte. Sobald das Startdatum der US-Versicherung feststeht, schließt du die Übergangsversicherung passgenau daran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deiner Krankenkasse, ob deine Mitgliedschaft freiwillig oder pflichtig ist und was der Wegzug dafür bedeutet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Beantrage bei Bedarf eine GKV- oder PKV-Anwartschaft, solange du gesund bist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Schließe eine Auslandsreise- oder Langzeit-Auslandskrankenversicherung ab, die an den Start der US-Versicherung anschließt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Vereinbare Termine bei Zahnarzt, Augenarzt und Kinderarzt für die ganze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fehlende oder in den USA zusätzlich verlangte Impfungen nachholen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den Impfpass mit Datum und Impfstoffnamen übersetzen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Bitte deine Ärzte um einen englischen Arztbrief sowie Bildgebung auf CD, USB-Stick oder im Patientenportal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deinem Arzt einen ausreichenden Medikamentenvorrat und lass dir ein englisches Rezept mit Wirkstoffnamen ausstellen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Informiere dich vor der Einreise über Einfuhrregeln für deine konkreten Medikamente bei CBP oder der US-Botschaft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 bei über 55-Jährigen oder Angestellten über der Versicherungspflichtgrenze die Rückkehroption gesondert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9">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SGB V §§ 5, 6, 9, 10, 16, 175, 190, 191; VVG § 193</w:t>
      </w:r>
    </w:p>
    <w:p>
      <w:pPr>
        <w:pStyle w:val="ListParagraph"/>
        <w:numPr>
          <w:ilvl w:val="0"/>
          <w:numId w:val="1"/>
        </w:numPr>
        <w:spacing w:lineRule="exact" w:line="288" w:before="0" w:after="60"/>
        <w:rPr/>
      </w:pPr>
      <w:r>
        <w:rPr>
          <w:rFonts w:eastAsia="Cambria" w:cs="Cambria"/>
          <w:b w:val="false"/>
          <w:bCs w:val="false"/>
          <w:i w:val="false"/>
          <w:iCs w:val="false"/>
          <w:sz w:val="22"/>
          <w:szCs w:val="22"/>
        </w:rPr>
        <w:t>GKV-Spitzenverband — Beitragssätze und Rechengrößen 2026 (</w:t>
      </w:r>
      <w:hyperlink r:id="rId170">
        <w:r>
          <w:rPr>
            <w:rStyle w:val="ListLabel113"/>
            <w:rFonts w:eastAsia="Cambria" w:cs="Cambria"/>
            <w:b w:val="false"/>
            <w:bCs w:val="false"/>
            <w:i w:val="false"/>
            <w:iCs w:val="false"/>
            <w:color w:val="0563C1"/>
            <w:sz w:val="22"/>
            <w:szCs w:val="22"/>
            <w:u w:val="single"/>
          </w:rPr>
          <w:t>gkv-spitzenverband.de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Techniker Krankenkasse — Anwartschaft bei Auslandsaufenthalt (</w:t>
      </w:r>
      <w:hyperlink r:id="rId171">
        <w:r>
          <w:rPr>
            <w:rStyle w:val="ListLabel113"/>
            <w:rFonts w:eastAsia="Cambria" w:cs="Cambria"/>
            <w:b w:val="false"/>
            <w:bCs w:val="false"/>
            <w:i w:val="false"/>
            <w:iCs w:val="false"/>
            <w:color w:val="0563C1"/>
            <w:sz w:val="22"/>
            <w:szCs w:val="22"/>
            <w:u w:val="single"/>
          </w:rPr>
          <w:t>tk.de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School Vaccine Requirements (</w:t>
      </w:r>
      <w:hyperlink r:id="rId172">
        <w:r>
          <w:rPr>
            <w:rStyle w:val="ListLabel113"/>
            <w:rFonts w:eastAsia="Cambria" w:cs="Cambria"/>
            <w:b w:val="false"/>
            <w:bCs w:val="false"/>
            <w:i w:val="false"/>
            <w:iCs w:val="false"/>
            <w:color w:val="0563C1"/>
            <w:sz w:val="22"/>
            <w:szCs w:val="22"/>
            <w:u w:val="single"/>
          </w:rPr>
          <w:t>kff.org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Empfohlener Impfplan für Kinder (</w:t>
      </w:r>
      <w:hyperlink r:id="rId173">
        <w:r>
          <w:rPr>
            <w:rStyle w:val="ListLabel113"/>
            <w:rFonts w:eastAsia="Cambria" w:cs="Cambria"/>
            <w:b w:val="false"/>
            <w:bCs w:val="false"/>
            <w:i w:val="false"/>
            <w:iCs w:val="false"/>
            <w:color w:val="0563C1"/>
            <w:sz w:val="22"/>
            <w:szCs w:val="22"/>
            <w:u w:val="single"/>
          </w:rPr>
          <w:t>cdc.gov/vaccines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 Reisen mit Medikamenten (</w:t>
      </w:r>
      <w:hyperlink r:id="rId174">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GKV-Beitragssätze, Versicherungspflichtgrenze und Anwartschaftskosten ändern sich jährlich; Rechtsgrundlage und Höhe der GKV-Anwartschaft legt jede Kasse selbst fest, die hier genannten 70 € sind nur ein Richtwert. Schulimpfpflichten sind Landesrecht und ändern sich von Schuljahr zu Schuljahr; prüfe sie beim zuständigen Schuldistrikt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bevor du planst.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9" w:name="__RefHeading___Toc56470_3457424410"/>
      <w:bookmarkStart w:id="50" w:name="k19"/>
      <w:bookmarkEnd w:id="49"/>
      <w:r>
        <w:rPr>
          <w:rFonts w:eastAsia="Amazon Ember" w:cs="Amazon Ember" w:ascii="Amazon Ember" w:hAnsi="Amazon Ember"/>
          <w:b/>
          <w:bCs/>
          <w:color w:val="0000FF"/>
          <w:sz w:val="36"/>
          <w:szCs w:val="36"/>
        </w:rPr>
        <w:t>Kapitel 19: Dokumente, Übersetzungen, Apostillen</w:t>
      </w:r>
      <w:bookmarkEnd w:id="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das sich in Deutschland mit einem Besuch beim Standesamt besorgen ließe, aus den USA aber nur mit Wochen Wartezeit. Dieses Kapitel zeigt, welche Unterlagen du wofür brauchst, wann Apostille und Übersetzung nötig sind und in welcher Reihenfolge du vorgehst.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Petition und Visum genügt meist eine vollständige englische Übersetzung mit Erklärung des Übersetzers; „vereidigt“ verlangt USCIS nicht. Eine Apostille brauchst du nur, wenn eine US-Stelle sie ausdrücklich fordert.</w:t>
            </w:r>
          </w:p>
          <w:p>
            <w:pPr>
              <w:pStyle w:val="ListParagraph"/>
              <w:numPr>
                <w:ilvl w:val="0"/>
                <w:numId w:val="1"/>
              </w:numPr>
              <w:spacing w:lineRule="exact" w:line="264" w:before="0" w:after="50"/>
              <w:rPr/>
            </w:pPr>
            <w:r>
              <w:rPr>
                <w:rFonts w:eastAsia="Cambria" w:cs="Cambria"/>
                <w:b w:val="false"/>
                <w:bCs w:val="false"/>
                <w:i w:val="false"/>
                <w:iCs w:val="false"/>
                <w:sz w:val="20"/>
                <w:szCs w:val="20"/>
              </w:rPr>
              <w:t>Apostillen stellen Landes- oder Bundesbehörden aus: meist 15–40 €, Dauer je nach Land etwa zwei bis zehn Wochen. Konsulate stellen keine aus.</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Bewertungsgutachten für deinen Abschluss (WES oder ECE, ca. 110–240 $) ist für H-1B das wichtigste Papier. Es muss vor der Registrierung im März stehen.</w:t>
            </w:r>
          </w:p>
          <w:p>
            <w:pPr>
              <w:pStyle w:val="ListParagraph"/>
              <w:numPr>
                <w:ilvl w:val="0"/>
                <w:numId w:val="1"/>
              </w:numPr>
              <w:spacing w:lineRule="exact" w:line="264" w:before="0" w:after="50"/>
              <w:rPr/>
            </w:pPr>
            <w:r>
              <w:rPr>
                <w:rFonts w:eastAsia="Cambria" w:cs="Cambria"/>
                <w:b w:val="false"/>
                <w:bCs w:val="false"/>
                <w:i w:val="false"/>
                <w:iCs w:val="false"/>
                <w:sz w:val="20"/>
                <w:szCs w:val="20"/>
              </w:rPr>
              <w:t>Ärzte, Pflegekräfte, Lehrer, Handwerker und Ingenieure mit Prüfverantwortung brauchen eine Lizenz des Bundesstaats. Der Vorlauf reicht von Monaten bis zu Jahren.</w:t>
            </w:r>
          </w:p>
          <w:p>
            <w:pPr>
              <w:pStyle w:val="ListParagraph"/>
              <w:numPr>
                <w:ilvl w:val="0"/>
                <w:numId w:val="1"/>
              </w:numPr>
              <w:spacing w:lineRule="exact" w:line="264" w:before="0" w:after="50"/>
              <w:rPr/>
            </w:pPr>
            <w:r>
              <w:rPr>
                <w:rFonts w:eastAsia="Cambria" w:cs="Cambria"/>
                <w:b w:val="false"/>
                <w:bCs w:val="false"/>
                <w:i w:val="false"/>
                <w:iCs w:val="false"/>
                <w:sz w:val="20"/>
                <w:szCs w:val="20"/>
              </w:rPr>
              <w:t>Reisepässe müssen den ganzen Aufenthalt abdecken; Kinderreisepässe gibt es nicht mehr. Erneuere im Inland, bevor du das Visum beantragst.</w:t>
            </w:r>
          </w:p>
          <w:p>
            <w:pPr>
              <w:pStyle w:val="ListParagraph"/>
              <w:numPr>
                <w:ilvl w:val="0"/>
                <w:numId w:val="1"/>
              </w:numPr>
              <w:spacing w:lineRule="exact" w:line="264" w:before="0" w:after="50"/>
              <w:rPr/>
            </w:pPr>
            <w:r>
              <w:rPr>
                <w:rFonts w:eastAsia="Cambria" w:cs="Cambria"/>
                <w:b w:val="false"/>
                <w:bCs w:val="false"/>
                <w:i w:val="false"/>
                <w:iCs w:val="false"/>
                <w:sz w:val="20"/>
                <w:szCs w:val="20"/>
              </w:rPr>
              <w:t>Originale gehören ins Handgepäck, Scans verschlüsselt in die Cloud.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Dokumentenliste: was du wofür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378"/>
        <w:gridCol w:w="1511"/>
        <w:gridCol w:w="1007"/>
        <w:gridCol w:w="1583"/>
      </w:tblGrid>
      <w:tr>
        <w:trPr>
          <w:tblHeader w:val="true"/>
          <w:cantSplit w:val="true"/>
        </w:trPr>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15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10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Apostille/Übersetzung</w:t>
            </w:r>
          </w:p>
        </w:tc>
        <w:tc>
          <w:tcPr>
            <w:tcW w:w="15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Kosten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jede Person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Visum, Einreise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3–4 Wochen, Express 3 Werktage; 70 € (ab 24 Jahren), 37,50 € (darunter)</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Geburts- und Heiratsurkunde (internationale Ausfertigung)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H-4-Visum, Green Card, Schule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auf Verlangen; Apostille nur, wenn gefordert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meist 10–15 € je Urkunde; Dauer erfragen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 und Zeugnisse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nur auf Verlangen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beglaubigte Kopien beim Hochschulsekretariat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Hochschule,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mehrere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Arbeitszeugnisse, Arbeitsverträge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 belegen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Arbeitgeber anfordern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Konsularverfahren, Lizenzen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über das BfAA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 Apostille ab 22 €;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Fahren, Ausweis, Versicherung</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Bundesstaat verschieden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 mitnehmen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der Kinder</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Arzt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die Schule entscheidet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Arztpraxis, 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Steuerbescheide, Gehaltsabrechnungen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Mietbewerbung, Kredit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nur auf Anfrage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Kopien der letzten Jahre</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SF-Klassen-Nachweis (Schadenfreiheitsbescheinigung)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US-Autoversicherung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englische Fassung anfordern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Versicherer; Anerkennung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Einkommensnachweise helfen später bei Miete und Kredit, denn dein deutscher Schufa-Score gilt in den USA nicht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Apostille: Echtheitsvermerk für Sonderfälle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USCIS-Anforderungen aber meist gar nicht nötig (Stand September 2026); frag die Kanzlei, bevor du bestellst. Fordern kann sie jede US-Stelle, die deutsche Urkunden prüfen will – etwa eine Lizenzbehörde, ein Gericht oder eine Hochschule.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sie ausstellt, hängt von der Urkunde ab:</w:t>
      </w:r>
    </w:p>
    <w:p>
      <w:pPr>
        <w:pStyle w:val="ListParagraph"/>
        <w:numPr>
          <w:ilvl w:val="0"/>
          <w:numId w:val="1"/>
        </w:numPr>
        <w:spacing w:lineRule="exact" w:line="288" w:before="0" w:after="60"/>
        <w:rPr/>
      </w:pPr>
      <w:r>
        <w:rPr>
          <w:rFonts w:eastAsia="Cambria" w:cs="Cambria"/>
          <w:b w:val="false"/>
          <w:bCs w:val="false"/>
          <w:i w:val="false"/>
          <w:iCs w:val="false"/>
          <w:sz w:val="22"/>
          <w:szCs w:val="22"/>
        </w:rPr>
        <w:t>Notarielle Urkunden: die Präsidentin oder der Präsident des Landgerichts.</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Personenstandsurkunden (Geburt, Heirat): Regierungspräsidium, Bezirksregierung oder Landesministerium, je nach Bundesland.</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Bundesurkunden wie das Führungszeugnis: das Bundesamt für Auswärtige Angelegenheiten (BfAA) in Brandenburg an der Havel, nach Vorbeglaubigung durch die ausstellende Bundesbehörde; 22 € je Beglaubigung seit 1. Juli 2025.</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Botschaften und Konsulate: stellen keine Apostillen aus.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US-Urkunden, etwa die Geburtsurkunde eines dort geborenen Kindes: der </w:t>
      </w:r>
      <w:r>
        <w:rPr>
          <w:rFonts w:eastAsia="Cambria" w:cs="Cambria"/>
          <w:b w:val="false"/>
          <w:bCs w:val="false"/>
          <w:i/>
          <w:iCs/>
          <w:sz w:val="22"/>
          <w:szCs w:val="22"/>
        </w:rPr>
        <w:t>Secretary of State</w:t>
      </w:r>
      <w:r>
        <w:rPr>
          <w:rFonts w:eastAsia="Cambria" w:cs="Cambria"/>
          <w:b w:val="false"/>
          <w:bCs w:val="false"/>
          <w:i w:val="false"/>
          <w:iCs w:val="false"/>
          <w:sz w:val="22"/>
          <w:szCs w:val="22"/>
        </w:rPr>
        <w:t xml:space="preserve"> des Bundesstaats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Apostille gehört zu genau einer Urkunde; brauchst du sie für mehrere Stellen, sind mehrere Ausfertigungen nötig. Bestelle sie nicht auf Verdacht, aber starte sofort, wenn eine US-Stelle sie schriftlich fordert: Bis zu zehn Wochen sind realistisch.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Geburts- und Heiratsurkunden als mehrsprachige internationale Ausfertigung beim Standesamt des Geburts- oder Heiratsorts, gleich zwei- bis dreimal – das Auswärtige Amt empfiehlt sie für die USA. Konsulate stellen sie nicht aus, und jede Nachbestellung kostet Gebühr und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Übersetzungen: was USCIS und das Konsulat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w:t>
      </w:r>
      <w:r>
        <w:rPr>
          <w:rFonts w:eastAsia="Cambria" w:cs="Cambria"/>
          <w:b w:val="false"/>
          <w:bCs w:val="false"/>
          <w:i/>
          <w:iCs/>
          <w:sz w:val="22"/>
          <w:szCs w:val="22"/>
        </w:rPr>
        <w:t>Certificate of Accuracy</w:t>
      </w:r>
      <w:r>
        <w:rPr>
          <w:rFonts w:eastAsia="Cambria" w:cs="Cambria"/>
          <w:b w:val="false"/>
          <w:bCs w:val="false"/>
          <w:i w:val="false"/>
          <w:iCs w:val="false"/>
          <w:sz w:val="22"/>
          <w:szCs w:val="22"/>
        </w:rPr>
        <w:t>) mit Name, Anschrift, Datum und Unterschrift des Übersetzers. Ratsam ist ein unabhängiger Übersetzer oder ein Übersetzungsbüro, nicht du selbst oder Verwandte.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Zeugnisse sind Fachtexte. Hole von zwei Büros Angebote mit Scans ein (abgerechnet wird meist pro Seite oder Normzeile), gib die Notenskala mit an und lass gleich mehrere Ausfertigungen anfertigen.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Namen exakt wie im Reisepass schreiben, mit Umlauten und dem richtigen Namen (Geburts- oder Ehename). Weichen Zeugnisse, Urkunden und Pass voneinander ab, dient die Heiratsurkunde als Brücke. Abweichungen zwischen DS-160, Petition und Belegen können Nachfragen auslösen.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Polizeizeugnisse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Petition und Visum brauchst du meist keins. Verlangt wird es bei der Green Card im Konsularverfahren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bei manchen Lizenzen und bei Arbeitgebern mit Hintergrundprüfung (</w:t>
      </w:r>
      <w:r>
        <w:rPr>
          <w:rFonts w:eastAsia="Cambria" w:cs="Cambria"/>
          <w:b w:val="false"/>
          <w:bCs w:val="false"/>
          <w:i/>
          <w:iCs/>
          <w:sz w:val="22"/>
          <w:szCs w:val="22"/>
        </w:rPr>
        <w:t>Background Check</w:t>
      </w:r>
      <w:r>
        <w:rPr>
          <w:rFonts w:eastAsia="Cambria" w:cs="Cambria"/>
          <w:b w:val="false"/>
          <w:bCs w:val="false"/>
          <w:i w:val="false"/>
          <w:iCs w:val="false"/>
          <w:sz w:val="22"/>
          <w:szCs w:val="22"/>
        </w:rPr>
        <w:t>). Beantragst du die Green Card im Inland (Form I-485), fordert USCIS Polizei- und Gerichtsakten nur bei Festnahmen, Anklagen oder Verurteilungen.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beantragst du das Zeugnis bei der Meldebehörde oder online über fuehrungszeugnis.bund.de;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brauchen alle ab 16 Jahren ein Polizeizeugnis, soweit erhältlich, nach 22 CFR 42.65 auch aus anderen Ländern: aus dem aktuellen Wohnland ab sechs Monaten Aufenthalt, aus früheren Wohnländern ab einem Jahr. Wer im Ausland studiert oder gearbeitet hat, fragt diese Register früh an. Wie aktuell ein Zeugnis sein darf, steht in der Checkliste deines Verfahrens.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Diplom-Bewertung: WES, ECE und die H-1B-Gleichwertigkeit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muss dein Abschluss einem US-Bachelor oder mehr entsprechen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deutsches Zeugnis sagt einer US-Behörde wenig; deshalb legt die Kanzlei meist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vor – von einem 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Anbieter unterscheiden zwei Varianten. Die dokumentenbasierte Bewertung (</w:t>
      </w:r>
      <w:r>
        <w:rPr>
          <w:rFonts w:eastAsia="Cambria" w:cs="Cambria"/>
          <w:b w:val="false"/>
          <w:bCs w:val="false"/>
          <w:i/>
          <w:iCs/>
          <w:sz w:val="22"/>
          <w:szCs w:val="22"/>
        </w:rPr>
        <w:t>Document-by-Document</w:t>
      </w:r>
      <w:r>
        <w:rPr>
          <w:rFonts w:eastAsia="Cambria" w:cs="Cambria"/>
          <w:b w:val="false"/>
          <w:bCs w:val="false"/>
          <w:i w:val="false"/>
          <w:iCs w:val="false"/>
          <w:sz w:val="22"/>
          <w:szCs w:val="22"/>
        </w:rPr>
        <w:t>) nennt Abschluss und Gleichwertigkeit. Die Fach-für-Fach-Bewertung (</w:t>
      </w:r>
      <w:r>
        <w:rPr>
          <w:rFonts w:eastAsia="Cambria" w:cs="Cambria"/>
          <w:b w:val="false"/>
          <w:bCs w:val="false"/>
          <w:i/>
          <w:iCs/>
          <w:sz w:val="22"/>
          <w:szCs w:val="22"/>
        </w:rPr>
        <w:t>Course-by-Course</w:t>
      </w:r>
      <w:r>
        <w:rPr>
          <w:rFonts w:eastAsia="Cambria" w:cs="Cambria"/>
          <w:b w:val="false"/>
          <w:bCs w:val="false"/>
          <w:i w:val="false"/>
          <w:iCs w:val="false"/>
          <w:sz w:val="22"/>
          <w:szCs w:val="22"/>
        </w:rPr>
        <w:t>) listet zusätzlich Fächer, Credits und Notendurchschnitt; Hochschulen und Lizenzbehörden verlangen meist sie. Welche Variante sinnvoll ist, klärt die Kanzlei.</w:t>
      </w:r>
    </w:p>
    <w:tbl>
      <w:tblPr>
        <w:tblW w:w="6480" w:type="dxa"/>
        <w:jc w:val="left"/>
        <w:tblInd w:w="0" w:type="dxa"/>
        <w:tblLayout w:type="fixed"/>
        <w:tblCellMar>
          <w:top w:w="50" w:type="dxa"/>
          <w:left w:w="80" w:type="dxa"/>
          <w:bottom w:w="50" w:type="dxa"/>
          <w:right w:w="80" w:type="dxa"/>
        </w:tblCellMar>
      </w:tblPr>
      <w:tblGrid>
        <w:gridCol w:w="2415"/>
        <w:gridCol w:w="1649"/>
        <w:gridCol w:w="2416"/>
      </w:tblGrid>
      <w:tr>
        <w:trPr>
          <w:tblHeader w:val="true"/>
          <w:cantSplit w:val="true"/>
        </w:trPr>
        <w:tc>
          <w:tcPr>
            <w:tcW w:w="24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Variante</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WES</w:t>
            </w:r>
          </w:p>
        </w:tc>
        <w:tc>
          <w:tcPr>
            <w:tcW w:w="2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ECE</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Dokumentenbasiert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118 $ (ICAP-Paket 171 $)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110 $ (mit Notendurchschnitt 135 $)</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 für Fach</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186 $ (ICAP-Paket 239 $)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bekommt im Dezember die Zusage, mitten im Weihnachtstrubel, und macht sich noch am selben Abend eine Liste. Das Hochschulsekretariat schickt nach drei Wochen beglaubigte Zeugniskopien, ein Übersetzungsbüro liefert nach einer weiteren Woche die englischen Fassungen. Die Kanzlei beauftragt eine Fach-für-Fach-Bewertung bei ECE (199 $, vom Arbeitgeber bezahlt) und legt sie im Februar in die Akte. Ende März steht das Ergebnis der Registrierung fest, und Sabine muss keine Unterlage mehr suchen.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Berufsanerkennung: Lizenzen sind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gibt es keine zentrale Anerkennung ausländischer Abschlüsse –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tbl>
      <w:tblPr>
        <w:tblW w:w="6480" w:type="dxa"/>
        <w:jc w:val="left"/>
        <w:tblInd w:w="0" w:type="dxa"/>
        <w:tblLayout w:type="fixed"/>
        <w:tblCellMar>
          <w:top w:w="50" w:type="dxa"/>
          <w:left w:w="80" w:type="dxa"/>
          <w:bottom w:w="50" w:type="dxa"/>
          <w:right w:w="80" w:type="dxa"/>
        </w:tblCellMar>
      </w:tblPr>
      <w:tblGrid>
        <w:gridCol w:w="1093"/>
        <w:gridCol w:w="2100"/>
        <w:gridCol w:w="1552"/>
        <w:gridCol w:w="173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21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verlangt wird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viele Industriejobs keine Lizenz; wer Pläne verantwortlich abzeichnet (Bau, Versorger, Beratung), braucht die PE-Lizenz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Lizenzbehörde des Bundesstaats, NCEES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4 Jahre Berufserfahrung nach dem Studium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USMLE Step 1 und Step 2 CK, Englischtest OET Medicine; danach Weiterbildungsstelle und Landeslizenz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ECFMG, </w:t>
            </w:r>
            <w:r>
              <w:rPr>
                <w:rFonts w:eastAsia="Cambria" w:cs="Cambria"/>
                <w:b w:val="false"/>
                <w:bCs w:val="false"/>
                <w:i/>
                <w:iCs/>
                <w:sz w:val="18"/>
                <w:szCs w:val="18"/>
              </w:rPr>
              <w:t>State Medical Board</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Approbation ersetzt keine US-Lizenz</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 und Therapie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VisaScreen für neun Gesundheitsberufe, Englischtest; Pflege zusätzlich NCLEX-RN oder TruMerit-Prüfung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TruMerit (früher CGFNS), </w:t>
            </w:r>
            <w:r>
              <w:rPr>
                <w:rFonts w:eastAsia="Cambria" w:cs="Cambria"/>
                <w:b w:val="false"/>
                <w:bCs w:val="false"/>
                <w:i/>
                <w:iCs/>
                <w:sz w:val="18"/>
                <w:szCs w:val="18"/>
              </w:rPr>
              <w:t>Board of Nursing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NCLEX-Testzentrum in Deutschland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Lehrerlizenz des Bundesstaats, meist mit Zeugnisbewertung und Fachprüfungen</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unterscheiden sich stark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 (Elektro, Sanitär, Klima)</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je Bundesstaat, teils je Kommune; Prüfung und Berufsjahre</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Lizenzstelle von Staat oder Kommune</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deutscher Abschlüsse je Behörde verschieden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Kürzeln: ECFMG prüft und zertifiziert im Ausland ausgebildete Ärzte, USMLE ist die US-Ärzteprüfung, OET ein Englischtest für Medizinberufe, NCLEX-RN die Pflegeprüfung, PE die Ingenieurlizenz (</w:t>
      </w:r>
      <w:r>
        <w:rPr>
          <w:rFonts w:eastAsia="Cambria" w:cs="Cambria"/>
          <w:b w:val="false"/>
          <w:bCs w:val="false"/>
          <w:i/>
          <w:iCs/>
          <w:sz w:val="22"/>
          <w:szCs w:val="22"/>
        </w:rPr>
        <w:t>Professional Engineer</w:t>
      </w:r>
      <w:r>
        <w:rPr>
          <w:rFonts w:eastAsia="Cambria" w:cs="Cambria"/>
          <w:b w:val="false"/>
          <w:bCs w:val="false"/>
          <w:i w:val="false"/>
          <w:iCs w:val="false"/>
          <w:sz w:val="22"/>
          <w:szCs w:val="22"/>
        </w:rP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über das Vergabeverfahren </w:t>
      </w:r>
      <w:r>
        <w:rPr>
          <w:rFonts w:eastAsia="Cambria" w:cs="Cambria"/>
          <w:b w:val="false"/>
          <w:bCs w:val="false"/>
          <w:i/>
          <w:iCs/>
          <w:sz w:val="22"/>
          <w:szCs w:val="22"/>
        </w:rPr>
        <w:t>Match</w:t>
      </w:r>
      <w:r>
        <w:rPr>
          <w:rFonts w:eastAsia="Cambria" w:cs="Cambria"/>
          <w:b w:val="false"/>
          <w:bCs w:val="false"/>
          <w:i w:val="false"/>
          <w:iCs w:val="false"/>
          <w:sz w:val="22"/>
          <w:szCs w:val="22"/>
        </w:rPr>
        <w:t>; das Visum dafür ist ein eigenes Thema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Die ECFMG veröffentlicht ihre Anforderungen jährlich neu (ecfmg.org/certification-pathways). Für Pflege nennt TruMerit die Unterlagen; die NCLEX-Prüfung legst du außerhalb Deutschlands ab, etwa in Frankreich, Spanien oder Großbritannien.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ist keine Berufserlaubnis. Auch mit H-1B darfst du einen lizenzpflichtigen Beruf erst ausüben, wenn der Bundesstaat die Lizenz erteilt hat. Frage die Lizenzbehörde des Ziel-Bundesstaats früh nach Fahrplan, Prüfungen und Gebühren.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Reisepass: Gültigkeit, Termine und Kinderpässe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Läuft ein Pass in den ersten Jahren in den USA ab, erneuere ihn vorher. Das Visum klebt im Pass; nach einem Passwechsel trägst du beide Pässe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auch die Zustimmung des anderen Elternteils oder eine gerichtliche Entscheidung.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prüft im November die Pässe. Markus’ Pass läuft in zwei Jahren ab, mitten in der ersten Visumsperiode, also erneuert er ihn vorab (70 €). Lena (9) und Jonas (5) haben Kinderreisepässe von 2023; beide Eltern beantragen zwei ePässe (2 × 37,50 €) – Jonas posiert beim Passfototermin todernst wie ein kleiner Weltraumreisender, was ein brauchbares Foto erst im dritten Anlauf zulässt. Beim Standesamt bestellt Anna Heiratsurkunde und beide Geburtsurkunden in internationaler Ausfertigung, jeweils doppelt. Mit Passfotos zahlen die Brandts rund 240 €. Erst mit den neuen Pässen buchen sie den Konsulatstermin, damit die richtigen Passnummern im Online-Visumantrag (DS-160) stehen.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Originale, Kopien, digitale 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kann Wochen nach dir eintreffen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Kopien der wichtigsten Unterlagen packst du getrennt ins Aufgabegepäck.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Apostille, Übersetzung und Bewertung sind drei verschiedene Dinge. Die Apostille bestätigt Echtheit, die Übersetzung schafft Verständlichkeit, die Bewertung belegt Gleichwertigkeit. Jede Stelle fordert nur das, was sie braucht; frage nach, statt alles auf Vorrat zu machen.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und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dem H-1B-Weg; bei anderen Wegen gilt derselbe Grundsatz: Pässe und Bewertung vor dem Antrag.</w:t>
      </w:r>
    </w:p>
    <w:tbl>
      <w:tblPr>
        <w:tblW w:w="6480" w:type="dxa"/>
        <w:jc w:val="left"/>
        <w:tblInd w:w="0" w:type="dxa"/>
        <w:tblLayout w:type="fixed"/>
        <w:tblCellMar>
          <w:top w:w="50" w:type="dxa"/>
          <w:left w:w="80" w:type="dxa"/>
          <w:bottom w:w="50" w:type="dxa"/>
          <w:right w:w="80" w:type="dxa"/>
        </w:tblCellMar>
      </w:tblPr>
      <w:tblGrid>
        <w:gridCol w:w="2264"/>
        <w:gridCol w:w="2443"/>
        <w:gridCol w:w="1773"/>
      </w:tblGrid>
      <w:tr>
        <w:trPr>
          <w:tblHeader w:val="true"/>
          <w:cantSplit w:val="true"/>
        </w:trPr>
        <w:tc>
          <w:tcPr>
            <w:tcW w:w="2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w:t>
            </w:r>
          </w:p>
        </w:tc>
        <w:tc>
          <w:tcPr>
            <w:tcW w:w="1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Vorlauf und Kosten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Sobald der Entschluss steht</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prüfen, Urkunden bestellen, Zeugnisse anfordern, Lizenzweg klären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und Hochschule: Wochen; Lizenzen: Monate bis Jahre</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Ende Februar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und Übersetzungen fertig; Passdaten an die Kanzlei</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meist Arbeitgeber</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Auswahl, vor dem Konsulatstermin</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erneuern, Apostillen und Führungszeugnis, soweit gefordert</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 3–4 Wochen; Apostille 2–10 Wochen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Wochen vor Abflug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SF-Nachweis übersetzen lassen; Scans; Ordner packen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nach Angebot</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Abflugtag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Mappe mit Originalen ins Handgepäck</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Dokumente früh besorgen und vorbereiten:</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Behördenwartezeiten von bis zu zehn Wochen fallen nicht in die heiße Phase vor dem Termin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und Übersetzungen kosten Geld, auch wenn niemand sie verlangt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Unterlagen deckt Visum, Schule, Lizenz und Mietbewerbung ab</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Stellen wollen neuere Ausfertigungen als die auf Vorrat besorgten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Originalen im Handgepäck und Scans in der Cloud überstehst du auch einen verspäteten Container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Ordner im Handgepäck ist ein Verlustrisiko; Scans erfordern sauberen Umgang mit Zugangsdaten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Kanzlei erkennt Lücken (Studienjahre, Lizenz) rechtzeitig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Anforderungen zeigen sich erst im Verfahren, etwa durch eine Nachforderung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Ablaufdaten aller Reisepässe notieren; bei kurzer Restgültigkeit vor Registrierung und Visumantrag in Deutschland erneuern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jedes Kind einen ePass beantragen (der Kinderreisepass genügt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der Kanzlei klären, welche Unterlagen USCIS und Konsulat sehen wollen und ob eine Apostille gefordert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und Arbeitszeugnisse beschaffen; Zeugnisbewertung vor der März-Registrierung beauftragen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 und Heiratsurkunden als internationale Ausfertigung bestellen, zwei- bis dreimal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Übersetzer mit Bescheinigung beauftragen; Namen exakt wie im Pass schreiben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Führungszeugnis beantragen (13 €) und Vorlauf für die Apostille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lizenzpflichtigem Beruf die Behörde des Ziel-Bundesstaats kontaktieren und einen Fahrplan erstellen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Schulzeugnisse, SF-Nachweis und Steuerbescheide bereitlegen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Alles scannen, verschlüsselt speichern und eine Kopie bei einer Vertrauensperson hinterlegen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in die Handgepäck-Mappe legen, nicht in den Container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und Vertretungen — Pässe, Beurkundungen, Führungszeugnis (</w:t>
      </w:r>
      <w:hyperlink r:id="rId175">
        <w:r>
          <w:rPr>
            <w:rStyle w:val="ListLabel113"/>
            <w:rFonts w:eastAsia="Cambria" w:cs="Cambria"/>
            <w:b w:val="false"/>
            <w:bCs w:val="false"/>
            <w:i w:val="false"/>
            <w:iCs w:val="false"/>
            <w:color w:val="0563C1"/>
            <w:sz w:val="22"/>
            <w:szCs w:val="22"/>
            <w:u w:val="single"/>
          </w:rPr>
          <w:t>germany.info/us-de/service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Auswärtige Angelegenheiten — Apostillen für Bundesbehörden (</w:t>
      </w:r>
      <w:hyperlink r:id="rId176">
        <w:r>
          <w:rPr>
            <w:rStyle w:val="ListLabel113"/>
            <w:rFonts w:eastAsia="Cambria" w:cs="Cambria"/>
            <w:b w:val="false"/>
            <w:bCs w:val="false"/>
            <w:i w:val="false"/>
            <w:iCs w:val="false"/>
            <w:color w:val="0563C1"/>
            <w:sz w:val="22"/>
            <w:szCs w:val="22"/>
            <w:u w:val="single"/>
          </w:rPr>
          <w:t>bfaa.diplo.de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Justiz — Führungszeugnis, Antrag aus dem Ausland (</w:t>
      </w:r>
      <w:hyperlink r:id="rId177">
        <w:r>
          <w:rPr>
            <w:rStyle w:val="ListLabel113"/>
            <w:rFonts w:eastAsia="Cambria" w:cs="Cambria"/>
            <w:b w:val="false"/>
            <w:bCs w:val="false"/>
            <w:i w:val="false"/>
            <w:iCs w:val="false"/>
            <w:color w:val="0563C1"/>
            <w:sz w:val="22"/>
            <w:szCs w:val="22"/>
            <w:u w:val="single"/>
          </w:rPr>
          <w:t>bundesjustizamt.de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Übersetzungen und Nachweise (</w:t>
      </w:r>
      <w:hyperlink r:id="rId178">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xml:space="preserve">; 8 CFR 103.2 unter </w:t>
      </w:r>
      <w:hyperlink r:id="rId179">
        <w:r>
          <w:rPr>
            <w:rStyle w:val="ListLabel113"/>
            <w:rFonts w:eastAsia="Cambria" w:cs="Cambria"/>
            <w:b w:val="false"/>
            <w:bCs w:val="false"/>
            <w:i w:val="false"/>
            <w:iCs w:val="false"/>
            <w:color w:val="0563C1"/>
            <w:sz w:val="22"/>
            <w:szCs w:val="22"/>
            <w:u w:val="single"/>
          </w:rPr>
          <w:t>law.cornell.edu/cfr/text/8/103.2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US-Außenministerium — Civil Documents FAQs (</w:t>
      </w:r>
      <w:hyperlink r:id="rId180">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Suche „civil documents“)</w:t>
      </w:r>
    </w:p>
    <w:p>
      <w:pPr>
        <w:pStyle w:val="ListParagraph"/>
        <w:numPr>
          <w:ilvl w:val="0"/>
          <w:numId w:val="1"/>
        </w:numPr>
        <w:spacing w:lineRule="exact" w:line="288" w:before="0" w:after="60"/>
        <w:rPr/>
      </w:pPr>
      <w:r>
        <w:rPr>
          <w:rFonts w:eastAsia="Cambria" w:cs="Cambria"/>
          <w:b w:val="false"/>
          <w:bCs w:val="false"/>
          <w:i w:val="false"/>
          <w:iCs w:val="false"/>
          <w:sz w:val="22"/>
          <w:szCs w:val="22"/>
        </w:rPr>
        <w:t>WES und ECE — Zeugnisbewertung (</w:t>
      </w:r>
      <w:hyperlink r:id="rId181">
        <w:r>
          <w:rPr>
            <w:rStyle w:val="ListLabel113"/>
            <w:rFonts w:eastAsia="Cambria" w:cs="Cambria"/>
            <w:b w:val="false"/>
            <w:bCs w:val="false"/>
            <w:i w:val="false"/>
            <w:iCs w:val="false"/>
            <w:color w:val="0563C1"/>
            <w:sz w:val="22"/>
            <w:szCs w:val="22"/>
            <w:u w:val="single"/>
          </w:rPr>
          <w:t>wes.org/evaluations</w:t>
        </w:r>
      </w:hyperlink>
      <w:r>
        <w:rPr>
          <w:rFonts w:eastAsia="Cambria" w:cs="Cambria"/>
          <w:b w:val="false"/>
          <w:bCs w:val="false"/>
          <w:i w:val="false"/>
          <w:iCs w:val="false"/>
          <w:sz w:val="22"/>
          <w:szCs w:val="22"/>
        </w:rPr>
        <w:t xml:space="preserve">, </w:t>
      </w:r>
      <w:hyperlink r:id="rId182">
        <w:r>
          <w:rPr>
            <w:rStyle w:val="ListLabel113"/>
            <w:rFonts w:eastAsia="Cambria" w:cs="Cambria"/>
            <w:b w:val="false"/>
            <w:bCs w:val="false"/>
            <w:i w:val="false"/>
            <w:iCs w:val="false"/>
            <w:color w:val="0563C1"/>
            <w:sz w:val="22"/>
            <w:szCs w:val="22"/>
            <w:u w:val="single"/>
          </w:rPr>
          <w:t>ece.org</w:t>
        </w:r>
      </w:hyperlink>
      <w:r>
        <w:rPr>
          <w:rFonts w:eastAsia="Cambria" w:cs="Cambria"/>
          <w:b w:val="false"/>
          <w:bCs w:val="false"/>
          <w:i w:val="false"/>
          <w:iCs w:val="false"/>
          <w:sz w:val="22"/>
          <w:szCs w:val="22"/>
        </w:rPr>
        <w:t>); Mitglieder von NACES (</w:t>
      </w:r>
      <w:hyperlink r:id="rId183">
        <w:r>
          <w:rPr>
            <w:rStyle w:val="ListLabel113"/>
            <w:rFonts w:eastAsia="Cambria" w:cs="Cambria"/>
            <w:b w:val="false"/>
            <w:bCs w:val="false"/>
            <w:i w:val="false"/>
            <w:iCs w:val="false"/>
            <w:color w:val="0563C1"/>
            <w:sz w:val="22"/>
            <w:szCs w:val="22"/>
            <w:u w:val="single"/>
          </w:rPr>
          <w:t>naces.org/members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NCEES, ECFMG, TruMerit — Ingenieure, Ärzte, Pflege (</w:t>
      </w:r>
      <w:hyperlink r:id="rId184">
        <w:r>
          <w:rPr>
            <w:rStyle w:val="ListLabel113"/>
            <w:rFonts w:eastAsia="Cambria" w:cs="Cambria"/>
            <w:b w:val="false"/>
            <w:bCs w:val="false"/>
            <w:i w:val="false"/>
            <w:iCs w:val="false"/>
            <w:color w:val="0563C1"/>
            <w:sz w:val="22"/>
            <w:szCs w:val="22"/>
            <w:u w:val="single"/>
          </w:rPr>
          <w:t>ncees.org/engineering/pe</w:t>
        </w:r>
      </w:hyperlink>
      <w:r>
        <w:rPr>
          <w:rFonts w:eastAsia="Cambria" w:cs="Cambria"/>
          <w:b w:val="false"/>
          <w:bCs w:val="false"/>
          <w:i w:val="false"/>
          <w:iCs w:val="false"/>
          <w:sz w:val="22"/>
          <w:szCs w:val="22"/>
        </w:rPr>
        <w:t xml:space="preserve">, </w:t>
      </w:r>
      <w:hyperlink r:id="rId185">
        <w:r>
          <w:rPr>
            <w:rStyle w:val="ListLabel113"/>
            <w:rFonts w:eastAsia="Cambria" w:cs="Cambria"/>
            <w:b w:val="false"/>
            <w:bCs w:val="false"/>
            <w:i w:val="false"/>
            <w:iCs w:val="false"/>
            <w:color w:val="0563C1"/>
            <w:sz w:val="22"/>
            <w:szCs w:val="22"/>
            <w:u w:val="single"/>
          </w:rPr>
          <w:t>ecfmg.org/certification-pathways</w:t>
        </w:r>
      </w:hyperlink>
      <w:r>
        <w:rPr>
          <w:rFonts w:eastAsia="Cambria" w:cs="Cambria"/>
          <w:b w:val="false"/>
          <w:bCs w:val="false"/>
          <w:i w:val="false"/>
          <w:iCs w:val="false"/>
          <w:sz w:val="22"/>
          <w:szCs w:val="22"/>
        </w:rPr>
        <w:t xml:space="preserve">, </w:t>
      </w:r>
      <w:hyperlink r:id="rId186">
        <w:r>
          <w:rPr>
            <w:rStyle w:val="ListLabel113"/>
            <w:rFonts w:eastAsia="Cambria" w:cs="Cambria"/>
            <w:b w:val="false"/>
            <w:bCs w:val="false"/>
            <w:i w:val="false"/>
            <w:iCs w:val="false"/>
            <w:color w:val="0563C1"/>
            <w:sz w:val="22"/>
            <w:szCs w:val="22"/>
            <w:u w:val="single"/>
          </w:rPr>
          <w:t>trumerit.org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NCLEX — Prüfung für Pflegekräfte (</w:t>
      </w:r>
      <w:hyperlink r:id="rId187">
        <w:r>
          <w:rPr>
            <w:rStyle w:val="ListLabel113"/>
            <w:rFonts w:eastAsia="Cambria" w:cs="Cambria"/>
            <w:b w:val="false"/>
            <w:bCs w:val="false"/>
            <w:i w:val="false"/>
            <w:iCs w:val="false"/>
            <w:color w:val="0563C1"/>
            <w:sz w:val="22"/>
            <w:szCs w:val="22"/>
            <w:u w:val="single"/>
          </w:rPr>
          <w:t>nclex.com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Gebühren von WES und ECE (WES kündigte 3 % mehr ab 1. Januar 2026 an), 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tc>
      </w:tr>
    </w:tbl>
    <w:p>
      <w:pPr>
        <w:sectPr>
          <w:footerReference w:type="even" r:id="rId188"/>
          <w:footerReference w:type="default" r:id="rId189"/>
          <w:footerReference w:type="first" r:id="rId190"/>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1" w:name="__RefHeading___Toc56472_3457424410"/>
      <w:bookmarkEnd w:id="51"/>
      <w:r>
        <w:rPr>
          <w:rFonts w:eastAsia="Amazon Ember" w:cs="Amazon Ember" w:ascii="Amazon Ember" w:hAnsi="Amazon Ember"/>
          <w:b/>
          <w:bCs/>
          <w:color w:val="0000FF"/>
        </w:rPr>
        <w:t>TEIL V — Der Umzug</w:t>
      </w:r>
    </w:p>
    <w:p>
      <w:pPr>
        <w:sectPr>
          <w:footerReference w:type="even" r:id="rId191"/>
          <w:footerReference w:type="default" r:id="rId192"/>
          <w:footerReference w:type="first" r:id="rId193"/>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Container, Koffer oder Neuanfang? Wie du Umzugskosten senkst, was in den Container gehört und was du drüben günstiger kaufst.</w:t>
      </w:r>
      <w:r>
        <w:br w:type="page"/>
      </w:r>
    </w:p>
    <w:p>
      <w:pPr>
        <w:pStyle w:val="Heading2"/>
        <w:keepNext w:val="true"/>
        <w:spacing w:lineRule="exact" w:line="340" w:before="0" w:after="300"/>
        <w:jc w:val="center"/>
        <w:rPr/>
      </w:pPr>
      <w:bookmarkStart w:id="52" w:name="__RefHeading___Toc56474_3457424410"/>
      <w:bookmarkStart w:id="53" w:name="k20"/>
      <w:bookmarkEnd w:id="52"/>
      <w:r>
        <w:rPr>
          <w:rFonts w:eastAsia="Amazon Ember" w:cs="Amazon Ember" w:ascii="Amazon Ember" w:hAnsi="Amazon Ember"/>
          <w:b/>
          <w:bCs/>
          <w:color w:val="0000FF"/>
          <w:sz w:val="36"/>
          <w:szCs w:val="36"/>
        </w:rPr>
        <w:t>Kapitel 20: Container, Luftfracht oder Koffer: Umzug planen und Kosten sparen</w:t>
      </w:r>
      <w:bookmarkEnd w:id="5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 nur dass die eigene Waschmaschine drüben ohnehin nicht funktioniert.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Du hast fünf Wege: Koffer, Paket, Luftfracht, Sammelladung und eigener Container. Ab Deutschland kostet eine Sammelladung 2.500–6.000 €, ein 20-ft-Container 4.000–7.500 € (Anbieterspannen 2026, meist ohne Zustellung in den USA).</w:t>
            </w:r>
          </w:p>
          <w:p>
            <w:pPr>
              <w:pStyle w:val="ListParagraph"/>
              <w:numPr>
                <w:ilvl w:val="0"/>
                <w:numId w:val="1"/>
              </w:numPr>
              <w:spacing w:lineRule="exact" w:line="264" w:before="0" w:after="50"/>
              <w:rPr/>
            </w:pPr>
            <w:r>
              <w:rPr>
                <w:rFonts w:eastAsia="Cambria" w:cs="Cambria"/>
                <w:b w:val="false"/>
                <w:bCs w:val="false"/>
                <w:i w:val="false"/>
                <w:iCs w:val="false"/>
                <w:sz w:val="20"/>
                <w:szCs w:val="20"/>
              </w:rPr>
              <w:t>Per Schiff dauert es von Tür zu Tür vier bis zwölf Wochen. Plane eine Übergangslösung ohne Möbel ein.</w:t>
            </w:r>
          </w:p>
          <w:p>
            <w:pPr>
              <w:pStyle w:val="ListParagraph"/>
              <w:numPr>
                <w:ilvl w:val="0"/>
                <w:numId w:val="1"/>
              </w:numPr>
              <w:spacing w:lineRule="exact" w:line="264" w:before="0" w:after="50"/>
              <w:rPr/>
            </w:pPr>
            <w:r>
              <w:rPr>
                <w:rFonts w:eastAsia="Cambria" w:cs="Cambria"/>
                <w:b w:val="false"/>
                <w:bCs w:val="false"/>
                <w:i w:val="false"/>
                <w:iCs w:val="false"/>
                <w:sz w:val="20"/>
                <w:szCs w:val="20"/>
              </w:rPr>
              <w:t>Zollfrei (</w:t>
            </w:r>
            <w:r>
              <w:rPr>
                <w:rFonts w:eastAsia="Cambria" w:cs="Cambria"/>
                <w:b w:val="false"/>
                <w:bCs w:val="false"/>
                <w:i/>
                <w:iCs/>
                <w:sz w:val="20"/>
                <w:szCs w:val="20"/>
              </w:rPr>
              <w:t>Free Entry</w:t>
            </w:r>
            <w:r>
              <w:rPr>
                <w:rFonts w:eastAsia="Cambria" w:cs="Cambria"/>
                <w:b w:val="false"/>
                <w:bCs w:val="false"/>
                <w:i w:val="false"/>
                <w:iCs w:val="false"/>
                <w:sz w:val="20"/>
                <w:szCs w:val="20"/>
              </w:rPr>
              <w:t xml:space="preserve">) kommt nur Gebrauchtes ins Land, das du mindestens ein Jahr genutzt hast. Dazu gehören die Zollerklärung </w:t>
            </w:r>
            <w:r>
              <w:rPr>
                <w:rFonts w:eastAsia="Cambria" w:cs="Cambria"/>
                <w:b w:val="false"/>
                <w:bCs w:val="false"/>
                <w:i/>
                <w:iCs/>
                <w:sz w:val="20"/>
                <w:szCs w:val="20"/>
              </w:rPr>
              <w:t>CBP Form 3299</w:t>
            </w:r>
            <w:r>
              <w:rPr>
                <w:rFonts w:eastAsia="Cambria" w:cs="Cambria"/>
                <w:b w:val="false"/>
                <w:bCs w:val="false"/>
                <w:i w:val="false"/>
                <w:iCs w:val="false"/>
                <w:sz w:val="20"/>
                <w:szCs w:val="20"/>
              </w:rPr>
              <w:t xml:space="preserve"> des US-Grenzschutzes CBP und eine englische Inventarliste; Neuware, Lebensmittel, Pflanzen und ungestempeltes Holz sind 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Zahlt der Arbeitgeber den Umzug, ist das in den USA steuerpflichtiger Lohn. Ein </w:t>
            </w:r>
            <w:r>
              <w:rPr>
                <w:rFonts w:eastAsia="Cambria" w:cs="Cambria"/>
                <w:b w:val="false"/>
                <w:bCs w:val="false"/>
                <w:i/>
                <w:iCs/>
                <w:sz w:val="20"/>
                <w:szCs w:val="20"/>
              </w:rPr>
              <w:t>Gross-up</w:t>
            </w:r>
            <w:r>
              <w:rPr>
                <w:rFonts w:eastAsia="Cambria" w:cs="Cambria"/>
                <w:b w:val="false"/>
                <w:bCs w:val="false"/>
                <w:i w:val="false"/>
                <w:iCs w:val="false"/>
                <w:sz w:val="20"/>
                <w:szCs w:val="20"/>
              </w:rPr>
              <w:t xml:space="preserve"> (Aufstockung, damit netto der volle Betrag ankommt) verteuert die Leistung für ihn um etwa 30–55 %: Verhandle brutto und netto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Sparen kannst du mit weniger Volumen, Nebensaison, Sammelladung statt eigenem Container, Selbstpacken und einem Festpreis bis zur Haustür.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tbl>
      <w:tblPr>
        <w:tblW w:w="6480" w:type="dxa"/>
        <w:jc w:val="left"/>
        <w:tblInd w:w="0" w:type="dxa"/>
        <w:tblLayout w:type="fixed"/>
        <w:tblCellMar>
          <w:top w:w="50" w:type="dxa"/>
          <w:left w:w="80" w:type="dxa"/>
          <w:bottom w:w="50" w:type="dxa"/>
          <w:right w:w="80" w:type="dxa"/>
        </w:tblCellMar>
      </w:tblPr>
      <w:tblGrid>
        <w:gridCol w:w="1649"/>
        <w:gridCol w:w="1887"/>
        <w:gridCol w:w="1649"/>
        <w:gridCol w:w="1294"/>
      </w:tblGrid>
      <w:tr>
        <w:trPr>
          <w:tblHeader w:val="true"/>
          <w:cantSplit w:val="true"/>
        </w:trPr>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Geeignet für</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(Fluggepäck)</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Dokumente, Technik, Unersetzliches</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Freigepäck des Tarifs, Zusatzgepäck nach Preisliste der Airline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fliegt mit dir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(DHL)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Kartons, Dringendes; bis 31,5 kg je Paket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kg: 142,99 €, 31,5 kg: 207,99 €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6–12 Werktage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Luftfracht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Dringendes, wenige Kubikmeter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5–12 € je kg; 2 m³ etwa 1.200–2.200 €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als See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(LCL) oder Liftvan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10–20 m³ (LCL), 4,85 m³ (Liftvan)</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LCL 2.500–6.000 €, Liftvan 2.000–3.000 €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20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28–33 m³, zwei bis drei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4.000–7.500 €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40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55–68 m³, vier bis sechs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7.500–14.000 €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Sammelladung (</w:t>
      </w:r>
      <w:r>
        <w:rPr>
          <w:rFonts w:eastAsia="Cambria" w:cs="Cambria"/>
          <w:b w:val="false"/>
          <w:bCs w:val="false"/>
          <w:i/>
          <w:iCs/>
          <w:sz w:val="22"/>
          <w:szCs w:val="22"/>
        </w:rPr>
        <w:t>Less than Container Load</w:t>
      </w:r>
      <w:r>
        <w:rPr>
          <w:rFonts w:eastAsia="Cambria" w:cs="Cambria"/>
          <w:b w:val="false"/>
          <w:bCs w:val="false"/>
          <w:i w:val="false"/>
          <w:iCs w:val="false"/>
          <w:sz w:val="22"/>
          <w:szCs w:val="22"/>
        </w:rPr>
        <w:t>, LCL) teilst du den Container mit anderen Kunden und zahlst nach Kubikmetern, rund 250–300 € je m³ (eigene Rechnung aus den Portalspannen). Nach der Faustregel der Portale ist LCL bis etwa 15 m³ günstiger, darüber der eigene 20-ft-Container (</w:t>
      </w:r>
      <w:r>
        <w:rPr>
          <w:rFonts w:eastAsia="Cambria" w:cs="Cambria"/>
          <w:b w:val="false"/>
          <w:bCs w:val="false"/>
          <w:i/>
          <w:iCs/>
          <w:sz w:val="22"/>
          <w:szCs w:val="22"/>
        </w:rPr>
        <w:t>Full Container Load</w:t>
      </w:r>
      <w:r>
        <w:rPr>
          <w:rFonts w:eastAsia="Cambria" w:cs="Cambria"/>
          <w:b w:val="false"/>
          <w:bCs w:val="false"/>
          <w:i w:val="false"/>
          <w:iCs w:val="false"/>
          <w:sz w:val="22"/>
          <w:szCs w:val="22"/>
        </w:rPr>
        <w:t xml:space="preserve">, FCL). Ein </w:t>
      </w:r>
      <w:r>
        <w:rPr>
          <w:rFonts w:eastAsia="Cambria" w:cs="Cambria"/>
          <w:b w:val="false"/>
          <w:bCs w:val="false"/>
          <w:i/>
          <w:iCs/>
          <w:sz w:val="22"/>
          <w:szCs w:val="22"/>
        </w:rPr>
        <w:t>Liftvan</w:t>
      </w:r>
      <w:r>
        <w:rPr>
          <w:rFonts w:eastAsia="Cambria" w:cs="Cambria"/>
          <w:b w:val="false"/>
          <w:bCs w:val="false"/>
          <w:i w:val="false"/>
          <w:iCs w:val="false"/>
          <w:sz w:val="22"/>
          <w:szCs w:val="22"/>
        </w:rPr>
        <w:t xml:space="preserve"> ist eine Transportkiste von rund 4,85 m³ für kleine Haushalte.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zieht von München nach Seattle. Sie fliegt mit zwei Koffern und schickt vorab vier Kartons à 20 kg per DHL-Paket: 4 × 142,99 € = 571,96 € (Preise 09/2026, sechs bis zwölf Werktage). Am Check-in-Schalter schiebt sie den zweiten Koffer noch einmal auf die Waage – randvoll, aber unter dem Limit. Möbel nimmt sie nicht mit; schon ein Liftvan hätte 2.000–3.000 € gekostet. Für eine 1BR rechnet sie mit 7.000–12.000 $ für Neuware mittlerer Qualität, mit IKEA und Gebrauchtem 40–60 % weniger, also grob 2.800–7.200 $.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in den Container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rFonts w:eastAsia="Cambria" w:cs="Cambria"/>
          <w:b w:val="false"/>
          <w:bCs w:val="false"/>
          <w:i/>
          <w:iCs/>
          <w:sz w:val="22"/>
          <w:szCs w:val="22"/>
        </w:rPr>
        <w:t>1BR</w:t>
      </w:r>
      <w:r>
        <w:rPr>
          <w:rFonts w:eastAsia="Cambria" w:cs="Cambria"/>
          <w:b w:val="false"/>
          <w:bCs w:val="false"/>
          <w:i w:val="false"/>
          <w:iCs w:val="false"/>
          <w:sz w:val="22"/>
          <w:szCs w:val="22"/>
        </w:rPr>
        <w:t>, einer Zweizimmerwohnung nach deutscher Zählung: Anbieter nennen dafür 7.000–12.000 $ in mittlerer Qualität, mit IKEA und Gebrauchtmöbeln 40–60 % weniger. Zur groben Orientierung: 1 € entsprach im September 2026 etwa 1,15 $ (bitte tagesaktuell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schon einmal umgezogen ist, denkt oft, die eigenen Möbel seien im neuen Zuhause billiger als neue – man hat sie ja bereits bezahlt. Beim Übersee-Umzug zählt aber nur, was der Transport zusätzlich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Haustiere reisen nicht im Umzugsgut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Kubikmeter im Container kostet rund 250–300 €. Nimm nur mit, was in den USA mehr kostet oder nicht zu ersetzen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Spedition wählen und Angebote vergleichen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w:t>
      </w:r>
    </w:p>
    <w:p>
      <w:pPr>
        <w:pStyle w:val="ListParagraph"/>
        <w:numPr>
          <w:ilvl w:val="0"/>
          <w:numId w:val="1"/>
        </w:numPr>
        <w:spacing w:lineRule="exact" w:line="288" w:before="0" w:after="60"/>
        <w:rPr/>
      </w:pPr>
      <w:r>
        <w:rPr>
          <w:rFonts w:eastAsia="Cambria" w:cs="Cambria"/>
          <w:b/>
          <w:bCs/>
          <w:i w:val="false"/>
          <w:iCs w:val="false"/>
          <w:sz w:val="22"/>
          <w:szCs w:val="22"/>
        </w:rPr>
        <w:t>Drei Angebote,</w:t>
      </w:r>
      <w:r>
        <w:rPr>
          <w:rFonts w:eastAsia="Cambria" w:cs="Cambria"/>
          <w:b w:val="false"/>
          <w:bCs w:val="false"/>
          <w:i w:val="false"/>
          <w:iCs w:val="false"/>
          <w:sz w:val="22"/>
          <w:szCs w:val="22"/>
        </w:rPr>
        <w:t xml:space="preserve"> jeweils nach Besichtigung vor Ort oder per Video-Survey (Rundgang per Videoanruf) – telefonische Schätzungen taugen nicht zum Vergleich.</w:t>
      </w:r>
    </w:p>
    <w:p>
      <w:pPr>
        <w:pStyle w:val="ListParagraph"/>
        <w:numPr>
          <w:ilvl w:val="0"/>
          <w:numId w:val="1"/>
        </w:numPr>
        <w:spacing w:lineRule="exact" w:line="288" w:before="0" w:after="60"/>
        <w:rPr/>
      </w:pPr>
      <w:r>
        <w:rPr>
          <w:rFonts w:eastAsia="Cambria" w:cs="Cambria"/>
          <w:b/>
          <w:bCs/>
          <w:i w:val="false"/>
          <w:iCs w:val="false"/>
          <w:sz w:val="22"/>
          <w:szCs w:val="22"/>
        </w:rPr>
        <w:t>Verbindlicher Festpreis</w:t>
      </w:r>
      <w:r>
        <w:rPr>
          <w:rFonts w:eastAsia="Cambria" w:cs="Cambria"/>
          <w:b w:val="false"/>
          <w:bCs w:val="false"/>
          <w:i w:val="false"/>
          <w:iCs w:val="false"/>
          <w:sz w:val="22"/>
          <w:szCs w:val="22"/>
        </w:rPr>
        <w:t xml:space="preserve"> statt Schätzung, schriftlich und mit gleichem Leistungsumfang bei allen Anbietern.</w:t>
      </w:r>
    </w:p>
    <w:p>
      <w:pPr>
        <w:pStyle w:val="ListParagraph"/>
        <w:numPr>
          <w:ilvl w:val="0"/>
          <w:numId w:val="1"/>
        </w:numPr>
        <w:spacing w:lineRule="exact" w:line="288" w:before="0" w:after="60"/>
        <w:rPr/>
      </w:pPr>
      <w:r>
        <w:rPr>
          <w:rFonts w:eastAsia="Cambria" w:cs="Cambria"/>
          <w:b/>
          <w:bCs/>
          <w:i w:val="false"/>
          <w:iCs w:val="false"/>
          <w:sz w:val="22"/>
          <w:szCs w:val="22"/>
        </w:rPr>
        <w:t>Qualitätsnachweise:</w:t>
      </w:r>
      <w:r>
        <w:rPr>
          <w:rFonts w:eastAsia="Cambria" w:cs="Cambria"/>
          <w:b w:val="false"/>
          <w:bCs w:val="false"/>
          <w:i w:val="false"/>
          <w:iCs w:val="false"/>
          <w:sz w:val="22"/>
          <w:szCs w:val="22"/>
        </w:rPr>
        <w:t xml:space="preserve"> </w:t>
      </w:r>
      <w:r>
        <w:rPr>
          <w:rFonts w:eastAsia="Cambria" w:cs="Cambria"/>
          <w:b w:val="false"/>
          <w:bCs w:val="false"/>
          <w:i/>
          <w:iCs/>
          <w:sz w:val="22"/>
          <w:szCs w:val="22"/>
        </w:rPr>
        <w:t>FIDI-FAIM</w:t>
      </w:r>
      <w:r>
        <w:rPr>
          <w:rFonts w:eastAsia="Cambria" w:cs="Cambria"/>
          <w:b w:val="false"/>
          <w:bCs w:val="false"/>
          <w:i w:val="false"/>
          <w:iCs w:val="false"/>
          <w:sz w:val="22"/>
          <w:szCs w:val="22"/>
        </w:rPr>
        <w:t xml:space="preserve"> (</w:t>
      </w:r>
      <w:r>
        <w:rPr>
          <w:rFonts w:eastAsia="Cambria" w:cs="Cambria"/>
          <w:b w:val="false"/>
          <w:bCs w:val="false"/>
          <w:i/>
          <w:iCs/>
          <w:sz w:val="22"/>
          <w:szCs w:val="22"/>
        </w:rPr>
        <w:t>FIDI Accredited International Mover</w:t>
      </w:r>
      <w:r>
        <w:rPr>
          <w:rFonts w:eastAsia="Cambria" w:cs="Cambria"/>
          <w:b w:val="false"/>
          <w:bCs w:val="false"/>
          <w:i w:val="false"/>
          <w:iCs w:val="false"/>
          <w:sz w:val="22"/>
          <w:szCs w:val="22"/>
        </w:rPr>
        <w:t xml:space="preserve">, Qualitätslabel des Umzugsverbands FIDI; Mitgliederliste auf fidi.org), auf US-Seite das Siegel </w:t>
      </w:r>
      <w:r>
        <w:rPr>
          <w:rFonts w:eastAsia="Cambria" w:cs="Cambria"/>
          <w:b w:val="false"/>
          <w:bCs w:val="false"/>
          <w:i/>
          <w:iCs/>
          <w:sz w:val="22"/>
          <w:szCs w:val="22"/>
        </w:rPr>
        <w:t>AMSA ProMover</w:t>
      </w:r>
      <w:r>
        <w:rPr>
          <w:rFonts w:eastAsia="Cambria" w:cs="Cambria"/>
          <w:b w:val="false"/>
          <w:bCs w:val="false"/>
          <w:i w:val="false"/>
          <w:iCs w:val="false"/>
          <w:sz w:val="22"/>
          <w:szCs w:val="22"/>
        </w:rPr>
        <w:t xml:space="preserve"> sowie USDOT- und MC-Nummer des Frachtführers, nachschlagbar bei der Bundesbehörde FMCSA (Aufsicht über den Lkw-Verkehr).</w:t>
      </w:r>
    </w:p>
    <w:p>
      <w:pPr>
        <w:pStyle w:val="ListParagraph"/>
        <w:numPr>
          <w:ilvl w:val="0"/>
          <w:numId w:val="1"/>
        </w:numPr>
        <w:spacing w:lineRule="exact" w:line="288" w:before="0" w:after="60"/>
        <w:rPr/>
      </w:pPr>
      <w:r>
        <w:rPr>
          <w:rFonts w:eastAsia="Cambria" w:cs="Cambria"/>
          <w:b/>
          <w:bCs/>
          <w:i w:val="false"/>
          <w:iCs w:val="false"/>
          <w:sz w:val="22"/>
          <w:szCs w:val="22"/>
        </w:rPr>
        <w:t>Zahlung</w:t>
      </w:r>
      <w:r>
        <w:rPr>
          <w:rFonts w:eastAsia="Cambria" w:cs="Cambria"/>
          <w:b w:val="false"/>
          <w:bCs w:val="false"/>
          <w:i w:val="false"/>
          <w:iCs w:val="false"/>
          <w:sz w:val="22"/>
          <w:szCs w:val="22"/>
        </w:rPr>
        <w:t xml:space="preserve"> nie komplett im Voraus; kläre, wann die Restzahlung fällig wird.</w:t>
      </w:r>
    </w:p>
    <w:p>
      <w:pPr>
        <w:pStyle w:val="ListParagraph"/>
        <w:numPr>
          <w:ilvl w:val="0"/>
          <w:numId w:val="1"/>
        </w:numPr>
        <w:spacing w:lineRule="exact" w:line="288" w:before="0" w:after="60"/>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Buche sechs bis acht Wochen vor der Verladung, aber verbindlich erst, wenn das Visum im Pass steht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Zeitleiste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Preis ist noch kein Preis bis zur Haustür. Zustellung Hafen–Haus, Zollabfertigung durch den Zollagenten (</w:t>
            </w:r>
            <w:r>
              <w:rPr>
                <w:rFonts w:eastAsia="Cambria" w:cs="Cambria"/>
                <w:b w:val="false"/>
                <w:bCs w:val="false"/>
                <w:i/>
                <w:iCs/>
                <w:sz w:val="20"/>
                <w:szCs w:val="20"/>
              </w:rPr>
              <w:t>Customs Broker</w:t>
            </w:r>
            <w:r>
              <w:rPr>
                <w:rFonts w:eastAsia="Cambria" w:cs="Cambria"/>
                <w:b w:val="false"/>
                <w:bCs w:val="false"/>
                <w:i w:val="false"/>
                <w:iCs w:val="false"/>
                <w:sz w:val="20"/>
                <w:szCs w:val="20"/>
              </w:rPr>
              <w:t>), Zuschläge für Treppen und lange Tragewege, Auspacken und Lagerung fehlen in Portalangeboten oft. Diese Posten schwanken stark: Lass dir jeden einzeln beziffern und vergleiche nur Tür-zu-Tür-Festpreise.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USA: zollfreie Einfuhr des Umzugsguts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Zoll- und Grenzschutzbehörde </w:t>
      </w:r>
      <w:r>
        <w:rPr>
          <w:rFonts w:eastAsia="Cambria" w:cs="Cambria"/>
          <w:b w:val="false"/>
          <w:bCs w:val="false"/>
          <w:i/>
          <w:iCs/>
          <w:sz w:val="22"/>
          <w:szCs w:val="22"/>
        </w:rPr>
        <w:t>U.S. Customs and Border Protection</w:t>
      </w:r>
      <w:r>
        <w:rPr>
          <w:rFonts w:eastAsia="Cambria" w:cs="Cambria"/>
          <w:b w:val="false"/>
          <w:bCs w:val="false"/>
          <w:i w:val="false"/>
          <w:iCs w:val="false"/>
          <w:sz w:val="22"/>
          <w:szCs w:val="22"/>
        </w:rPr>
        <w:t xml:space="preserve"> (CBP) lässt gebrauchten Hausrat zollfrei ins Land (</w:t>
      </w:r>
      <w:r>
        <w:rPr>
          <w:rFonts w:eastAsia="Cambria" w:cs="Cambria"/>
          <w:b w:val="false"/>
          <w:bCs w:val="false"/>
          <w:i/>
          <w:iCs/>
          <w:sz w:val="22"/>
          <w:szCs w:val="22"/>
        </w:rPr>
        <w:t>Free Entry</w:t>
      </w:r>
      <w:r>
        <w:rPr>
          <w:rFonts w:eastAsia="Cambria" w:cs="Cambria"/>
          <w:b w:val="false"/>
          <w:bCs w:val="false"/>
          <w:i w:val="false"/>
          <w:iCs w:val="false"/>
          <w:sz w:val="22"/>
          <w:szCs w:val="22"/>
        </w:rPr>
        <w:t>), wenn drei Bedingungen erfüllt sind (19 CFR 148.52, die einschlägige Vorschrift der US-Zollregeln):</w:t>
      </w:r>
    </w:p>
    <w:p>
      <w:pPr>
        <w:pStyle w:val="ListParagraph"/>
        <w:numPr>
          <w:ilvl w:val="0"/>
          <w:numId w:val="1"/>
        </w:numPr>
        <w:spacing w:lineRule="exact" w:line="288" w:before="0" w:after="60"/>
        <w:rPr/>
      </w:pPr>
      <w:r>
        <w:rPr>
          <w:rFonts w:eastAsia="Cambria" w:cs="Cambria"/>
          <w:b w:val="false"/>
          <w:bCs w:val="false"/>
          <w:i w:val="false"/>
          <w:iCs w:val="false"/>
          <w:sz w:val="22"/>
          <w:szCs w:val="22"/>
        </w:rPr>
        <w:t>Du oder deine Familie habt die Gegenstände im Ausland mindestens ein Jahr genutzt. Das Jahr muss weder zusammenhängend sein noch unmittelbar vor der Einfuhr liegen.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Sachen sind für den eigenen Haushalt bestimmt, nicht für Dritte und nicht zum Verkauf.</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Du erklärst sie auf </w:t>
      </w:r>
      <w:r>
        <w:rPr>
          <w:rFonts w:eastAsia="Cambria" w:cs="Cambria"/>
          <w:b w:val="false"/>
          <w:bCs w:val="false"/>
          <w:i/>
          <w:iCs/>
          <w:sz w:val="22"/>
          <w:szCs w:val="22"/>
        </w:rPr>
        <w:t>CBP Form 3299</w:t>
      </w:r>
      <w:r>
        <w:rPr>
          <w:rFonts w:eastAsia="Cambria" w:cs="Cambria"/>
          <w:b w:val="false"/>
          <w:bCs w:val="false"/>
          <w:i w:val="false"/>
          <w:iCs w:val="false"/>
          <w:sz w:val="22"/>
          <w:szCs w:val="22"/>
        </w:rPr>
        <w:t xml:space="preserve"> („Declaration for Free Entry of Unaccompanied Articles“, Zollerklärung für unbegleitetes Umzugsgut) oder in einem elektronischen Äquivalent.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Matratze vom Frühjahr, das im Sommer gekaufte Sofa: unter einem Jahr genutzt heißt verzollbar. Deklariere ehrlich, denn das Formular warnt, dass alle Angaben geprüft werden und falsche oder fehlende Angaben Strafen nach sich ziehen können. Neuware gehört nicht in den Container; auf Polstermöbel und Küchenschränke kommt zudem ein Zusatzzoll von etwa 25 % (Section 232, Stand 2026).</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läuft die Abwicklung:</w:t>
      </w:r>
    </w:p>
    <w:p>
      <w:pPr>
        <w:pStyle w:val="ListParagraph"/>
        <w:numPr>
          <w:ilvl w:val="0"/>
          <w:numId w:val="135"/>
        </w:numPr>
        <w:spacing w:lineRule="exact" w:line="288" w:before="0" w:after="60"/>
        <w:rPr/>
      </w:pPr>
      <w:r>
        <w:rPr>
          <w:rFonts w:eastAsia="Cambria" w:cs="Cambria"/>
          <w:b/>
          <w:bCs/>
          <w:i w:val="false"/>
          <w:iCs w:val="false"/>
          <w:sz w:val="22"/>
          <w:szCs w:val="22"/>
        </w:rPr>
        <w:t>Inventarliste</w:t>
      </w:r>
      <w:r>
        <w:rPr>
          <w:rFonts w:eastAsia="Cambria" w:cs="Cambria"/>
          <w:b w:val="false"/>
          <w:bCs w:val="false"/>
          <w:i w:val="false"/>
          <w:iCs w:val="false"/>
          <w:sz w:val="22"/>
          <w:szCs w:val="22"/>
        </w:rPr>
        <w:t xml:space="preserve"> (Packliste) auf Englisch: Karton für Karton nummeriert, mit Inhalt und Wert. Sie dient Zoll und Versicherung; die Spedition liefert meist eine Vorlage.</w:t>
      </w:r>
    </w:p>
    <w:p>
      <w:pPr>
        <w:pStyle w:val="ListParagraph"/>
        <w:numPr>
          <w:ilvl w:val="0"/>
          <w:numId w:val="136"/>
        </w:numPr>
        <w:spacing w:lineRule="exact" w:line="288" w:before="0" w:after="60"/>
        <w:rPr/>
      </w:pPr>
      <w:r>
        <w:rPr>
          <w:rFonts w:eastAsia="Cambria" w:cs="Cambria"/>
          <w:b/>
          <w:bCs/>
          <w:i w:val="false"/>
          <w:iCs w:val="false"/>
          <w:sz w:val="22"/>
          <w:szCs w:val="22"/>
        </w:rPr>
        <w:t>Zollagent:</w:t>
      </w:r>
      <w:r>
        <w:rPr>
          <w:rFonts w:eastAsia="Cambria" w:cs="Cambria"/>
          <w:b w:val="false"/>
          <w:bCs w:val="false"/>
          <w:i w:val="false"/>
          <w:iCs w:val="false"/>
          <w:sz w:val="22"/>
          <w:szCs w:val="22"/>
        </w:rPr>
        <w:t xml:space="preserve"> Er wird meist über die Spedition gestellt und braucht eine Vollmacht, deinen Reisepass, Visum und I-94 (den elektronischen Einreise- und Aufenthaltsnachweis) oder die Green Card und das Inventar.</w:t>
      </w:r>
    </w:p>
    <w:p>
      <w:pPr>
        <w:pStyle w:val="ListParagraph"/>
        <w:numPr>
          <w:ilvl w:val="0"/>
          <w:numId w:val="137"/>
        </w:numPr>
        <w:spacing w:lineRule="exact" w:line="288" w:before="0" w:after="60"/>
        <w:rPr/>
      </w:pPr>
      <w:r>
        <w:rPr>
          <w:rFonts w:eastAsia="Cambria" w:cs="Cambria"/>
          <w:b/>
          <w:bCs/>
          <w:i w:val="false"/>
          <w:iCs w:val="false"/>
          <w:sz w:val="22"/>
          <w:szCs w:val="22"/>
        </w:rPr>
        <w:t>Form 3299:</w:t>
      </w:r>
      <w:r>
        <w:rPr>
          <w:rFonts w:eastAsia="Cambria" w:cs="Cambria"/>
          <w:b w:val="false"/>
          <w:bCs w:val="false"/>
          <w:i w:val="false"/>
          <w:iCs w:val="false"/>
          <w:sz w:val="22"/>
          <w:szCs w:val="22"/>
        </w:rPr>
        <w:t xml:space="preserve"> Teil I füllen alle aus, Teil II fragt nach deinem Aufenthaltsstatus. Welches Kästchen zu deinem Visum passt, klärt der Zollagent – wer aus Deutschland kommt, dem ist die Freude an exakt ausgefüllten Formularen ohnehin nicht fremd.</w:t>
      </w:r>
    </w:p>
    <w:p>
      <w:pPr>
        <w:pStyle w:val="ListParagraph"/>
        <w:numPr>
          <w:ilvl w:val="0"/>
          <w:numId w:val="138"/>
        </w:numPr>
        <w:spacing w:lineRule="exact" w:line="288" w:before="0" w:after="60"/>
        <w:rPr/>
      </w:pPr>
      <w:r>
        <w:rPr>
          <w:rFonts w:eastAsia="Cambria" w:cs="Cambria"/>
          <w:b/>
          <w:bCs/>
          <w:i w:val="false"/>
          <w:iCs w:val="false"/>
          <w:sz w:val="22"/>
          <w:szCs w:val="22"/>
        </w:rPr>
        <w:t>Fehlende Erklärung:</w:t>
      </w:r>
      <w:r>
        <w:rPr>
          <w:rFonts w:eastAsia="Cambria" w:cs="Cambria"/>
          <w:b w:val="false"/>
          <w:bCs w:val="false"/>
          <w:i w:val="false"/>
          <w:iCs w:val="false"/>
          <w:sz w:val="22"/>
          <w:szCs w:val="22"/>
        </w:rPr>
        <w:t xml:space="preserve"> Liegt sie bei der Ankunft nicht vor, kann eine Zollbürgschaft (</w:t>
      </w:r>
      <w:r>
        <w:rPr>
          <w:rFonts w:eastAsia="Cambria" w:cs="Cambria"/>
          <w:b w:val="false"/>
          <w:bCs w:val="false"/>
          <w:i/>
          <w:iCs/>
          <w:sz w:val="22"/>
          <w:szCs w:val="22"/>
        </w:rPr>
        <w:t>Bond</w:t>
      </w:r>
      <w:r>
        <w:rPr>
          <w:rFonts w:eastAsia="Cambria" w:cs="Cambria"/>
          <w:b w:val="false"/>
          <w:bCs w:val="false"/>
          <w:i w:val="false"/>
          <w:iCs w:val="false"/>
          <w:sz w:val="22"/>
          <w:szCs w:val="22"/>
        </w:rPr>
        <w:t>, CBP Form 301) hinterlegt werden; die Erklärung reichst du binnen sechs Monaten nach.</w:t>
      </w:r>
    </w:p>
    <w:p>
      <w:pPr>
        <w:pStyle w:val="ListParagraph"/>
        <w:numPr>
          <w:ilvl w:val="0"/>
          <w:numId w:val="139"/>
        </w:numPr>
        <w:spacing w:lineRule="exact" w:line="288" w:before="0" w:after="60"/>
        <w:rPr/>
      </w:pPr>
      <w:r>
        <w:rPr>
          <w:rFonts w:eastAsia="Cambria" w:cs="Cambria"/>
          <w:b/>
          <w:bCs/>
          <w:i w:val="false"/>
          <w:iCs w:val="false"/>
          <w:sz w:val="22"/>
          <w:szCs w:val="22"/>
        </w:rPr>
        <w:t>Beschau:</w:t>
      </w:r>
      <w:r>
        <w:rPr>
          <w:rFonts w:eastAsia="Cambria" w:cs="Cambria"/>
          <w:b w:val="false"/>
          <w:bCs w:val="false"/>
          <w:i w:val="false"/>
          <w:iCs w:val="false"/>
          <w:sz w:val="22"/>
          <w:szCs w:val="22"/>
        </w:rPr>
        <w:t xml:space="preserve"> Der Zoll darf den Container öffnen und prüfen. Das kann Zeit und Zusatzkosten bedeuten.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19 CFR 148.52 ist keine feste kurze Frist zwischen deiner Einreise und dem Eintreffen der Sendung erkennbar; beschränkt wird die sehr späte Einfuhr nach vielen Jahren. Die Praxis im Zielhafen klärst du trotzdem vorab schriftlich mit dem Zollagenten.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Zolllage ist 2026 in Bewegung: Der Supreme Court kippte die auf das Notstandsgesetz IEEPA gestützten Zölle am 20. Februar 2026 (6:3); seit dem 24. Juli 2026 gelten Zölle nach Section 301 (für Waren aus der EU kombiniert 10 %), und die Zölle nach Section 232 auf Möbel, Autos, Stahl, Aluminium und Holz bleiben.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Verbotenes und Beschränktes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Manches darfst du nicht oder nur mit Papieren einführen. Die Zollerklärung fragt es ausdrücklich ab.</w:t>
      </w:r>
    </w:p>
    <w:tbl>
      <w:tblPr>
        <w:tblW w:w="6480" w:type="dxa"/>
        <w:jc w:val="left"/>
        <w:tblInd w:w="0" w:type="dxa"/>
        <w:tblLayout w:type="fixed"/>
        <w:tblCellMar>
          <w:top w:w="50" w:type="dxa"/>
          <w:left w:w="80" w:type="dxa"/>
          <w:bottom w:w="50" w:type="dxa"/>
          <w:right w:w="80" w:type="dxa"/>
        </w:tblCellMar>
      </w:tblPr>
      <w:tblGrid>
        <w:gridCol w:w="1747"/>
        <w:gridCol w:w="3295"/>
        <w:gridCol w:w="1438"/>
      </w:tblGrid>
      <w:tr>
        <w:trPr>
          <w:tblHeader w:val="true"/>
          <w:cantSplit w:val="true"/>
        </w:trPr>
        <w:tc>
          <w:tcPr>
            <w:tcW w:w="17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Ware</w:t>
            </w:r>
          </w:p>
        </w:tc>
        <w:tc>
          <w:tcPr>
            <w:tcW w:w="3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(Stand 2026)</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Frisches Obst, Gemüse, Fleisch und Wurst: verboten oder je nach Herkunftsland beschränkt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Verbrauchen, verschenken, zurücklassen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Pflanzen, Samen, Erde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Genehmigung (</w:t>
            </w:r>
            <w:r>
              <w:rPr>
                <w:rFonts w:eastAsia="Cambria" w:cs="Cambria"/>
                <w:b w:val="false"/>
                <w:bCs w:val="false"/>
                <w:i/>
                <w:iCs/>
                <w:sz w:val="18"/>
                <w:szCs w:val="18"/>
              </w:rPr>
              <w:t>Permit</w:t>
            </w:r>
            <w:r>
              <w:rPr>
                <w:rFonts w:eastAsia="Cambria" w:cs="Cambria"/>
                <w:b w:val="false"/>
                <w:bCs w:val="false"/>
                <w:i w:val="false"/>
                <w:iCs w:val="false"/>
                <w:sz w:val="18"/>
                <w:szCs w:val="18"/>
              </w:rPr>
              <w:t>) des US-Landwirtschaftsministeriums USDA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 auch keine Kübelerde</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Holz</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Kisten, Paletten und Holzverpackung nur mit </w:t>
            </w:r>
            <w:r>
              <w:rPr>
                <w:rFonts w:eastAsia="Cambria" w:cs="Cambria"/>
                <w:b w:val="false"/>
                <w:bCs w:val="false"/>
                <w:i/>
                <w:iCs/>
                <w:sz w:val="18"/>
                <w:szCs w:val="18"/>
              </w:rPr>
              <w:t>ISPM-15</w:t>
            </w:r>
            <w:r>
              <w:rPr>
                <w:rFonts w:eastAsia="Cambria" w:cs="Cambria"/>
                <w:b w:val="false"/>
                <w:bCs w:val="false"/>
                <w:i w:val="false"/>
                <w:iCs w:val="false"/>
                <w:sz w:val="18"/>
                <w:szCs w:val="18"/>
              </w:rPr>
              <w:t>-Stempel (Pflanzenschutzstandard, Hitze- oder Begasungsbehandlung), sonst Zurückweisung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Spedition schriftlich bestätigen 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Elfenbein, Artenschutzware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CITES- und USFWS-Papiere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Munition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ATF-Formularen und Einfuhrgenehmigung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 (Kapitel </w:t>
            </w:r>
            <w:hyperlink w:anchor="k40">
              <w:r>
                <w:rPr>
                  <w:rStyle w:val="ListLabel112"/>
                  <w:rFonts w:eastAsia="Cambria" w:cs="Cambria"/>
                  <w:b w:val="false"/>
                  <w:bCs w:val="false"/>
                  <w:i w:val="false"/>
                  <w:iCs w:val="false"/>
                  <w:sz w:val="18"/>
                  <w:szCs w:val="18"/>
                </w:rPr>
                <w:t>40</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Tabak</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Beschränkt, gesondert zu deklarieren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Originalverpackung, Rezept, persönliche Menge (Praxisregel etwa 90 Tage); Betäubungsmittel, Cannabis und CBD problematisch</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 Handgepäck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Fälschungen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Aussortieren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Vorratsschrank und Balkonkübel sind der klassische Anfängerfehler. Räume beides aus, bevor der Packer kommt, und deklariere Zweifelsfälle im Inventar, statt sie zu verschweigen.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Ausfuhr aus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Bargeld und gleichgestellte Zahlungsmittel ab 10.000 € musst du bei der Ausreise in ein Nicht-EU-Land beim Zoll anmelden (EU-Verordnung 2018/1672). In den USA gilt ab mehr als 10.000 $ die Anmeldung mit </w:t>
      </w:r>
      <w:r>
        <w:rPr>
          <w:rFonts w:eastAsia="Cambria" w:cs="Cambria"/>
          <w:b w:val="false"/>
          <w:bCs w:val="false"/>
          <w:i/>
          <w:iCs/>
          <w:sz w:val="22"/>
          <w:szCs w:val="22"/>
        </w:rPr>
        <w:t>FinCEN Form 105</w:t>
      </w:r>
      <w:r>
        <w:rPr>
          <w:rFonts w:eastAsia="Cambria" w:cs="Cambria"/>
          <w:b w:val="false"/>
          <w:bCs w:val="false"/>
          <w:i w:val="false"/>
          <w:iCs w:val="false"/>
          <w:sz w:val="22"/>
          <w:szCs w:val="22"/>
        </w:rPr>
        <w:t xml:space="preserve"> (Meldung an das Finanzministerium) bei Ein- und Ausreise. Die Anmeldung ist legal, die Nichtanmeldung kann zu Beschlagnahme und Strafe führen. Aktuelle deutsche Regeln stehen auf zoll.de, Abmeldung und Kündigungen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Relocation-Paket: steuerpflichtig und verhandelbar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Arbeitgeber beteiligen sich in drei Formen an den Umzugskosten: die Pauschale (</w:t>
      </w:r>
      <w:r>
        <w:rPr>
          <w:rFonts w:eastAsia="Cambria" w:cs="Cambria"/>
          <w:b w:val="false"/>
          <w:bCs w:val="false"/>
          <w:i/>
          <w:iCs/>
          <w:sz w:val="22"/>
          <w:szCs w:val="22"/>
        </w:rPr>
        <w:t>Lump Sum</w:t>
      </w:r>
      <w:r>
        <w:rPr>
          <w:rFonts w:eastAsia="Cambria" w:cs="Cambria"/>
          <w:b w:val="false"/>
          <w:bCs w:val="false"/>
          <w:i w:val="false"/>
          <w:iCs w:val="false"/>
          <w:sz w:val="22"/>
          <w:szCs w:val="22"/>
        </w:rPr>
        <w:t>), ein fester Bruttobetrag, mit dem du den Umzug selbst organisierst; die Kostenerstattung gegen Belege bis zu einer Obergrenze (</w:t>
      </w:r>
      <w:r>
        <w:rPr>
          <w:rFonts w:eastAsia="Cambria" w:cs="Cambria"/>
          <w:b w:val="false"/>
          <w:bCs w:val="false"/>
          <w:i/>
          <w:iCs/>
          <w:sz w:val="22"/>
          <w:szCs w:val="22"/>
        </w:rPr>
        <w:t>Cap</w:t>
      </w:r>
      <w:r>
        <w:rPr>
          <w:rFonts w:eastAsia="Cambria" w:cs="Cambria"/>
          <w:b w:val="false"/>
          <w:bCs w:val="false"/>
          <w:i w:val="false"/>
          <w:iCs w:val="false"/>
          <w:sz w:val="22"/>
          <w:szCs w:val="22"/>
        </w:rPr>
        <w:t>); und der gemanagte Umzug (</w:t>
      </w:r>
      <w:r>
        <w:rPr>
          <w:rFonts w:eastAsia="Cambria" w:cs="Cambria"/>
          <w:b w:val="false"/>
          <w:bCs w:val="false"/>
          <w:i/>
          <w:iCs/>
          <w:sz w:val="22"/>
          <w:szCs w:val="22"/>
        </w:rPr>
        <w:t>Managed Relocation</w:t>
      </w:r>
      <w:r>
        <w:rPr>
          <w:rFonts w:eastAsia="Cambria" w:cs="Cambria"/>
          <w:b w:val="false"/>
          <w:bCs w:val="false"/>
          <w:i w:val="false"/>
          <w:iCs w:val="false"/>
          <w:sz w:val="22"/>
          <w:szCs w:val="22"/>
        </w:rPr>
        <w:t>), bei dem der Arbeitgeber einen Dienstleister beauftragt und direkt bezahlt.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Punkt: In den USA ist die Umzugskostenerstattung des Arbeitgebers steuerpflichtiger Lohn und erscheint im </w:t>
      </w:r>
      <w:r>
        <w:rPr>
          <w:rFonts w:eastAsia="Cambria" w:cs="Cambria"/>
          <w:b w:val="false"/>
          <w:bCs w:val="false"/>
          <w:i/>
          <w:iCs/>
          <w:sz w:val="22"/>
          <w:szCs w:val="22"/>
        </w:rPr>
        <w:t>Form W-2</w:t>
      </w:r>
      <w:r>
        <w:rPr>
          <w:rFonts w:eastAsia="Cambria" w:cs="Cambria"/>
          <w:b w:val="false"/>
          <w:bCs w:val="false"/>
          <w:i w:val="false"/>
          <w:iCs w:val="false"/>
          <w:sz w:val="22"/>
          <w:szCs w:val="22"/>
        </w:rPr>
        <w:t>, der jährlichen Lohnsteuerbescheinigung. Früher konnten Beschäftigte Umzugskosten unter Bedingungen absetzen, und Arbeitgeberzahlungen blieben steuerfrei; beides ist seit 2018 ausgesetzt. Das Steuergesetz vom 4. Juli 2025 (</w:t>
      </w:r>
      <w:r>
        <w:rPr>
          <w:rFonts w:eastAsia="Cambria" w:cs="Cambria"/>
          <w:b w:val="false"/>
          <w:bCs w:val="false"/>
          <w:i/>
          <w:iCs/>
          <w:sz w:val="22"/>
          <w:szCs w:val="22"/>
        </w:rPr>
        <w:t>One Big Beautiful Bill Act</w:t>
      </w:r>
      <w:r>
        <w:rPr>
          <w:rFonts w:eastAsia="Cambria" w:cs="Cambria"/>
          <w:b w:val="false"/>
          <w:bCs w:val="false"/>
          <w:i w:val="false"/>
          <w:iCs w:val="false"/>
          <w:sz w:val="22"/>
          <w:szCs w:val="22"/>
        </w:rPr>
        <w:t>, OBBBA, Public Law 119-21, § 70113) hat die Aussetzung dauerhaft gemacht. Ausnahmen gelten nur für aktive Militärangehörige mit Versetzungsbefehl und für Beschäftigte der Nachrichtendienste.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tbl>
      <w:tblPr>
        <w:tblW w:w="6480" w:type="dxa"/>
        <w:jc w:val="left"/>
        <w:tblInd w:w="0" w:type="dxa"/>
        <w:tblLayout w:type="fixed"/>
        <w:tblCellMar>
          <w:top w:w="50" w:type="dxa"/>
          <w:left w:w="80" w:type="dxa"/>
          <w:bottom w:w="50" w:type="dxa"/>
          <w:right w:w="80" w:type="dxa"/>
        </w:tblCellMar>
      </w:tblPr>
      <w:tblGrid>
        <w:gridCol w:w="2844"/>
        <w:gridCol w:w="1798"/>
        <w:gridCol w:w="1838"/>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Angenommener Grenzsteuersatz</w:t>
            </w:r>
          </w:p>
        </w:tc>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Aufschlag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10.000 $ netto nötig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13.333 $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14.286 $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15.385 $ brutto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Sätze sind Rechenbeispiele; dein tatsächlicher Satz hängt von Einkommen, Bundesstaat und Veranlagung ab. Verhandelt wird vor der Unterschrift des Angebotsschreibens (</w:t>
      </w:r>
      <w:r>
        <w:rPr>
          <w:rFonts w:eastAsia="Cambria" w:cs="Cambria"/>
          <w:b w:val="false"/>
          <w:bCs w:val="false"/>
          <w:i/>
          <w:iCs/>
          <w:sz w:val="22"/>
          <w:szCs w:val="22"/>
        </w:rPr>
        <w:t>Offer Letter</w:t>
      </w:r>
      <w:r>
        <w:rPr>
          <w:rFonts w:eastAsia="Cambria" w:cs="Cambria"/>
          <w:b w:val="false"/>
          <w:bCs w:val="false"/>
          <w:i w:val="false"/>
          <w:iCs w:val="false"/>
          <w:sz w:val="22"/>
          <w:szCs w:val="22"/>
        </w:rPr>
        <w:t>), danach ist dein Spielraum klein. Die vollständige Verhandlungsliste steht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für den Umzug gehören diese Punkte darauf:</w:t>
      </w:r>
    </w:p>
    <w:p>
      <w:pPr>
        <w:pStyle w:val="ListParagraph"/>
        <w:numPr>
          <w:ilvl w:val="0"/>
          <w:numId w:val="1"/>
        </w:numPr>
        <w:spacing w:lineRule="exact" w:line="288" w:before="0" w:after="60"/>
        <w:rPr/>
      </w:pPr>
      <w:r>
        <w:rPr>
          <w:rFonts w:eastAsia="Cambria" w:cs="Cambria"/>
          <w:b/>
          <w:bCs/>
          <w:i w:val="false"/>
          <w:iCs w:val="false"/>
          <w:sz w:val="22"/>
          <w:szCs w:val="22"/>
        </w:rPr>
        <w:t>Brutto oder netto:</w:t>
      </w:r>
      <w:r>
        <w:rPr>
          <w:rFonts w:eastAsia="Cambria" w:cs="Cambria"/>
          <w:b w:val="false"/>
          <w:bCs w:val="false"/>
          <w:i w:val="false"/>
          <w:iCs w:val="false"/>
          <w:sz w:val="22"/>
          <w:szCs w:val="22"/>
        </w:rPr>
        <w:t xml:space="preserve"> Gibt es ein Gross-up, zumindest für Transport und Übergangswohnen? Rechne im Gespräch immer in Nettobeträgen.</w:t>
      </w:r>
    </w:p>
    <w:p>
      <w:pPr>
        <w:pStyle w:val="ListParagraph"/>
        <w:numPr>
          <w:ilvl w:val="0"/>
          <w:numId w:val="1"/>
        </w:numPr>
        <w:spacing w:lineRule="exact" w:line="288" w:before="0" w:after="60"/>
        <w:rPr/>
      </w:pPr>
      <w:r>
        <w:rPr>
          <w:rFonts w:eastAsia="Cambria" w:cs="Cambria"/>
          <w:b/>
          <w:bCs/>
          <w:i w:val="false"/>
          <w:iCs w:val="false"/>
          <w:sz w:val="22"/>
          <w:szCs w:val="22"/>
        </w:rPr>
        <w:t>Form:</w:t>
      </w:r>
      <w:r>
        <w:rPr>
          <w:rFonts w:eastAsia="Cambria" w:cs="Cambria"/>
          <w:b w:val="false"/>
          <w:bCs w:val="false"/>
          <w:i w:val="false"/>
          <w:iCs w:val="false"/>
          <w:sz w:val="22"/>
          <w:szCs w:val="22"/>
        </w:rPr>
        <w:t xml:space="preserve"> Eine Pauschale lässt dir Spielraum (was du nicht ausgibst, bleibt dir, versteuert), die Direktabrechnung entlastet dein Konto.</w:t>
      </w:r>
    </w:p>
    <w:p>
      <w:pPr>
        <w:pStyle w:val="ListParagraph"/>
        <w:numPr>
          <w:ilvl w:val="0"/>
          <w:numId w:val="1"/>
        </w:numPr>
        <w:spacing w:lineRule="exact" w:line="288" w:before="0" w:after="60"/>
        <w:rPr/>
      </w:pPr>
      <w:r>
        <w:rPr>
          <w:rFonts w:eastAsia="Cambria" w:cs="Cambria"/>
          <w:b/>
          <w:bCs/>
          <w:i w:val="false"/>
          <w:iCs w:val="false"/>
          <w:sz w:val="22"/>
          <w:szCs w:val="22"/>
        </w:rPr>
        <w:t>Umfang:</w:t>
      </w:r>
      <w:r>
        <w:rPr>
          <w:rFonts w:eastAsia="Cambria" w:cs="Cambria"/>
          <w:b w:val="false"/>
          <w:bCs w:val="false"/>
          <w:i w:val="false"/>
          <w:iCs w:val="false"/>
          <w:sz w:val="22"/>
          <w:szCs w:val="22"/>
        </w:rPr>
        <w:t xml:space="preserve"> Sammelladung oder Container, Flüge für die ganze Familie, 30 bis 60 Tage möbliertes 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Lagerung, Mietwagen.</w:t>
      </w:r>
    </w:p>
    <w:p>
      <w:pPr>
        <w:pStyle w:val="ListParagraph"/>
        <w:numPr>
          <w:ilvl w:val="0"/>
          <w:numId w:val="1"/>
        </w:numPr>
        <w:spacing w:lineRule="exact" w:line="288" w:before="0" w:after="60"/>
        <w:rPr/>
      </w:pPr>
      <w:r>
        <w:rPr>
          <w:rFonts w:eastAsia="Cambria" w:cs="Cambria"/>
          <w:b/>
          <w:bCs/>
          <w:i w:val="false"/>
          <w:iCs w:val="false"/>
          <w:sz w:val="22"/>
          <w:szCs w:val="22"/>
        </w:rPr>
        <w:t>Zahlungszeitpunkt:</w:t>
      </w:r>
      <w:r>
        <w:rPr>
          <w:rFonts w:eastAsia="Cambria" w:cs="Cambria"/>
          <w:b w:val="false"/>
          <w:bCs w:val="false"/>
          <w:i w:val="false"/>
          <w:iCs w:val="false"/>
          <w:sz w:val="22"/>
          <w:szCs w:val="22"/>
        </w:rPr>
        <w:t xml:space="preserve"> Das Geld fließt oft erst mit der ersten Gehaltsabrechnung, die Spedition will es früher. Verhandle einen Vorschuss oder die Direktabrechnung.</w:t>
      </w:r>
    </w:p>
    <w:p>
      <w:pPr>
        <w:pStyle w:val="ListParagraph"/>
        <w:numPr>
          <w:ilvl w:val="0"/>
          <w:numId w:val="1"/>
        </w:numPr>
        <w:spacing w:lineRule="exact" w:line="288" w:before="0" w:after="60"/>
        <w:rPr/>
      </w:pPr>
      <w:r>
        <w:rPr>
          <w:rFonts w:eastAsia="Cambria" w:cs="Cambria"/>
          <w:b/>
          <w:bCs/>
          <w:i w:val="false"/>
          <w:iCs w:val="false"/>
          <w:sz w:val="22"/>
          <w:szCs w:val="22"/>
        </w:rPr>
        <w:t>Rückzahlungsklausel (</w:t>
      </w:r>
      <w:r>
        <w:rPr>
          <w:rFonts w:eastAsia="Cambria" w:cs="Cambria"/>
          <w:b/>
          <w:bCs/>
          <w:i/>
          <w:iCs/>
          <w:sz w:val="22"/>
          <w:szCs w:val="22"/>
        </w:rPr>
        <w:t>Clawback</w:t>
      </w:r>
      <w:r>
        <w:rPr>
          <w:rFonts w:eastAsia="Cambria" w:cs="Cambria"/>
          <w:b/>
          <w:bCs/>
          <w:i w:val="false"/>
          <w:iCs w:val="false"/>
          <w:sz w:val="22"/>
          <w:szCs w:val="22"/>
        </w:rPr>
        <w:t>):</w:t>
      </w:r>
      <w:r>
        <w:rPr>
          <w:rFonts w:eastAsia="Cambria" w:cs="Cambria"/>
          <w:b w:val="false"/>
          <w:bCs w:val="false"/>
          <w:i w:val="false"/>
          <w:iCs w:val="false"/>
          <w:sz w:val="22"/>
          <w:szCs w:val="22"/>
        </w:rPr>
        <w:t xml:space="preserve"> Häufig ist die Rückzahlung bei eigener Kündigung binnen zwölf bis 24 Monaten. Frage nach anteiliger Rückzahlung, einer Ausnahme bei Kündigung durch den Arbeitgeber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danach, ob brutto oder netto zurückzuzahlen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Vorfinanzierung und Klausel zusammen sind gefährlich. Kündigt der Arbeitgeber oder du selbst binnen der Frist, kann er zurückfordern, was längst ausgegeben ist. Halte einen Puffer auf dem US-Konto bereit, bevor der Container eintrifft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sortiert ihren Haushalt für Michigan auf 14 m³ aus: Kleidung, Bücher, Spielzeug, Küchenutensilien, Fahrräder. Drei Festpreise für die Sammelladung: 3.700 € (ohne Zustellung und Zollagent), 4.400 € und 4.900 € (beide bis zur Haustür). Sie nehmen 4.400 €, zum Kurs vom September 2026 rund 5.060 $. Der Arbeitgeber bietet 12.000 $ brutto; bei angenommenen 30 % Abzügen bleiben 8.400 $, nach der Spedition gut 3.300 $ für Flüge, Übergangswohnung und Mietwagen. Im Gespräch mit der Personalabteilung stellt Markus vor der Unterschrift nur eine Frage: „Ist das brutto oder netto?“ – und bittet um ein Gross-up auf 10.000 $ netto. Der Arbeitgeber zahlt dann 14.286 $ brutto, 2.286 $ mehr als zuerst, und die Familie hat 1.600 $ mehr netto. Die Rückzahlungsklausel soll nur anteilig gelten.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Lagerung und die Zeit ohne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Per Schiff kommt dein Hausrat Wochen nach dir an, und manchmal steht er vor der Tür, bevor die Wohnung bezugsfertig ist. Beides musst du überbrücken.</w:t>
      </w:r>
    </w:p>
    <w:p>
      <w:pPr>
        <w:pStyle w:val="Normal"/>
        <w:keepNext w:val="false"/>
        <w:keepLines w:val="false"/>
        <w:spacing w:lineRule="exact" w:line="288" w:before="0" w:after="140"/>
        <w:jc w:val="left"/>
        <w:rPr/>
      </w:pPr>
      <w:r>
        <w:rPr>
          <w:rFonts w:eastAsia="Cambria" w:cs="Cambria"/>
          <w:b/>
          <w:bCs/>
          <w:i w:val="false"/>
          <w:iCs w:val="false"/>
          <w:sz w:val="22"/>
          <w:szCs w:val="22"/>
        </w:rPr>
        <w:t>Ohne Möbel</w:t>
      </w:r>
      <w:r>
        <w:rPr>
          <w:rFonts w:eastAsia="Cambria" w:cs="Cambria"/>
          <w:b w:val="false"/>
          <w:bCs w:val="false"/>
          <w:i w:val="false"/>
          <w:iCs w:val="false"/>
          <w:sz w:val="22"/>
          <w:szCs w:val="22"/>
        </w:rPr>
        <w:t xml:space="preserve"> hast du drei Wege. Du wohnst möbliert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Extended-Stay-Hotel, möblierte Monatsmiete); eine 1BR kostet nach Anbieterangaben rund 3.300 $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Oder du mietest unmöbliert und kaufst das Nötigste: Matratze, Bettwäsche, Handtücher und Geschirr bei IKEA, Target, Costco oder Amazon, gebraucht über Facebook Marketplace, Goodwill oder Habitat ReStore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Oder du kombinierst: das Nötigste als Paket oder Luftfracht, den Rest per Schiff. Was ins Handgepäck gehört,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Lagerung in den USA:</w:t>
      </w:r>
      <w:r>
        <w:rPr>
          <w:rFonts w:eastAsia="Cambria" w:cs="Cambria"/>
          <w:b w:val="false"/>
          <w:bCs w:val="false"/>
          <w:i w:val="false"/>
          <w:iCs w:val="false"/>
          <w:sz w:val="22"/>
          <w:szCs w:val="22"/>
        </w:rP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pPr>
        <w:pStyle w:val="Normal"/>
        <w:keepNext w:val="false"/>
        <w:keepLines w:val="false"/>
        <w:spacing w:lineRule="exact" w:line="288" w:before="0" w:after="140"/>
        <w:jc w:val="left"/>
        <w:rPr/>
      </w:pPr>
      <w:r>
        <w:rPr>
          <w:rFonts w:eastAsia="Cambria" w:cs="Cambria"/>
          <w:b/>
          <w:bCs/>
          <w:i w:val="false"/>
          <w:iCs w:val="false"/>
          <w:sz w:val="22"/>
          <w:szCs w:val="22"/>
        </w:rPr>
        <w:t>Lagerung in Deutschland:</w:t>
      </w:r>
      <w:r>
        <w:rPr>
          <w:rFonts w:eastAsia="Cambria" w:cs="Cambria"/>
          <w:b w:val="false"/>
          <w:bCs w:val="false"/>
          <w:i w:val="false"/>
          <w:iCs w:val="false"/>
          <w:sz w:val="22"/>
          <w:szCs w:val="22"/>
        </w:rPr>
        <w:t xml:space="preserve"> Wer nur zwei bis drei Jahre bleiben will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Erbstücke behalten möchte, lagert dort ein; die Preise schwanken regional, hole Angebote ein. Zum Rückumzug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sparst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Hebel bringen das meiste.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Volumen senken. Jeder Kubikmeter Sammelladung kostet rund 250–300 €. Wer von 14 auf 10 m³ reduziert, spart grob 1.000–1.200 €. Verkaufe oder verschenke Sperriges und kaufe es in den USA gebraucht.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Saison und Hafen beachten. Von Mai bis September ist der US-Umzugsmarkt ausgelastet; frage bei jedem Angebot nach dem Preisunterschied zu einem Termin außerhalb der Hochsaison. Ist dein Ziel von beiden Küsten aus erreichbar, vergleiche die Häfen: Die Ostküste ist meist günstiger und schneller.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Selbst packen. Die Portalpreise enthalten das Einpacken. Lass dir ein Angebot mit und ohne Einpacken geben und packe Bücher, Kleidung und Spielzeug selbst. Führe die Inventarliste Karton für Karton und kläre vorab, wie selbstgepackte Kartons versichert sind.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Möbel, Bücher und Erinnerungsstücke sind nach Wochen da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20-ft-Container: 4.000–7.500 € plus Zustellung in den USA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Gebrauchtes ist nach einem Jahr Nutzung zollfrei</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 (120 V), Betten und Küchengeräte passen oft nicht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und Paket sind schnell und gut kalkulierbar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6,60–7,15 € je kg, Koffer sind begrenzt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Neukauf vor Ort passt zu US-Größen und -Normen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Neuausstattung einer 1BR: 7.000–12.000 $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Relocation-Paket kann die Kosten tragen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Steuerpflichtig, mit Rückzahlungsklausel und Vorfinanzierung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senkt den Preis bei kleinen Mengen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Tür–Tür vier bis zwölf Wochen ohne Möbel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40"/>
        </w:numPr>
        <w:spacing w:lineRule="exact" w:line="288" w:before="0" w:after="60"/>
        <w:rPr/>
      </w:pPr>
      <w:r>
        <w:rPr>
          <w:rFonts w:eastAsia="Cambria" w:cs="Cambria"/>
          <w:b w:val="false"/>
          <w:bCs w:val="false"/>
          <w:i w:val="false"/>
          <w:iCs w:val="false"/>
          <w:sz w:val="22"/>
          <w:szCs w:val="22"/>
        </w:rPr>
        <w:t>Miste aus und kläre die Umzugsleistungen des Arbeitgebers brutto und netto, bevor du unterschreibst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41"/>
        </w:numPr>
        <w:spacing w:lineRule="exact" w:line="288" w:before="0" w:after="60"/>
        <w:rPr/>
      </w:pPr>
      <w:r>
        <w:rPr>
          <w:rFonts w:eastAsia="Cambria" w:cs="Cambria"/>
          <w:b w:val="false"/>
          <w:bCs w:val="false"/>
          <w:i w:val="false"/>
          <w:iCs w:val="false"/>
          <w:sz w:val="22"/>
          <w:szCs w:val="22"/>
        </w:rPr>
        <w:t>Hole drei Festpreisangebote ein, buche aber erst mit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42"/>
        </w:numPr>
        <w:spacing w:lineRule="exact" w:line="288" w:before="0" w:after="60"/>
        <w:rPr/>
      </w:pPr>
      <w:r>
        <w:rPr>
          <w:rFonts w:eastAsia="Cambria" w:cs="Cambria"/>
          <w:b w:val="false"/>
          <w:bCs w:val="false"/>
          <w:i w:val="false"/>
          <w:iCs w:val="false"/>
          <w:sz w:val="22"/>
          <w:szCs w:val="22"/>
        </w:rPr>
        <w:t>Erstelle die Inventarliste, kläre Form 3299 mit dem Zollagenten und plane Übergangswohnen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Zeitleiste steht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Volumen in m³ geschätzt und ausgemistet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Relocation-Bedingungen schriftlich geklärt: brutto oder netto, Gross-up, Direktabrechnung, Rückzahlungsklausel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Tür-zu-Tür-Festpreise nach Besichtigung oder Video-Survey eingeholt; FIDI-FAIM und AMSA ProMover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Verbindlich gebucht erst mit dem Visum im Pass, sechs bis acht Wochen vor der Verladung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Transportversicherung „all risk“ zum Wiederbeschaffungswert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Inventarliste mit Werten erstellt; nur Gegenstände eingepackt, die du mindestens ein Jahr genutzt hast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Zollagent, Vollmacht und CBP Form 3299 mit der Spedition abgestimmt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Pflanzen, Erde, Holz ohne ISPM-15-Stempel, Alkohol und Waffen aussortiert; Medikamente ins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Bargeld ab 10.000 € beim deutschen Zoll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Übergangswohnen gebucht und Puffer auf dem US-Konto bereitgestellt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(CBP) — Zollerklärung für Umzugsgut, Form 3299 (</w:t>
      </w:r>
      <w:hyperlink r:id="rId194">
        <w:r>
          <w:rPr>
            <w:rStyle w:val="ListLabel113"/>
            <w:rFonts w:eastAsia="Cambria" w:cs="Cambria"/>
            <w:b w:val="false"/>
            <w:bCs w:val="false"/>
            <w:i w:val="false"/>
            <w:iCs w:val="false"/>
            <w:color w:val="0563C1"/>
            <w:sz w:val="22"/>
            <w:szCs w:val="22"/>
            <w:u w:val="single"/>
          </w:rPr>
          <w:t>cbp.gov/document/forms/form-3299-declaration-free-entry-unaccompanied-articles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Legal Information Institute — 19 CFR 148.52, Haushalts- und persönliche Gegenstände (</w:t>
      </w:r>
      <w:hyperlink r:id="rId195">
        <w:r>
          <w:rPr>
            <w:rStyle w:val="ListLabel113"/>
            <w:rFonts w:eastAsia="Cambria" w:cs="Cambria"/>
            <w:b w:val="false"/>
            <w:bCs w:val="false"/>
            <w:i w:val="false"/>
            <w:iCs w:val="false"/>
            <w:color w:val="0563C1"/>
            <w:sz w:val="22"/>
            <w:szCs w:val="22"/>
            <w:u w:val="single"/>
          </w:rPr>
          <w:t>law.cornell.edu/cfr/text/19/148.52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Einfuhrregeln für Pflanzen, Erde und Lebensmittel (</w:t>
      </w:r>
      <w:hyperlink r:id="rId196">
        <w:r>
          <w:rPr>
            <w:rStyle w:val="ListLabel113"/>
            <w:rFonts w:eastAsia="Cambria" w:cs="Cambria"/>
            <w:b w:val="false"/>
            <w:bCs w:val="false"/>
            <w:i w:val="false"/>
            <w:iCs w:val="false"/>
            <w:color w:val="0563C1"/>
            <w:sz w:val="22"/>
            <w:szCs w:val="22"/>
            <w:u w:val="single"/>
          </w:rPr>
          <w:t>aphis.usda.gov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15-B, steuerliche Behandlung von Leistungen des Arbeitgebers (</w:t>
      </w:r>
      <w:hyperlink r:id="rId197">
        <w:r>
          <w:rPr>
            <w:rStyle w:val="ListLabel113"/>
            <w:rFonts w:eastAsia="Cambria" w:cs="Cambria"/>
            <w:b w:val="false"/>
            <w:bCs w:val="false"/>
            <w:i w:val="false"/>
            <w:iCs w:val="false"/>
            <w:color w:val="0563C1"/>
            <w:sz w:val="22"/>
            <w:szCs w:val="22"/>
            <w:u w:val="single"/>
          </w:rPr>
          <w:t>irs.gov/pub/irs-pdf/p15b.pdf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FIDI — Mitgliederliste zertifizierter Umzugsunternehmen (</w:t>
      </w:r>
      <w:hyperlink r:id="rId198">
        <w:r>
          <w:rPr>
            <w:rStyle w:val="ListLabel113"/>
            <w:rFonts w:eastAsia="Cambria" w:cs="Cambria"/>
            <w:b w:val="false"/>
            <w:bCs w:val="false"/>
            <w:i w:val="false"/>
            <w:iCs w:val="false"/>
            <w:color w:val="0563C1"/>
            <w:sz w:val="22"/>
            <w:szCs w:val="22"/>
            <w:u w:val="single"/>
          </w:rPr>
          <w:t>fidi.org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FMCSA — Registrierung von Frachtführern, USDOT- und MC-Nummer (</w:t>
      </w:r>
      <w:hyperlink r:id="rId199">
        <w:r>
          <w:rPr>
            <w:rStyle w:val="ListLabel113"/>
            <w:rFonts w:eastAsia="Cambria" w:cs="Cambria"/>
            <w:b w:val="false"/>
            <w:bCs w:val="false"/>
            <w:i w:val="false"/>
            <w:iCs w:val="false"/>
            <w:color w:val="0563C1"/>
            <w:sz w:val="22"/>
            <w:szCs w:val="22"/>
            <w:u w:val="single"/>
          </w:rPr>
          <w:t>fmcsa.dot.gov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Bargeld und Ausfuhr aus Deutschland (</w:t>
      </w:r>
      <w:hyperlink r:id="rId200">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4" w:name="__RefHeading___Toc56476_3457424410"/>
      <w:bookmarkStart w:id="55" w:name="k21"/>
      <w:bookmarkEnd w:id="54"/>
      <w:r>
        <w:rPr>
          <w:rFonts w:eastAsia="Amazon Ember" w:cs="Amazon Ember" w:ascii="Amazon Ember" w:hAnsi="Amazon Ember"/>
          <w:b/>
          <w:bCs/>
          <w:color w:val="0000FF"/>
          <w:sz w:val="36"/>
          <w:szCs w:val="36"/>
        </w:rPr>
        <w:t>Kapitel 21: Mitnehmen oder neu kaufen? Die Raum-für-Raum-Liste</w:t>
      </w:r>
      <w:bookmarkEnd w:id="5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US-Steckdose liefert 120 V bei 60 Hz. Geräte mit Netzteil „100–240 V“ laufen mit Adapter; Heiz- und Motorgeräte bleiben zurück.</w:t>
            </w:r>
          </w:p>
          <w:p>
            <w:pPr>
              <w:pStyle w:val="ListParagraph"/>
              <w:numPr>
                <w:ilvl w:val="0"/>
                <w:numId w:val="1"/>
              </w:numPr>
              <w:spacing w:lineRule="exact" w:line="264" w:before="0" w:after="50"/>
              <w:rPr/>
            </w:pPr>
            <w:r>
              <w:rPr>
                <w:rFonts w:eastAsia="Cambria" w:cs="Cambria"/>
                <w:b w:val="false"/>
                <w:bCs w:val="false"/>
                <w:i w:val="false"/>
                <w:iCs w:val="false"/>
                <w:sz w:val="20"/>
                <w:szCs w:val="20"/>
              </w:rPr>
              <w:t>Betten und Bettwäsche sind anders genormt (Queen: 152 × 203 cm). Matratzen, Lattenroste und Spannbetttücher kaufst du in den USA neu.</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Persönliches, Bücher, Kleidung, gutes Küchenzubehör und wenige hochwertige Einzelstücke.</w:t>
            </w:r>
          </w:p>
          <w:p>
            <w:pPr>
              <w:pStyle w:val="ListParagraph"/>
              <w:numPr>
                <w:ilvl w:val="0"/>
                <w:numId w:val="1"/>
              </w:numPr>
              <w:spacing w:lineRule="exact" w:line="264" w:before="0" w:after="50"/>
              <w:rPr/>
            </w:pPr>
            <w:r>
              <w:rPr>
                <w:rFonts w:eastAsia="Cambria" w:cs="Cambria"/>
                <w:b w:val="false"/>
                <w:bCs w:val="false"/>
                <w:i w:val="false"/>
                <w:iCs w:val="false"/>
                <w:sz w:val="20"/>
                <w:szCs w:val="20"/>
              </w:rPr>
              <w:t>Ein 20-ft-Container kostet 4.000–7.500 € plus US-Zustellung. Eine 1BR neu einzurichten kostet 7.000–12.000 $, mit IKEA und Secondhand 40–60 % weniger.</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ersten zwei Wochen packst du Koffer, den Rest der Erstausstattung kaufst du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Entscheidungsregel: Fracht gegen Ersatz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Gegenstand muss drei Prüfungen bestehen. Erstens: Funktioniert er in den USA ohne Umbau, also bei Strom, Größe und 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Portale nennen für einen 20-ft-Container (28–33 m³) 4.000–7.500 € ohne US-Zustellung und für eine Sammelladung von 10–20 m³ 2.500–6.000 €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(Stand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zurückbleibt, verkaufst du über Kleinanzeigenportale, Flohmarkt oder Haushaltsauflösung, am besten in den letzten acht bis zwölf Wochen vor dem Abflug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Rechne mit einem Bruchteil des Neupreises; was übrig bleibt, verschenkst oder spendest du.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nichts Neues, um es mitzuschicken. Gegenstände, die du im Ausland weniger als ein Jahr genutzt hast, gelten nicht als zollfreies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Gegenstand fährt nur mit, wenn er ohne Umbau funktioniert und entweder sein Ersatz mehr kostet als Fracht und Aufwand oder er sich nicht ersetzen lässt.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Strom, Steckdosen und Lampen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Adapter aus dem Reisezubehör-Regal macht jedes deutsche Gerät startklar. Tatsächlich ändert er nur die Steckerform, nicht die Spannung. Für die Entscheidung gilt:</w:t>
      </w:r>
    </w:p>
    <w:p>
      <w:pPr>
        <w:pStyle w:val="ListParagraph"/>
        <w:numPr>
          <w:ilvl w:val="0"/>
          <w:numId w:val="1"/>
        </w:numPr>
        <w:spacing w:lineRule="exact" w:line="288" w:before="0" w:after="60"/>
        <w:rPr/>
      </w:pPr>
      <w:r>
        <w:rPr>
          <w:rFonts w:eastAsia="Cambria" w:cs="Cambria"/>
          <w:b/>
          <w:bCs/>
          <w:i w:val="false"/>
          <w:iCs w:val="false"/>
          <w:sz w:val="22"/>
          <w:szCs w:val="22"/>
        </w:rPr>
        <w:t>Netzteil „Input 100–240 V, 50/60 Hz“:</w:t>
      </w:r>
      <w:r>
        <w:rPr>
          <w:rFonts w:eastAsia="Cambria" w:cs="Cambria"/>
          <w:b w:val="false"/>
          <w:bCs w:val="false"/>
          <w:i w:val="false"/>
          <w:iCs w:val="false"/>
          <w:sz w:val="22"/>
          <w:szCs w:val="22"/>
        </w:rPr>
        <w:t xml:space="preserve"> läuft mit Adapter unverändert. Das trifft auf Laptop, Handy, Tablet, Kamera, Konsole, viele Router und LED-Lampen zu, meist auch auf die Ladegeräte von elektrischer Zahnbürste und Rasierer.</w:t>
      </w:r>
    </w:p>
    <w:p>
      <w:pPr>
        <w:pStyle w:val="ListParagraph"/>
        <w:numPr>
          <w:ilvl w:val="0"/>
          <w:numId w:val="1"/>
        </w:numPr>
        <w:spacing w:lineRule="exact" w:line="288" w:before="0" w:after="60"/>
        <w:rPr/>
      </w:pPr>
      <w:r>
        <w:rPr>
          <w:rFonts w:eastAsia="Cambria" w:cs="Cambria"/>
          <w:b/>
          <w:bCs/>
          <w:i w:val="false"/>
          <w:iCs w:val="false"/>
          <w:sz w:val="22"/>
          <w:szCs w:val="22"/>
        </w:rPr>
        <w:t>Heizgeräte</w:t>
      </w:r>
      <w:r>
        <w:rPr>
          <w:rFonts w:eastAsia="Cambria" w:cs="Cambria"/>
          <w:b w:val="false"/>
          <w:bCs w:val="false"/>
          <w:i w:val="false"/>
          <w:iCs w:val="false"/>
          <w:sz w:val="22"/>
          <w:szCs w:val="22"/>
        </w:rPr>
        <w:t xml:space="preserve"> (Wasserkocher, Toaster, Haartrockner, Bügeleisen, Kaffeemaschine): erreichen bei 120 V nur etwa ein Viertel bis die Hälfte ihrer Leistung. Nicht mitnehmen.</w:t>
      </w:r>
    </w:p>
    <w:p>
      <w:pPr>
        <w:pStyle w:val="ListParagraph"/>
        <w:numPr>
          <w:ilvl w:val="0"/>
          <w:numId w:val="1"/>
        </w:numPr>
        <w:spacing w:lineRule="exact" w:line="288" w:before="0" w:after="60"/>
        <w:rPr/>
      </w:pPr>
      <w:r>
        <w:rPr>
          <w:rFonts w:eastAsia="Cambria" w:cs="Cambria"/>
          <w:b/>
          <w:bCs/>
          <w:i w:val="false"/>
          <w:iCs w:val="false"/>
          <w:sz w:val="22"/>
          <w:szCs w:val="22"/>
        </w:rPr>
        <w:t>Geräte mit Synchronmotor</w:t>
      </w:r>
      <w:r>
        <w:rPr>
          <w:rFonts w:eastAsia="Cambria" w:cs="Cambria"/>
          <w:b w:val="false"/>
          <w:bCs w:val="false"/>
          <w:i w:val="false"/>
          <w:iCs w:val="false"/>
          <w:sz w:val="22"/>
          <w:szCs w:val="22"/>
        </w:rPr>
        <w:t xml:space="preserve"> (Plattenspieler, manche Uhren): laufen bei 60 Hz falsch. Nicht mitnehmen.</w:t>
      </w:r>
    </w:p>
    <w:p>
      <w:pPr>
        <w:pStyle w:val="ListParagraph"/>
        <w:numPr>
          <w:ilvl w:val="0"/>
          <w:numId w:val="1"/>
        </w:numPr>
        <w:spacing w:lineRule="exact" w:line="288" w:before="0" w:after="60"/>
        <w:rPr/>
      </w:pPr>
      <w:r>
        <w:rPr>
          <w:rFonts w:eastAsia="Cambria" w:cs="Cambria"/>
          <w:b/>
          <w:bCs/>
          <w:i w:val="false"/>
          <w:iCs w:val="false"/>
          <w:sz w:val="22"/>
          <w:szCs w:val="22"/>
        </w:rPr>
        <w:t>Spannungswandler</w:t>
      </w:r>
      <w:r>
        <w:rPr>
          <w:rFonts w:eastAsia="Cambria" w:cs="Cambria"/>
          <w:b w:val="false"/>
          <w:bCs w:val="false"/>
          <w:i w:val="false"/>
          <w:iCs w:val="false"/>
          <w:sz w:val="22"/>
          <w:szCs w:val="22"/>
        </w:rPr>
        <w:t xml:space="preserve"> (</w:t>
      </w:r>
      <w:r>
        <w:rPr>
          <w:rFonts w:eastAsia="Cambria" w:cs="Cambria"/>
          <w:b w:val="false"/>
          <w:bCs w:val="false"/>
          <w:i/>
          <w:iCs/>
          <w:sz w:val="22"/>
          <w:szCs w:val="22"/>
        </w:rPr>
        <w:t>Transformer</w:t>
      </w:r>
      <w:r>
        <w:rPr>
          <w:rFonts w:eastAsia="Cambria" w:cs="Cambria"/>
          <w:b w:val="false"/>
          <w:bCs w:val="false"/>
          <w:i w:val="false"/>
          <w:iCs w:val="false"/>
          <w:sz w:val="22"/>
          <w:szCs w:val="22"/>
        </w:rPr>
        <w:t>) taugen für kleine Lasten; bei Geräten über 1.000 W lohnen sie sich nicht.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Adapter schützt kein Gerät. Auch der Gedanke, ein 230-V-Gerät an die 240-V-Dose von Herd oder Trockner zu hängen, führt nicht weiter: Stecker, Absicherung und Frequenz passen nicht, und der Anschluss ist für andere Verbraucher gebaut.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Fotografiere vor dem Verkauf die Typenschilder aller Elektrogeräte und notiere Eingangsspannung und Leistung in Watt. So verkaufst du kein Gerät, das du hättest behalten können, und schleppst keinen Toaster über den Atlantik.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Schlafzimmer: Betten und Bettwäsche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haben eigene Maße, und die Unterschiede sind klein genug, um zu täuschen. Die Tabelle zeigt die fünf Größen mit der nächstliegenden deutschen Entsprechung (Näherungswerte).</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w:t>
      </w:r>
      <w:r>
        <w:rPr>
          <w:rFonts w:eastAsia="Cambria" w:cs="Cambria"/>
          <w:b w:val="false"/>
          <w:bCs w:val="false"/>
          <w:i/>
          <w:iCs/>
          <w:sz w:val="22"/>
          <w:szCs w:val="22"/>
        </w:rPr>
        <w:t>Deep Pocket</w:t>
      </w:r>
      <w:r>
        <w:rPr>
          <w:rFonts w:eastAsia="Cambria" w:cs="Cambria"/>
          <w:b w:val="false"/>
          <w:bCs w:val="false"/>
          <w:i w:val="false"/>
          <w:iCs w:val="false"/>
          <w:sz w:val="22"/>
          <w:szCs w:val="22"/>
        </w:rPr>
        <w:t xml:space="preserve">). Als Unterbau dient statt des Lattenrosts oft ein </w:t>
      </w:r>
      <w:r>
        <w:rPr>
          <w:rFonts w:eastAsia="Cambria" w:cs="Cambria"/>
          <w:b w:val="false"/>
          <w:bCs w:val="false"/>
          <w:i/>
          <w:iCs/>
          <w:sz w:val="22"/>
          <w:szCs w:val="22"/>
        </w:rPr>
        <w:t>Box Spring</w:t>
      </w:r>
      <w:r>
        <w:rPr>
          <w:rFonts w:eastAsia="Cambria" w:cs="Cambria"/>
          <w:b w:val="false"/>
          <w:bCs w:val="false"/>
          <w:i w:val="false"/>
          <w:iCs w:val="false"/>
          <w:sz w:val="22"/>
          <w:szCs w:val="22"/>
        </w:rPr>
        <w:t xml:space="preserve"> (flacher Rahmen, mit oder ohne Federn) oder eine Plattform. Das US-Standardkissen (20 × 26 in) misst 51 × 66 cm, deutlich weniger als die gewohnten 80 × 80 cm.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deutschen Bettdecken (135 × 200 cm) kannst du weiter benutzen, sie wirken auf einem Queen- oder King-Bett aber schmal; US-Bezüge passen nur auf US-Decken. Handtücher sind unproblematisch: Nimm die Lieblingsstücke mit, den Rest ersetzt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Bettgestelle, Lattenroste und Matratzen verkaufst du also, Bettwäsche kaufst du in US-Größe neu. Für eine Queen-Matratze rechnest du mit 400–1.200 $ (Markt-Durchschnitt 600–800 $, Stand 2026).</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 und Esszimmer: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 bestimmt, was hineinpasst. Innentüren sind meist 80 in (203 cm) hoch und 24–36 in (61–91 cm) breit, Decken in der Regel 8 ft (244 cm) hoch. Miss hohe Schränke, breite Sofas und lange Tische vorab aus und vergleiche sie mit dem Grundriss. Einen Kleiderschrank brauchst du oft nicht: Die meisten US-Schlafzimmer haben eingebaute Wandschränke (</w:t>
      </w:r>
      <w:r>
        <w:rPr>
          <w:rFonts w:eastAsia="Cambria" w:cs="Cambria"/>
          <w:b w:val="false"/>
          <w:bCs w:val="false"/>
          <w:i/>
          <w:iCs/>
          <w:sz w:val="22"/>
          <w:szCs w:val="22"/>
        </w:rPr>
        <w:t>Closets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Neuware sind Möbel zurzeit ein Preistreiber. Auf importierte Polstermöbel, Küchenschränke und Waschtischunterschränke (</w:t>
      </w:r>
      <w:r>
        <w:rPr>
          <w:rFonts w:eastAsia="Cambria" w:cs="Cambria"/>
          <w:b w:val="false"/>
          <w:bCs w:val="false"/>
          <w:i/>
          <w:iCs/>
          <w:sz w:val="22"/>
          <w:szCs w:val="22"/>
        </w:rPr>
        <w:t>Vanities</w:t>
      </w:r>
      <w:r>
        <w:rPr>
          <w:rFonts w:eastAsia="Cambria" w:cs="Cambria"/>
          <w:b w:val="false"/>
          <w:bCs w:val="false"/>
          <w:i w:val="false"/>
          <w:iCs w:val="false"/>
          <w:sz w:val="22"/>
          <w:szCs w:val="22"/>
        </w:rPr>
        <w:t>) liegt seit Herbst 2025 ein Zoll von 25 % (Section 232). Die 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Geräte, Töpfe, Herdtypen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vielen deutschen Mietwohnungen, in denen du die Küche selbst mitbringst, gehört die US-Küche zur Wohnung: Kühlschrank, Herd mit Backofen und meist auch ein Geschirrspüler sind da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Mitnehmen:</w:t>
      </w:r>
      <w:r>
        <w:rPr>
          <w:rFonts w:eastAsia="Cambria" w:cs="Cambria"/>
          <w:b w:val="false"/>
          <w:bCs w:val="false"/>
          <w:i w:val="false"/>
          <w:iCs w:val="false"/>
          <w:sz w:val="22"/>
          <w:szCs w:val="22"/>
        </w:rPr>
        <w:t xml:space="preserve"> gute Messer, Pfannen, Töpfe und Bräter, Backformen, Lieblingsgeschirr, Besteck, Küchenwaage, Mokkakanne.</w:t>
      </w:r>
    </w:p>
    <w:p>
      <w:pPr>
        <w:pStyle w:val="ListParagraph"/>
        <w:numPr>
          <w:ilvl w:val="0"/>
          <w:numId w:val="1"/>
        </w:numPr>
        <w:spacing w:lineRule="exact" w:line="288" w:before="0" w:after="60"/>
        <w:rPr/>
      </w:pPr>
      <w:r>
        <w:rPr>
          <w:rFonts w:eastAsia="Cambria" w:cs="Cambria"/>
          <w:b/>
          <w:bCs/>
          <w:i w:val="false"/>
          <w:iCs w:val="false"/>
          <w:sz w:val="22"/>
          <w:szCs w:val="22"/>
        </w:rPr>
        <w:t>Verkaufen:</w:t>
      </w:r>
      <w:r>
        <w:rPr>
          <w:rFonts w:eastAsia="Cambria" w:cs="Cambria"/>
          <w:b w:val="false"/>
          <w:bCs w:val="false"/>
          <w:i w:val="false"/>
          <w:iCs w:val="false"/>
          <w:sz w:val="22"/>
          <w:szCs w:val="22"/>
        </w:rPr>
        <w:t xml:space="preserve"> Wasserkocher, Toaster, Kaffeemaschine, Mixer, Küchenmaschine (Heizung oder Motor für 230 V).</w:t>
      </w:r>
    </w:p>
    <w:p>
      <w:pPr>
        <w:pStyle w:val="ListParagraph"/>
        <w:numPr>
          <w:ilvl w:val="0"/>
          <w:numId w:val="1"/>
        </w:numPr>
        <w:spacing w:lineRule="exact" w:line="288" w:before="0" w:after="60"/>
        <w:rPr/>
      </w:pPr>
      <w:r>
        <w:rPr>
          <w:rFonts w:eastAsia="Cambria" w:cs="Cambria"/>
          <w:b/>
          <w:bCs/>
          <w:i w:val="false"/>
          <w:iCs w:val="false"/>
          <w:sz w:val="22"/>
          <w:szCs w:val="22"/>
        </w:rPr>
        <w:t>Neu kaufen:</w:t>
      </w:r>
      <w:r>
        <w:rPr>
          <w:rFonts w:eastAsia="Cambria" w:cs="Cambria"/>
          <w:b w:val="false"/>
          <w:bCs w:val="false"/>
          <w:i w:val="false"/>
          <w:iCs w:val="false"/>
          <w:sz w:val="22"/>
          <w:szCs w:val="22"/>
        </w:rPr>
        <w:t xml:space="preserve"> Ratgeber nennen für eine funktionale Grundausstattung 150–400 $ und für 30 Basisteile 345–580 $ (2026).</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Töpfe, Geschirr und Besteck gibt es bei Goodwill und auf Estate Sales für einen Bruchteil des Neupreises. Kaufe dort, was dir nicht persönlich wichtig ist, und spare Container-Volumen für die guten Stücke.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Arbeitszimmer und Technik: Elektronik, Fernseher, Handy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Papier hat das Format Letter (8,5 × 11 in, 21,6 × 27,9 cm) statt DIN A4, und Ordner haben eine andere Lochung; Ordner und Locher kaufst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Keller und Garage: Werkzeug, Fahrräder, Sport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Lithium-Akkus (Akkuschrauber, E-Bike) gelten als Gefahrgut, und viele Umzugsfirmen schließen sie aus oder verlangen Sonderverpackung. Frage im Angebot ausdrücklich danach, bevor du Akkugeräte einplanst (mehr zu Verbotenem und Beschränktem im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Fahrrädern lohnt sich das Mitnehmen für hochwertige Rennräder, Mountainbikes und Reiseräder, die du verpackt 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Fitnessgeräte sind schwer und in den USA gebraucht leicht zu bekommen: verkaufen. Das Auto bleibt ebenfalls zurück; es lohnt sich fast nie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Kinderzimmer, Regale, Kleiderschrank: Bücher, Kleidung, Spielzeug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Bücher wiegen viel, sind im Sammelcontainer aber vergleichsweise günstig (Rechnung oben). Nimm deine Lieblingsbücher und die deutschen Kinderbücher mit; wie du Deutsch im Alltag der Kinder bewahrst,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Den Rest verkaufst du oder spendest ihn, ein E-Reader spart Platz. Zur Kleidung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Spielzeug zählt, woran die Kinder hängen. Lieblingsstücke, Kuscheltiere, Lego und Puzzles nimmst du mit, alles Übrige kaufst du gebraucht: In Vorstädten gibt es am Wochenende Garagenverkäufe (</w:t>
      </w:r>
      <w:r>
        <w:rPr>
          <w:rFonts w:eastAsia="Cambria" w:cs="Cambria"/>
          <w:b w:val="false"/>
          <w:bCs w:val="false"/>
          <w:i/>
          <w:iCs/>
          <w:sz w:val="22"/>
          <w:szCs w:val="22"/>
        </w:rPr>
        <w:t>Garage Sales</w:t>
      </w:r>
      <w:r>
        <w:rPr>
          <w:rFonts w:eastAsia="Cambria" w:cs="Cambria"/>
          <w:b w:val="false"/>
          <w:bCs w:val="false"/>
          <w:i w:val="false"/>
          <w:iCs w:val="false"/>
          <w:sz w:val="22"/>
          <w:szCs w:val="22"/>
        </w:rPr>
        <w:t xml:space="preserve"> oder </w:t>
      </w:r>
      <w:r>
        <w:rPr>
          <w:rFonts w:eastAsia="Cambria" w:cs="Cambria"/>
          <w:b w:val="false"/>
          <w:bCs w:val="false"/>
          <w:i/>
          <w:iCs/>
          <w:sz w:val="22"/>
          <w:szCs w:val="22"/>
        </w:rPr>
        <w:t>Yard Sales</w:t>
      </w:r>
      <w:r>
        <w:rPr>
          <w:rFonts w:eastAsia="Cambria" w:cs="Cambria"/>
          <w:b w:val="false"/>
          <w:bCs w:val="false"/>
          <w:i w:val="false"/>
          <w:iCs w:val="false"/>
          <w:sz w:val="22"/>
          <w:szCs w:val="22"/>
        </w:rPr>
        <w:t>), bei denen Spielzeug und Kinderkleidung oft für kleine Beträge den Besitzer wechseln.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Kindersitze aus Deutschland folgen der europäischen ECE-Norm, nicht der US-Norm FMVSS 213, und gelten in den USA als nicht zugelassen. Kaufe Kindersitze vor Ort und prüfe die Vorgaben deines Bundesstaats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Kunst und Erinnerungsstücke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Lass Bilder und Spiegel in Kisten mit Kantenschutz packen. Schmuck, Uhren, Datenträger und Originaldokumente reisen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 sind Artenschutz und Kulturgut: Elfenbein ohne Genehmigung ist in den USA verboten, und für wertvolles Kulturgut brauchst du bei der Ausfuhr aus Deutschland unter Umständen eine Genehmigung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Digitalisiere Fotos und Dokumente vorab. Ein paar vertraute Dinge an der Wand helfen außerdem gegen Heimweh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Übersicht: Mitnehmen, verkaufen oder neu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fasst die Empfehlungen zusammen. Die Ersatzkosten sind Spannen aus Ratgeber- und Anbietertexten (Stand 2026) und zeigen die Größenordnung, keine Festpreise.</w:t>
      </w:r>
    </w:p>
    <w:tbl>
      <w:tblPr>
        <w:tblW w:w="6480" w:type="dxa"/>
        <w:jc w:val="left"/>
        <w:tblInd w:w="0" w:type="dxa"/>
        <w:tblLayout w:type="fixed"/>
        <w:tblCellMar>
          <w:top w:w="50" w:type="dxa"/>
          <w:left w:w="80" w:type="dxa"/>
          <w:bottom w:w="50" w:type="dxa"/>
          <w:right w:w="80" w:type="dxa"/>
        </w:tblCellMar>
      </w:tblPr>
      <w:tblGrid>
        <w:gridCol w:w="1710"/>
        <w:gridCol w:w="1257"/>
        <w:gridCol w:w="1259"/>
        <w:gridCol w:w="2253"/>
      </w:tblGrid>
      <w:tr>
        <w:trPr>
          <w:tblHeader w:val="true"/>
          <w:cantSplit w:val="true"/>
        </w:trPr>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Empfehlung</w:t>
            </w:r>
          </w:p>
        </w:tc>
        <w:tc>
          <w:tcPr>
            <w:tcW w:w="1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c>
          <w:tcPr>
            <w:tcW w:w="22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Ersatzkosten in den USA</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Standardmöbel, Sofa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(250–600 € je Sofa) liegt nahe am Ersatz</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 800–2.000 $, Esstisch 500–2.000 $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 Einzelstücke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teuer, Maße vorher prüfen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Premium-Sofa 2.000–5.000 $ und mehr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Matratzen, Lattenroste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 Größen und Unterbauten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Queen-Matratze 400–1.200 $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passen nicht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Sets ab niedrigen zweistelligen Beträgen</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Waschmaschine, Trockner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 oft in Wohnung vorhanden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Paar 1.000–2.300 $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Herd</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Zoll-Normen, Mietwohnung hat beides</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600–2.300 $, Herd 600–1.300 $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Wasserkocher, Toaster, Kaffeemaschine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 bei 120 V nur ¼–½</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Küchen-Grundausstattung 150–400 $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Töpfe, Messer, Geschirr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Passen auf alle Herde, Qualität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Basisteile 345–580 $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Fernseher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Tuner nutzlos, US-Geräte günstig</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Zoll, 4K: etwa 200–300 $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Laptop, Handy, Tablet, Konsole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Netzteile 100–240 V</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Adapter genügt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Werkzeug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Handwerkzeug mit, 230-V-Geräte 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statt metrisch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Baumarkt vor Ort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Fahrräder, Sport</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Hochwertiges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Eingefahren, schwer ersetzbar</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Alltagsräder gebraucht über Marketplace</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Bücher, Spielzeug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10–20 € je Karton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Bücher kaum ersetzbar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US-Norm FMVSS 213</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Ort im Fachhandel</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Kunst, Erinnerungsstücke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Unersetzlich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ersetzbar, Versicherungswert festhalten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Erstausstattung: Budget und Kaufquellen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komplett neue Ausstattung nennen Ratgeber in mittlerer Qualität (Stand 2026) 5.000–8.000 $ für ein Studio, 7.000–12.000 $ für eine 1BR und 12.000–22.000 $ für eine 2BR (Zimmerzählung: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Mit IKEA und Secondhand liegen die Kosten 40–60 % darunter. Die Spalte rechts ist daraus gerechnet:</w:t>
      </w:r>
    </w:p>
    <w:tbl>
      <w:tblPr>
        <w:tblW w:w="6480" w:type="dxa"/>
        <w:jc w:val="left"/>
        <w:tblInd w:w="0" w:type="dxa"/>
        <w:tblLayout w:type="fixed"/>
        <w:tblCellMar>
          <w:top w:w="50" w:type="dxa"/>
          <w:left w:w="80" w:type="dxa"/>
          <w:bottom w:w="50" w:type="dxa"/>
          <w:right w:w="80" w:type="dxa"/>
        </w:tblCellMar>
      </w:tblPr>
      <w:tblGrid>
        <w:gridCol w:w="1520"/>
        <w:gridCol w:w="2548"/>
        <w:gridCol w:w="2412"/>
      </w:tblGrid>
      <w:tr>
        <w:trPr>
          <w:tblHeader w:val="true"/>
          <w:cantSplit w:val="true"/>
        </w:trPr>
        <w:tc>
          <w:tcPr>
            <w:tcW w:w="1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Wohnung</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Neumöbel, mittlere Qualität</w:t>
            </w:r>
          </w:p>
        </w:tc>
        <w:tc>
          <w:tcPr>
            <w:tcW w:w="24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Mit IKEA und Secondhand</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Studio</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5.000–8.000 $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2.000–4.800 $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1BR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7.000–12.000 $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2.800–7.200 $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2BR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12.000–22.000 $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4.800–13.200 $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den ersten Wochen zahlst du meist sofort: Ratenkauf und Händlerkarten setzen oft einen Credit Score voraus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also plane das Budget als Guthaben auf Konto und Karte ein.</w:t>
      </w:r>
    </w:p>
    <w:tbl>
      <w:tblPr>
        <w:tblW w:w="6480" w:type="dxa"/>
        <w:jc w:val="left"/>
        <w:tblInd w:w="0" w:type="dxa"/>
        <w:tblLayout w:type="fixed"/>
        <w:tblCellMar>
          <w:top w:w="50" w:type="dxa"/>
          <w:left w:w="80" w:type="dxa"/>
          <w:bottom w:w="50" w:type="dxa"/>
          <w:right w:w="80" w:type="dxa"/>
        </w:tblCellMar>
      </w:tblPr>
      <w:tblGrid>
        <w:gridCol w:w="1618"/>
        <w:gridCol w:w="2198"/>
        <w:gridCol w:w="2664"/>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IKEA</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Regale, Kommoden, Küchenzubehör</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Lieferung ab 5 $ (klein) bzw. 49 $ (groß), Montage über Taskrabbit ab 52 $ (IKEA-Angaben)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Sofas, Matratzen, Geräte, Großpackungen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65 $ (Gold Star) oder 130 $ (Executive) im Jahr; kulante Rückgabe</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Target, Wayfair</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 Küche, Kleinmöbel; Online-Möbel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Lieferzeit und Rückgabe vorher prüfen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Adapter, Leuchtmittel, Steckdosenleisten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Preise vergleichen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 Marketplace, Craigslist</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Geräte, Sportartikel gebraucht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abholen; öffentlicher Treffpunkt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Goodwill, Habitat ReStore</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Geschirr, Töpfe, Möbel, Baumaterial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gemeinnütziger Organisationen; Bestand wechselt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Estate Sales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Hausrat, Kunst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Haushaltsauflösungen; Rabatte steigen im Verlauf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Gebrauchtmöbel aus den USA gelten hierzulande oft als Resterampe. Auf Estate Sales wechseln tatsächlich häufig hochwertige, kaum genutzte Stücke den Besitzer – weil ganze Haushalte auf einen Schlag aufgelöst werden, nicht weil jemand ausgemustert hat, was nichts mehr taugte.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gebrauchte Kinderprodukte (Betten, Hochstühle, Laufställe) vor dem Kauf auf Rückrufe bei der Verbraucherschutzbehörde CPSC (cpsc.gov/recalls). Bei Marketplace-Käufen triffst du Verkäufer an öffentlichen Orten und zahlst erst bei der Übergabe.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in ein Reihenhaus bei Detroit. Der ganze Hausrat würde einen 20-ft-Container füllen: 4.000–7.500 € plus US-Zustellung. Betten, Lattenroste, Waschmaschine und Wasserkocher wären in den USA ohnehin unbrauchbar. Also bucht Anna eine Sammelladung von etwa 10 m³ für rund 2.800 €: 60 Kartons mit Büchern, deutschen Kinderbüchern, Küchenmessern, Gusspfannen, Winterjacken, Lego und Erinnerungskisten, dazu vier Fahrräder und die Kommode von Annas Großmutter. Sofa, Esstisch, Betten und Geräte gehen über Kleinanzeigen weg. Vor Ort kaufen sie für rund 8.200 $ ein: Sofa bei Costco 1.300 $, Esstisch 700 $, Betten und Matratzen für vier Personen 2.000 $, Waschmaschine und Trockner 1.300 $, Regale, Kommoden, Fernseher und Kleinkram 2.900 $. Am ersten Samstag steht die ganze Familie eine Stunde vor der Sofa-Wand bei Costco, bis die Entscheidung fällt. Die Betten bestellen sie in der ersten Woche, den Rest in Etappen.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Packliste für die ersten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die Sammelladung ankommt, vergehen nach Portalangaben vier bis zwölf Wochen Tür zu Tür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Handgepäckliste für den Landetag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Hier geht es um die Zeit danach.</w:t>
      </w:r>
    </w:p>
    <w:p>
      <w:pPr>
        <w:pStyle w:val="Normal"/>
        <w:keepNext w:val="false"/>
        <w:keepLines w:val="false"/>
        <w:spacing w:lineRule="exact" w:line="288" w:before="0" w:after="140"/>
        <w:jc w:val="left"/>
        <w:rPr/>
      </w:pPr>
      <w:r>
        <w:rPr>
          <w:rFonts w:eastAsia="Cambria" w:cs="Cambria"/>
          <w:b/>
          <w:bCs/>
          <w:i w:val="false"/>
          <w:iCs w:val="false"/>
          <w:sz w:val="22"/>
          <w:szCs w:val="22"/>
        </w:rPr>
        <w:t>Im Koffer, pro Person:</w:t>
      </w:r>
    </w:p>
    <w:p>
      <w:pPr>
        <w:pStyle w:val="ListParagraph"/>
        <w:numPr>
          <w:ilvl w:val="0"/>
          <w:numId w:val="1"/>
        </w:numPr>
        <w:spacing w:lineRule="exact" w:line="288" w:before="0" w:after="60"/>
        <w:rPr/>
      </w:pPr>
      <w:r>
        <w:rPr>
          <w:rFonts w:eastAsia="Cambria" w:cs="Cambria"/>
          <w:b w:val="false"/>
          <w:bCs w:val="false"/>
          <w:i w:val="false"/>
          <w:iCs w:val="false"/>
          <w:sz w:val="22"/>
          <w:szCs w:val="22"/>
        </w:rPr>
        <w:t>Kleidung für 10 bis 14 Tage im Schichtenprinzip, passend zum Wetter am Zielort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dazu ein bis zwei Business-Outfits für den Start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bequemes und ein gutes Paar Schuhe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Reiseapotheke und Dauermedikamente in Originalverpackung mit Rezept</w:t>
      </w:r>
    </w:p>
    <w:p>
      <w:pPr>
        <w:pStyle w:val="ListParagraph"/>
        <w:numPr>
          <w:ilvl w:val="0"/>
          <w:numId w:val="1"/>
        </w:numPr>
        <w:spacing w:lineRule="exact" w:line="288" w:before="0" w:after="60"/>
        <w:rPr/>
      </w:pPr>
      <w:r>
        <w:rPr>
          <w:rFonts w:eastAsia="Cambria" w:cs="Cambria"/>
          <w:b w:val="false"/>
          <w:bCs w:val="false"/>
          <w:i w:val="false"/>
          <w:iCs w:val="false"/>
          <w:sz w:val="22"/>
          <w:szCs w:val="22"/>
        </w:rPr>
        <w:t>Ladegeräte und zwei bis drei Adapter für US-Steckdosen (Typ A/B)</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Handtuch, bei Kindern Kuscheltier, Bücher und Spiele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eine noch leere Wohnung:</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Schlafsack und Isomatte aus dem Outdoor-Bestand oder eine Luftmatratze, die du vor Ort kaufst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Basisset für die Küche: Topf, Pfanne, Messer, Teller, Besteck für jede Person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möblierten Wohnen auf Zeit fragst du vorab nach Bettwäsche und Geschirr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In den ersten Tagen vor Ort kaufen:</w:t>
      </w:r>
    </w:p>
    <w:p>
      <w:pPr>
        <w:pStyle w:val="ListParagraph"/>
        <w:numPr>
          <w:ilvl w:val="0"/>
          <w:numId w:val="1"/>
        </w:numPr>
        <w:spacing w:lineRule="exact" w:line="288" w:before="0" w:after="60"/>
        <w:rPr/>
      </w:pPr>
      <w:r>
        <w:rPr>
          <w:rFonts w:eastAsia="Cambria" w:cs="Cambria"/>
          <w:b w:val="false"/>
          <w:bCs w:val="false"/>
          <w:i w:val="false"/>
          <w:iCs w:val="false"/>
          <w:sz w:val="22"/>
          <w:szCs w:val="22"/>
        </w:rPr>
        <w:t>Bettwäsche in US-Größe, Kissen, Decken, Handtücher</w:t>
      </w:r>
    </w:p>
    <w:p>
      <w:pPr>
        <w:pStyle w:val="ListParagraph"/>
        <w:numPr>
          <w:ilvl w:val="0"/>
          <w:numId w:val="1"/>
        </w:numPr>
        <w:spacing w:lineRule="exact" w:line="288" w:before="0" w:after="60"/>
        <w:rPr/>
      </w:pPr>
      <w:r>
        <w:rPr>
          <w:rFonts w:eastAsia="Cambria" w:cs="Cambria"/>
          <w:b w:val="false"/>
          <w:bCs w:val="false"/>
          <w:i w:val="false"/>
          <w:iCs w:val="false"/>
          <w:sz w:val="22"/>
          <w:szCs w:val="22"/>
        </w:rPr>
        <w:t>Toilettenpapier, Müllbeutel, Spülmittel, Putzzeug, Leuchtmittel</w:t>
      </w:r>
    </w:p>
    <w:p>
      <w:pPr>
        <w:pStyle w:val="ListParagraph"/>
        <w:numPr>
          <w:ilvl w:val="0"/>
          <w:numId w:val="1"/>
        </w:numPr>
        <w:spacing w:lineRule="exact" w:line="288" w:before="0" w:after="60"/>
        <w:rPr/>
      </w:pPr>
      <w:r>
        <w:rPr>
          <w:rFonts w:eastAsia="Cambria" w:cs="Cambria"/>
          <w:b w:val="false"/>
          <w:bCs w:val="false"/>
          <w:i w:val="false"/>
          <w:iCs w:val="false"/>
          <w:sz w:val="22"/>
          <w:szCs w:val="22"/>
        </w:rPr>
        <w:t>Steckdosenleiste mit Überspannungsschutz</w:t>
      </w:r>
    </w:p>
    <w:p>
      <w:pPr>
        <w:pStyle w:val="ListParagraph"/>
        <w:numPr>
          <w:ilvl w:val="0"/>
          <w:numId w:val="1"/>
        </w:numPr>
        <w:spacing w:lineRule="exact" w:line="288" w:before="0" w:after="60"/>
        <w:rPr/>
      </w:pPr>
      <w:r>
        <w:rPr>
          <w:rFonts w:eastAsia="Cambria" w:cs="Cambria"/>
          <w:b w:val="false"/>
          <w:bCs w:val="false"/>
          <w:i w:val="false"/>
          <w:iCs w:val="false"/>
          <w:sz w:val="22"/>
          <w:szCs w:val="22"/>
        </w:rPr>
        <w:t>Wasserkocher oder Kaffeemaschine für 120 V</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nach zwei Wochen fehlt, bestellst du besser vor Ort als aus Deutschland: Ein 20-kg-Paket per DHL kostet 142,99 € bei 6–12 Werktagen Laufzeit (Stand September 2026,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Es ist die Notlösung, nicht der Plan.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Bilanz gilt für den schlanken Umzug: wenig mitnehmen, vieles vor Ort neu kaufen.</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Weniger Fracht und weniger Zollpapier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Ausgaben in den ersten Wochen, oft mehrere tausend Dollar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passt zu Strom, Normen und Grundriss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und Nerven für Einkauf, Lieferung und Aufbau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Verkauf entrümpelt und bringt etwas Geld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Erlös liegt meist weit unter dem Neupreis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Ausstattung passt zur US-Wohnung mit Closets und Geräten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Vertrautes fehlt am Anfang und kann das Ankommen erschweren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späterer Umzug im Land bleibt leicht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Geräte und Möbel sind durch Zölle teurer geworden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ein Inventar an (Gegenstand, Maße, Eingangsspannung, Wert, Entscheidung) und sortiere in drei Stapel: mitnehmen, verkaufen, in den USA kaufen. Hole für das Mitnahmevolumen Angebote ein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lege den Verkaufszeitraum in deinen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und setze ein Budget für die Erstausstattung fest. Frage außerdem deinen Arbeitgeber, ob er dafür im Relocation-Paket etwas übernimmt.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Inventar aller Räume anlegen: Gegenstand, Maße, Eingangsspannung laut Typenschild, Wert, Entscheidung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Jeden Gegenstand einsortieren: mitnehmen, verkaufen oder in den USA neu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Nur mitnehmen, was ohne Umbau funktioniert und seit mindestens einem Jahr in Gebrauch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Türen, Deckenhöhe und Grundriss der US-Wohnung mit den Möbelmaßen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Betten, Matratzen, Lattenroste und Spannbetttücher nicht mitnehmen (US-Größen)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Verkaufen, Verschenken und Spenden acht bis zwölf Wochen vor dem Abflug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Erstausstattungsbudget festlegen und Zahlungsmittel für die ersten Käufe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Kindersitze nach US-Norm vor Ort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älteren Handys die US-Netzbänder prüfen und den SIM-Lock aufheben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Koffer für die ersten zwei Wochen packen und Wertsachen ins Handgepäck legen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CBP (Zoll- und Grenzschutzbehörde) — Umzugsgut und Formular 3299: </w:t>
      </w:r>
      <w:hyperlink r:id="rId201">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xml:space="preserve"> (Suche „household effects“)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Bundesvorschrift zum zollfreien Umzugsgut, 19 CFR § 148.52: </w:t>
      </w:r>
      <w:hyperlink r:id="rId202">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xml:space="preserve"> (Suche „19 CFR 148.52“)</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Section-232-Zölle auf Holzprodukte, Polstermöbel und Schränke: </w:t>
      </w:r>
      <w:hyperlink r:id="rId203">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(Suche „Timber, Lumber, and Their Derivative Products“)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NHTSA (Verkehrssicherheitsbehörde) — Kindersitze in den USA: </w:t>
      </w:r>
      <w:hyperlink r:id="rId204">
        <w:r>
          <w:rPr>
            <w:rStyle w:val="ListLabel113"/>
            <w:rFonts w:eastAsia="Cambria" w:cs="Cambria"/>
            <w:b w:val="false"/>
            <w:bCs w:val="false"/>
            <w:i w:val="false"/>
            <w:iCs w:val="false"/>
            <w:color w:val="0563C1"/>
            <w:sz w:val="22"/>
            <w:szCs w:val="22"/>
            <w:u w:val="single"/>
          </w:rPr>
          <w:t>nhtsa.gov/vehicle-safety/car-seats-and-booster-seats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CPSC (Verbraucherschutzbehörde für Produktsicherheit) — Rückrufe: </w:t>
      </w:r>
      <w:hyperlink r:id="rId205">
        <w:r>
          <w:rPr>
            <w:rStyle w:val="ListLabel113"/>
            <w:rFonts w:eastAsia="Cambria" w:cs="Cambria"/>
            <w:b w:val="false"/>
            <w:bCs w:val="false"/>
            <w:i w:val="false"/>
            <w:iCs w:val="false"/>
            <w:color w:val="0563C1"/>
            <w:sz w:val="22"/>
            <w:szCs w:val="22"/>
            <w:u w:val="single"/>
          </w:rPr>
          <w:t>cpsc.gov/recalls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IEC — Steckertypen und Netzspannung nach Land: </w:t>
      </w:r>
      <w:hyperlink r:id="rId206">
        <w:r>
          <w:rPr>
            <w:rStyle w:val="ListLabel113"/>
            <w:rFonts w:eastAsia="Cambria" w:cs="Cambria"/>
            <w:b w:val="false"/>
            <w:bCs w:val="false"/>
            <w:i w:val="false"/>
            <w:iCs w:val="false"/>
            <w:color w:val="0563C1"/>
            <w:sz w:val="22"/>
            <w:szCs w:val="22"/>
            <w:u w:val="single"/>
          </w:rPr>
          <w:t>iec.ch/world-plugs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Deutscher Zoll — Umzug und Ausfuhr: </w:t>
      </w:r>
      <w:hyperlink r:id="rId207">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xml:space="preserve"> (Suche „Umzugsgut“)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6" w:name="__RefHeading___Toc56478_3457424410"/>
      <w:bookmarkStart w:id="57" w:name="k22"/>
      <w:bookmarkEnd w:id="56"/>
      <w:r>
        <w:rPr>
          <w:rFonts w:eastAsia="Amazon Ember" w:cs="Amazon Ember" w:ascii="Amazon Ember" w:hAnsi="Amazon Ember"/>
          <w:b/>
          <w:bCs/>
          <w:color w:val="0000FF"/>
          <w:sz w:val="36"/>
          <w:szCs w:val="36"/>
        </w:rPr>
        <w:t>Kapitel 22: Haustiere: Einreise, Kosten, Alltag</w:t>
      </w:r>
      <w:bookmarkEnd w:id="5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Hunde aus Deutschland verlangt die US-Seuchenschutzbehörde CDC (</w:t>
            </w:r>
            <w:r>
              <w:rPr>
                <w:rFonts w:eastAsia="Cambria" w:cs="Cambria"/>
                <w:b w:val="false"/>
                <w:bCs w:val="false"/>
                <w:i/>
                <w:iCs/>
                <w:sz w:val="20"/>
                <w:szCs w:val="20"/>
              </w:rPr>
              <w:t>Centers for Disease Control and Prevention</w:t>
            </w:r>
            <w:r>
              <w:rPr>
                <w:rFonts w:eastAsia="Cambria" w:cs="Cambria"/>
                <w:b w:val="false"/>
                <w:bCs w:val="false"/>
                <w:i w:val="false"/>
                <w:iCs w:val="false"/>
                <w:sz w:val="20"/>
                <w:szCs w:val="20"/>
              </w:rPr>
              <w:t xml:space="preserve">, Stand September 2026) die kostenlose </w:t>
            </w:r>
            <w:r>
              <w:rPr>
                <w:rFonts w:eastAsia="Cambria" w:cs="Cambria"/>
                <w:b w:val="false"/>
                <w:bCs w:val="false"/>
                <w:i/>
                <w:iCs/>
                <w:sz w:val="20"/>
                <w:szCs w:val="20"/>
              </w:rPr>
              <w:t>Dog Import Form</w:t>
            </w:r>
            <w:r>
              <w:rPr>
                <w:rFonts w:eastAsia="Cambria" w:cs="Cambria"/>
                <w:b w:val="false"/>
                <w:bCs w:val="false"/>
                <w:i w:val="false"/>
                <w:iCs w:val="false"/>
                <w:sz w:val="20"/>
                <w:szCs w:val="20"/>
              </w:rPr>
              <w:t>, ein Mindestalter von sechs Monaten, einen lesbaren Mikrochip und gesundes Aussehen. Katzen müssen nur gesund 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Tollwutimpfung schreibt die CDC nicht vor. Bundesstaaten, Kommunen und Airlines verlangen sie in aller Regel trotzdem.</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Reise kostet pro Tier 95–200 $ je Strecke in der Kabine oder 500–2.500 $ und mehr im Frachtraum. Hitzesperren und Rassenregeln entscheiden oft mehr als die CDC.</w:t>
            </w:r>
          </w:p>
          <w:p>
            <w:pPr>
              <w:pStyle w:val="ListParagraph"/>
              <w:numPr>
                <w:ilvl w:val="0"/>
                <w:numId w:val="1"/>
              </w:numPr>
              <w:spacing w:lineRule="exact" w:line="264" w:before="0" w:after="50"/>
              <w:rPr/>
            </w:pPr>
            <w:r>
              <w:rPr>
                <w:rFonts w:eastAsia="Cambria" w:cs="Cambria"/>
                <w:b w:val="false"/>
                <w:bCs w:val="false"/>
                <w:i w:val="false"/>
                <w:iCs w:val="false"/>
                <w:sz w:val="20"/>
                <w:szCs w:val="20"/>
              </w:rPr>
              <w:t>Laufende Kosten: 1.200–4.300 $ pro Jahr für einen Hund, dazu in Mietwohnungen meist Haustiermiete und Kaution.</w:t>
            </w:r>
          </w:p>
          <w:p>
            <w:pPr>
              <w:pStyle w:val="ListParagraph"/>
              <w:numPr>
                <w:ilvl w:val="0"/>
                <w:numId w:val="1"/>
              </w:numPr>
              <w:spacing w:lineRule="exact" w:line="264" w:before="0" w:after="50"/>
              <w:rPr/>
            </w:pPr>
            <w:r>
              <w:rPr>
                <w:rFonts w:eastAsia="Cambria" w:cs="Cambria"/>
                <w:b w:val="false"/>
                <w:bCs w:val="false"/>
                <w:i w:val="false"/>
                <w:iCs w:val="false"/>
                <w:sz w:val="20"/>
                <w:szCs w:val="20"/>
              </w:rPr>
              <w:t>Plane drei bis vier Monate Vorlauf, für Hawaii mindestens vier.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USA bei der Einreise verlangen</w:t>
      </w:r>
    </w:p>
    <w:p>
      <w:pPr>
        <w:pStyle w:val="Normal"/>
        <w:keepNext w:val="false"/>
        <w:keepLines w:val="false"/>
        <w:spacing w:lineRule="exact" w:line="288" w:before="0" w:after="140"/>
        <w:jc w:val="left"/>
        <w:rPr/>
      </w:pPr>
      <w:r>
        <w:rPr>
          <w:rFonts w:eastAsia="Cambria" w:cs="Cambria"/>
          <w:b/>
          <w:bCs/>
          <w:i w:val="false"/>
          <w:iCs w:val="false"/>
          <w:sz w:val="22"/>
          <w:szCs w:val="22"/>
        </w:rPr>
        <w:t>Hunde.</w:t>
      </w:r>
      <w:r>
        <w:rPr>
          <w:rFonts w:eastAsia="Cambria" w:cs="Cambria"/>
          <w:b w:val="false"/>
          <w:bCs w:val="false"/>
          <w:i w:val="false"/>
          <w:iCs w:val="false"/>
          <w:sz w:val="22"/>
          <w:szCs w:val="22"/>
        </w:rPr>
        <w:t xml:space="preserve"> Jeder Hund braucht die </w:t>
      </w:r>
      <w:r>
        <w:rPr>
          <w:rFonts w:eastAsia="Cambria" w:cs="Cambria"/>
          <w:b w:val="false"/>
          <w:bCs w:val="false"/>
          <w:i/>
          <w:iCs/>
          <w:sz w:val="22"/>
          <w:szCs w:val="22"/>
        </w:rPr>
        <w:t>CDC Dog Import Form</w:t>
      </w:r>
      <w:r>
        <w:rPr>
          <w:rFonts w:eastAsia="Cambria" w:cs="Cambria"/>
          <w:b w:val="false"/>
          <w:bCs w:val="false"/>
          <w:i w:val="false"/>
          <w:iCs w:val="false"/>
          <w:sz w:val="22"/>
          <w:szCs w:val="22"/>
        </w:rPr>
        <w:t>: online auszufüllen, kostenlos, ein Formular pro Tier. Du kannst sie bis zu sechs Monate vor der Reise oder am Reisetag ausfüllen. Die Quittung gilt sechs Monate, sofern der Hund in dieser Zeit in keinem Hochrisikoland war. Für Hunde aus Ländern ohne Hochrisiko-Einstufung gilt zusätzlich: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Tollwutimpfung geht bei der Einreise angeblich gar nichts. Bundesrechtlich verlangt allein die CDC sie für Hunde aus Deutschland gar nicht – Mikrochip und ein ausgefülltes Formular reichen. Erst der Bundesstaat, die Fluggesellschaft oder die Kommune am Zielort macht die Spritze in der Praxis zur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 dein Hund in den letzten sechs Monaten in einem Hochrisikoland, auch nur im Urlaub, gilt die einfache Regel nicht mehr. Dann verlangt die CDC unter anderem Tollwutimpfung, Antikörpernachweis und Gesundheitszeugnis. Prüfe die Liste auf cdc.gov/importation, bevor du einen Urlaub mit Hund buchst.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Katzen.</w:t>
      </w:r>
      <w:r>
        <w:rPr>
          <w:rFonts w:eastAsia="Cambria" w:cs="Cambria"/>
          <w:b w:val="false"/>
          <w:bCs w:val="false"/>
          <w:i w:val="false"/>
          <w:iCs w:val="false"/>
          <w:sz w:val="22"/>
          <w:szCs w:val="22"/>
        </w:rPr>
        <w:t xml:space="preserve"> Bundesweit gibt es keine Impfpflicht; die Katze muss bei der Ankunft gesund wirken (CDC, Seite vom 22. August 2025). Die CDC empfiehlt die Tollwutimpfung, und einzelne Staaten schreiben sie vor, laut Ratgebern etwa New York ab drei Monaten. Wirkt ein Tier krank, kann vor der Einreise eine tierärztliche Untersuchung auf deine Kosten verlangt werden.</w:t>
      </w:r>
    </w:p>
    <w:p>
      <w:pPr>
        <w:pStyle w:val="Normal"/>
        <w:keepNext w:val="false"/>
        <w:keepLines w:val="false"/>
        <w:spacing w:lineRule="exact" w:line="288" w:before="0" w:after="140"/>
        <w:jc w:val="left"/>
        <w:rPr/>
      </w:pPr>
      <w:r>
        <w:rPr>
          <w:rFonts w:eastAsia="Cambria" w:cs="Cambria"/>
          <w:b/>
          <w:bCs/>
          <w:i w:val="false"/>
          <w:iCs w:val="false"/>
          <w:sz w:val="22"/>
          <w:szCs w:val="22"/>
        </w:rPr>
        <w:t>Hawaii und Guam</w:t>
      </w:r>
      <w:r>
        <w:rPr>
          <w:rFonts w:eastAsia="Cambria" w:cs="Cambria"/>
          <w:b w:val="false"/>
          <w:bCs w:val="false"/>
          <w:i w:val="false"/>
          <w:iCs w:val="false"/>
          <w:sz w:val="22"/>
          <w:szCs w:val="22"/>
        </w:rPr>
        <w:t xml:space="preserve">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pPr>
        <w:pStyle w:val="Normal"/>
        <w:keepNext w:val="false"/>
        <w:keepLines w:val="false"/>
        <w:spacing w:lineRule="exact" w:line="288" w:before="0" w:after="140"/>
        <w:jc w:val="left"/>
        <w:rPr/>
      </w:pPr>
      <w:r>
        <w:rPr>
          <w:rFonts w:eastAsia="Cambria" w:cs="Cambria"/>
          <w:b/>
          <w:bCs/>
          <w:i w:val="false"/>
          <w:iCs w:val="false"/>
          <w:sz w:val="22"/>
          <w:szCs w:val="22"/>
        </w:rPr>
        <w:t>Andere Tiere.</w:t>
      </w:r>
      <w:r>
        <w:rPr>
          <w:rFonts w:eastAsia="Cambria" w:cs="Cambria"/>
          <w:b w:val="false"/>
          <w:bCs w:val="false"/>
          <w:i w:val="false"/>
          <w:iCs w:val="false"/>
          <w:sz w:val="22"/>
          <w:szCs w:val="22"/>
        </w:rPr>
        <w:t xml:space="preserve"> Für Vögel, Reptilien, Nager, Pferde und geschützte Arten gelten eigene Vorgaben des Landwirtschaftsministeriums (USDA, Behörde APHIS) und der Wildtierbehörde USFWS, teils mit Genehmigung oder Quarantäne. Kläre das Monate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 Chip, Impfung, Papiere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drei bis vier Monate vor dem Abflug:</w:t>
      </w:r>
    </w:p>
    <w:p>
      <w:pPr>
        <w:pStyle w:val="ListParagraph"/>
        <w:numPr>
          <w:ilvl w:val="0"/>
          <w:numId w:val="143"/>
        </w:numPr>
        <w:spacing w:lineRule="exact" w:line="288" w:before="0" w:after="60"/>
        <w:rPr/>
      </w:pPr>
      <w:r>
        <w:rPr>
          <w:rFonts w:eastAsia="Cambria" w:cs="Cambria"/>
          <w:b/>
          <w:bCs/>
          <w:i w:val="false"/>
          <w:iCs w:val="false"/>
          <w:sz w:val="22"/>
          <w:szCs w:val="22"/>
        </w:rPr>
        <w:t>Chip prüfen.</w:t>
      </w:r>
      <w:r>
        <w:rPr>
          <w:rFonts w:eastAsia="Cambria" w:cs="Cambria"/>
          <w:b w:val="false"/>
          <w:bCs w:val="false"/>
          <w:i w:val="false"/>
          <w:iCs w:val="false"/>
          <w:sz w:val="22"/>
          <w:szCs w:val="22"/>
        </w:rPr>
        <w:t xml:space="preserve"> Der ISO-Chip (15-stellig) muss lesbar sein und in Heimtierausweis und Register stehen. Fehlt er, lass ihn zuerst setzen: Für die spätere Rückreise in die EU muss der Chip vor der Tollwutimpfung im Tier sein.</w:t>
      </w:r>
    </w:p>
    <w:p>
      <w:pPr>
        <w:pStyle w:val="ListParagraph"/>
        <w:numPr>
          <w:ilvl w:val="0"/>
          <w:numId w:val="144"/>
        </w:numPr>
        <w:spacing w:lineRule="exact" w:line="288" w:before="0" w:after="60"/>
        <w:rPr/>
      </w:pPr>
      <w:r>
        <w:rPr>
          <w:rFonts w:eastAsia="Cambria" w:cs="Cambria"/>
          <w:b/>
          <w:bCs/>
          <w:i w:val="false"/>
          <w:iCs w:val="false"/>
          <w:sz w:val="22"/>
          <w:szCs w:val="22"/>
        </w:rPr>
        <w:t>Airline und Route klären.</w:t>
      </w:r>
      <w:r>
        <w:rPr>
          <w:rFonts w:eastAsia="Cambria" w:cs="Cambria"/>
          <w:b w:val="false"/>
          <w:bCs w:val="false"/>
          <w:i w:val="false"/>
          <w:iCs w:val="false"/>
          <w:sz w:val="22"/>
          <w:szCs w:val="22"/>
        </w:rPr>
        <w:t xml:space="preserve"> Kabine oder Frachtraum, Gewichtsgrenzen, Hitze- und Rassenregeln, Anmeldefrist (siehe nächster Abschnitt).</w:t>
      </w:r>
    </w:p>
    <w:p>
      <w:pPr>
        <w:pStyle w:val="ListParagraph"/>
        <w:numPr>
          <w:ilvl w:val="0"/>
          <w:numId w:val="145"/>
        </w:numPr>
        <w:spacing w:lineRule="exact" w:line="288" w:before="0" w:after="60"/>
        <w:rPr/>
      </w:pPr>
      <w:r>
        <w:rPr>
          <w:rFonts w:eastAsia="Cambria" w:cs="Cambria"/>
          <w:b/>
          <w:bCs/>
          <w:i w:val="false"/>
          <w:iCs w:val="false"/>
          <w:sz w:val="22"/>
          <w:szCs w:val="22"/>
        </w:rPr>
        <w:t>Tierarzt-Check.</w:t>
      </w:r>
      <w:r>
        <w:rPr>
          <w:rFonts w:eastAsia="Cambria" w:cs="Cambria"/>
          <w:b w:val="false"/>
          <w:bCs w:val="false"/>
          <w:i w:val="false"/>
          <w:iCs w:val="false"/>
          <w:sz w:val="22"/>
          <w:szCs w:val="22"/>
        </w:rPr>
        <w:t xml:space="preserve"> Gesundheit, Flugtauglichkeit (bei älteren Tieren und bei Herz- oder Atemproblemen ausdrücklich fragen) und aktuelle Tollwutimpfung im EU-Heimtierausweis.</w:t>
      </w:r>
    </w:p>
    <w:p>
      <w:pPr>
        <w:pStyle w:val="ListParagraph"/>
        <w:numPr>
          <w:ilvl w:val="0"/>
          <w:numId w:val="146"/>
        </w:numPr>
        <w:spacing w:lineRule="exact" w:line="288" w:before="0" w:after="60"/>
        <w:rPr/>
      </w:pPr>
      <w:r>
        <w:rPr>
          <w:rFonts w:eastAsia="Cambria" w:cs="Cambria"/>
          <w:b/>
          <w:bCs/>
          <w:i w:val="false"/>
          <w:iCs w:val="false"/>
          <w:sz w:val="22"/>
          <w:szCs w:val="22"/>
        </w:rPr>
        <w:t>CDC-Formular.</w:t>
      </w:r>
      <w:r>
        <w:rPr>
          <w:rFonts w:eastAsia="Cambria" w:cs="Cambria"/>
          <w:b w:val="false"/>
          <w:bCs w:val="false"/>
          <w:i w:val="false"/>
          <w:iCs w:val="false"/>
          <w:sz w:val="22"/>
          <w:szCs w:val="22"/>
        </w:rPr>
        <w:t xml:space="preserve"> Dog Import Form ausfüllen, Quittung ausdrucken und digital speichern.</w:t>
      </w:r>
    </w:p>
    <w:p>
      <w:pPr>
        <w:pStyle w:val="ListParagraph"/>
        <w:numPr>
          <w:ilvl w:val="0"/>
          <w:numId w:val="147"/>
        </w:numPr>
        <w:spacing w:lineRule="exact" w:line="288" w:before="0" w:after="60"/>
        <w:rPr/>
      </w:pPr>
      <w:r>
        <w:rPr>
          <w:rFonts w:eastAsia="Cambria" w:cs="Cambria"/>
          <w:b/>
          <w:bCs/>
          <w:i w:val="false"/>
          <w:iCs w:val="false"/>
          <w:sz w:val="22"/>
          <w:szCs w:val="22"/>
        </w:rPr>
        <w:t>Gesundheitszeugnis.</w:t>
      </w:r>
      <w:r>
        <w:rPr>
          <w:rFonts w:eastAsia="Cambria" w:cs="Cambria"/>
          <w:b w:val="false"/>
          <w:bCs w:val="false"/>
          <w:i w:val="false"/>
          <w:iCs w:val="false"/>
          <w:sz w:val="22"/>
          <w:szCs w:val="22"/>
        </w:rPr>
        <w:t xml:space="preserve"> Viele Airlines verlangen ein tierärztliches Zeugnis, das beim Abflug höchstens zehn Tage alt ist (laut Ratgebern etwa bei Lufthansa). Lass dir den Bedarf schriftlich bestätigen.</w:t>
      </w:r>
    </w:p>
    <w:p>
      <w:pPr>
        <w:pStyle w:val="ListParagraph"/>
        <w:numPr>
          <w:ilvl w:val="0"/>
          <w:numId w:val="148"/>
        </w:numPr>
        <w:spacing w:lineRule="exact" w:line="288" w:before="0" w:after="60"/>
        <w:rPr/>
      </w:pPr>
      <w:r>
        <w:rPr>
          <w:rFonts w:eastAsia="Cambria" w:cs="Cambria"/>
          <w:b/>
          <w:bCs/>
          <w:i w:val="false"/>
          <w:iCs w:val="false"/>
          <w:sz w:val="22"/>
          <w:szCs w:val="22"/>
        </w:rPr>
        <w:t>Papiermappe</w:t>
      </w:r>
      <w:r>
        <w:rPr>
          <w:rFonts w:eastAsia="Cambria" w:cs="Cambria"/>
          <w:b w:val="false"/>
          <w:bCs w:val="false"/>
          <w:i w:val="false"/>
          <w:iCs w:val="false"/>
          <w:sz w:val="22"/>
          <w:szCs w:val="22"/>
        </w:rPr>
        <w:t xml:space="preserve"> ins Handgepäck: Heimtierausweis, CDC-Quittung, Zeugnis, Chipnummer.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CDC ist die kleinste Hürde. Ob dein Tier mitkommt, wo es wohnen darf und was es kostet, entscheiden Airline, Vermieter, Kommune und Jahreszeit.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Flug: Kabine oder Frachtraum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w:t>
      </w:r>
      <w:r>
        <w:rPr>
          <w:rFonts w:eastAsia="Cambria" w:cs="Cambria"/>
          <w:b/>
          <w:bCs/>
          <w:i w:val="false"/>
          <w:iCs w:val="false"/>
          <w:sz w:val="22"/>
          <w:szCs w:val="22"/>
        </w:rPr>
        <w:t>Kabine</w:t>
      </w:r>
      <w:r>
        <w:rPr>
          <w:rFonts w:eastAsia="Cambria" w:cs="Cambria"/>
          <w:b w:val="false"/>
          <w:bCs w:val="false"/>
          <w:i w:val="false"/>
          <w:iCs w:val="false"/>
          <w:sz w:val="22"/>
          <w:szCs w:val="22"/>
        </w:rPr>
        <w:t xml:space="preserv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Alles Größere reist im </w:t>
      </w:r>
      <w:r>
        <w:rPr>
          <w:rFonts w:eastAsia="Cambria" w:cs="Cambria"/>
          <w:b/>
          <w:bCs/>
          <w:i w:val="false"/>
          <w:iCs w:val="false"/>
          <w:sz w:val="22"/>
          <w:szCs w:val="22"/>
        </w:rPr>
        <w:t>Frachtraum</w:t>
      </w:r>
      <w:r>
        <w:rPr>
          <w:rFonts w:eastAsia="Cambria" w:cs="Cambria"/>
          <w:b w:val="false"/>
          <w:bCs w:val="false"/>
          <w:i w:val="false"/>
          <w:iCs w:val="false"/>
          <w:sz w:val="22"/>
          <w:szCs w:val="22"/>
        </w:rPr>
        <w:t>,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Hitze ist die häufigste Sperre. Der Frachtraum hält laut Lufthansa 45–85 °F (7–29 °C). Kurzköpfige Rassen wie Mops, Bulldogge, Boxer oder Shih Tzu reisen dort nicht, wenn es am Abflug-, Umstiegs- oder 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Reise kostet</w:t>
      </w:r>
    </w:p>
    <w:tbl>
      <w:tblPr>
        <w:tblW w:w="6480" w:type="dxa"/>
        <w:jc w:val="left"/>
        <w:tblInd w:w="0" w:type="dxa"/>
        <w:tblLayout w:type="fixed"/>
        <w:tblCellMar>
          <w:top w:w="50" w:type="dxa"/>
          <w:left w:w="80" w:type="dxa"/>
          <w:bottom w:w="50" w:type="dxa"/>
          <w:right w:w="80" w:type="dxa"/>
        </w:tblCellMar>
      </w:tblPr>
      <w:tblGrid>
        <w:gridCol w:w="4156"/>
        <w:gridCol w:w="2323"/>
      </w:tblGrid>
      <w:tr>
        <w:trPr>
          <w:tblHeader w:val="true"/>
          <w:cantSplit w:val="true"/>
        </w:trPr>
        <w:tc>
          <w:tcPr>
            <w:tcW w:w="41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3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Tier (Stand 2026)</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 Tests, Formalitäten</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250–800 $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Transportbox</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in der Kabine</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95–200 $ je Strecke</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im Frachtraum</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500–2.500 $ und mehr</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Full-Service-Tiertransport</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4.000–12.000 $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zieht von Dresden nach Phoenix und nimmt Bruno mit, einen Labrador-Mischling mit 27 kg. Die Kabine scheidet aus, also bleibt der Frachtraum. Die Airline nennt für den Zielflughafen eine Hitzegrenze, und Phoenix liegt im Sommer regelmäßig darüber; die Hoffmanns planen die Ankunft deshalb außerhalb der Sommermonate. Wochen vorher übt Bruno in der Transportbox schlafen, bis er sie freiwillig als Rückzugsort ansteuert. Am Cargo-Terminal in Phoenix bellt er schon durch die Wand, bevor die Box auf dem Rollwagen erscheint – die Hoffmanns hören ihn, bevor sie ihn sehen. Kosten pro Tier: Tierarzt und Zeugnis 400 $, Box 250 $, Frachtflug 1.600 $, zusammen 2.250 $. In der Wohnanlage kommen 50 $ Haustiermiete im Monat, 300 $ Kaution und 250 $ Einmalgebühr dazu, im ersten Jahr also 1.150 $. Die deutsche Hundesteuer entfällt, dafür fällt die Lizenz des Countys 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Kontrolle, Abholung, erste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vor dem Abflug, ob deine Übergangsunterkunft (Hotel, </w:t>
      </w:r>
      <w:r>
        <w:rPr>
          <w:rFonts w:eastAsia="Cambria" w:cs="Cambria"/>
          <w:b w:val="false"/>
          <w:bCs w:val="false"/>
          <w:i/>
          <w:iCs/>
          <w:sz w:val="22"/>
          <w:szCs w:val="22"/>
        </w:rPr>
        <w:t>Corporate Housing</w:t>
      </w:r>
      <w:r>
        <w:rPr>
          <w:rFonts w:eastAsia="Cambria" w:cs="Cambria"/>
          <w:b w:val="false"/>
          <w:bCs w:val="false"/>
          <w:i w:val="false"/>
          <w:iCs w:val="false"/>
          <w:sz w:val="22"/>
          <w:szCs w:val="22"/>
        </w:rPr>
        <w:t>, möbliertes Wohnen auf Zeit) Tiere erlaubt und was das kostet; oft fallen Zuschläge an. Tierfutter mit Fleisch- oder Milchbestandteilen kann bei der Einfuhr beschränkt sein, kaufe es lieber vor Ort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In der ersten Woche suchst du einen Tierarzt, änderst Adresse und Telefonnummer beim Chipregister und beantragst die Lizenz.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mit Tier: Miete, Rassenlisten, HOA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Rund 80 % der Mietwohnungen erlauben Tiere (Branchenangabe), doch für die meisten kostet das extra: 72 % der tierfreundlichen Objekte verlangen Haustiermiete (Branchenverband NAA). Typische Posten:</w:t>
      </w:r>
    </w:p>
    <w:tbl>
      <w:tblPr>
        <w:tblW w:w="6480" w:type="dxa"/>
        <w:jc w:val="left"/>
        <w:tblInd w:w="0" w:type="dxa"/>
        <w:tblLayout w:type="fixed"/>
        <w:tblCellMar>
          <w:top w:w="50" w:type="dxa"/>
          <w:left w:w="80" w:type="dxa"/>
          <w:bottom w:w="50" w:type="dxa"/>
          <w:right w:w="80" w:type="dxa"/>
        </w:tblCellMar>
      </w:tblPr>
      <w:tblGrid>
        <w:gridCol w:w="2974"/>
        <w:gridCol w:w="3505"/>
      </w:tblGrid>
      <w:tr>
        <w:trPr>
          <w:tblHeader w:val="true"/>
          <w:cantSplit w:val="true"/>
        </w:trPr>
        <w:tc>
          <w:tcPr>
            <w:tcW w:w="29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w:t>
            </w:r>
            <w:r>
              <w:rPr>
                <w:rFonts w:eastAsia="Cambria" w:cs="Cambria"/>
                <w:b w:val="false"/>
                <w:bCs w:val="false"/>
                <w:i/>
                <w:iCs/>
                <w:sz w:val="18"/>
                <w:szCs w:val="18"/>
              </w:rPr>
              <w:t>Pet Rent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50 $/Monat (Hund), 35 $ (Katze); Großstädte 50–75 $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Tierkaution (</w:t>
            </w:r>
            <w:r>
              <w:rPr>
                <w:rFonts w:eastAsia="Cambria" w:cs="Cambria"/>
                <w:b w:val="false"/>
                <w:bCs w:val="false"/>
                <w:i/>
                <w:iCs/>
                <w:sz w:val="18"/>
                <w:szCs w:val="18"/>
              </w:rPr>
              <w:t>Pet Deposit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200–500 $; San Francisco, New York 400–600 $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Einmalgebühr (</w:t>
            </w:r>
            <w:r>
              <w:rPr>
                <w:rFonts w:eastAsia="Cambria" w:cs="Cambria"/>
                <w:b w:val="false"/>
                <w:bCs w:val="false"/>
                <w:i/>
                <w:iCs/>
                <w:sz w:val="18"/>
                <w:szCs w:val="18"/>
              </w:rPr>
              <w:t>Pet Fee</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meist nicht erstattbar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Rasse, Gewicht und Zahl der Tiere, bevor du dich bewirbst, denn die Bewerbungsgebühr ist bei Ablehnung meist verloren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Verschweige das Tier nie: Ein nicht gemeldetes Tier ist ein Vertragsverstoß und kann Nachzahlung oder Kündigung bedeuten.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später kauft, begegnet der Eigentümergemeinschaft (</w:t>
      </w:r>
      <w:r>
        <w:rPr>
          <w:rFonts w:eastAsia="Cambria" w:cs="Cambria"/>
          <w:b w:val="false"/>
          <w:bCs w:val="false"/>
          <w:i/>
          <w:iCs/>
          <w:sz w:val="22"/>
          <w:szCs w:val="22"/>
        </w:rPr>
        <w:t>Homeowners Association</w:t>
      </w:r>
      <w:r>
        <w:rPr>
          <w:rFonts w:eastAsia="Cambria" w:cs="Cambria"/>
          <w:b w:val="false"/>
          <w:bCs w:val="false"/>
          <w:i w:val="false"/>
          <w:iCs w:val="false"/>
          <w:sz w:val="22"/>
          <w:szCs w:val="22"/>
        </w:rPr>
        <w:t>, HOA). Ihre Satzung kann Zahl, Gewicht und Rassen begrenzen; lies sie vor dem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Assistenzhunde für Menschen mit Behinderung unterliegen Sonderregeln des </w:t>
      </w:r>
      <w:r>
        <w:rPr>
          <w:rFonts w:eastAsia="Cambria" w:cs="Cambria"/>
          <w:b w:val="false"/>
          <w:bCs w:val="false"/>
          <w:i/>
          <w:iCs/>
          <w:sz w:val="22"/>
          <w:szCs w:val="22"/>
        </w:rPr>
        <w:t>Fair Housing Act</w:t>
      </w:r>
      <w:r>
        <w:rPr>
          <w:rFonts w:eastAsia="Cambria" w:cs="Cambria"/>
          <w:b w:val="false"/>
          <w:bCs w:val="false"/>
          <w:i w:val="false"/>
          <w:iCs w:val="false"/>
          <w:sz w:val="22"/>
          <w:szCs w:val="22"/>
        </w:rPr>
        <w:t>, des Bundesgesetzes gegen Diskriminierung beim Wohnen; ihre Halter zahlen in der Regel keine Haustiergebühren. Ein Schlupfloch für gewöhnliche Haustiere ist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Tierarzt, Versicherung, Lizenz, Leine</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verhandeln lernen. Verlange deshalb vor jeder Behandlung einen Kostenvoranschlag (</w:t>
      </w:r>
      <w:r>
        <w:rPr>
          <w:rFonts w:eastAsia="Cambria" w:cs="Cambria"/>
          <w:b w:val="false"/>
          <w:bCs w:val="false"/>
          <w:i/>
          <w:iCs/>
          <w:sz w:val="22"/>
          <w:szCs w:val="22"/>
        </w:rPr>
        <w:t>Estimate</w:t>
      </w:r>
      <w:r>
        <w:rPr>
          <w:rFonts w:eastAsia="Cambria" w:cs="Cambria"/>
          <w:b w:val="false"/>
          <w:bCs w:val="false"/>
          <w:i w:val="false"/>
          <w:iCs w:val="false"/>
          <w:sz w:val="22"/>
          <w:szCs w:val="22"/>
        </w:rPr>
        <w:t>). Notfallkliniken sind deutlich teurer, ein verschluckter Fremdkörper oder ein Kreuzbandriss kostet schnell mehrere Tausend Dollar. In vielen Regionen gehört eine monatliche Herzwurm-Vorsorge (</w:t>
      </w:r>
      <w:r>
        <w:rPr>
          <w:rFonts w:eastAsia="Cambria" w:cs="Cambria"/>
          <w:b w:val="false"/>
          <w:bCs w:val="false"/>
          <w:i/>
          <w:iCs/>
          <w:sz w:val="22"/>
          <w:szCs w:val="22"/>
        </w:rPr>
        <w:t>Heartworm Prevention</w:t>
      </w:r>
      <w:r>
        <w:rPr>
          <w:rFonts w:eastAsia="Cambria" w:cs="Cambria"/>
          <w:b w:val="false"/>
          <w:bCs w:val="false"/>
          <w:i w:val="false"/>
          <w:iCs w:val="false"/>
          <w:sz w:val="22"/>
          <w:szCs w:val="22"/>
        </w:rPr>
        <w:t>) zum Standard; frage den Tierarzt.</w:t>
      </w:r>
    </w:p>
    <w:p>
      <w:pPr>
        <w:pStyle w:val="Normal"/>
        <w:keepNext w:val="false"/>
        <w:keepLines w:val="false"/>
        <w:spacing w:lineRule="exact" w:line="288" w:before="0" w:after="140"/>
        <w:jc w:val="left"/>
        <w:rPr/>
      </w:pPr>
      <w:r>
        <w:rPr>
          <w:rFonts w:eastAsia="Cambria" w:cs="Cambria"/>
          <w:b/>
          <w:bCs/>
          <w:i w:val="false"/>
          <w:iCs w:val="false"/>
          <w:sz w:val="22"/>
          <w:szCs w:val="22"/>
        </w:rPr>
        <w:t>Tierversicherung.</w:t>
      </w:r>
      <w:r>
        <w:rPr>
          <w:rFonts w:eastAsia="Cambria" w:cs="Cambria"/>
          <w:b w:val="false"/>
          <w:bCs w:val="false"/>
          <w:i w:val="false"/>
          <w:iCs w:val="false"/>
          <w:sz w:val="22"/>
          <w:szCs w:val="22"/>
        </w:rP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Lizenz und Leine.</w:t>
      </w:r>
      <w:r>
        <w:rPr>
          <w:rFonts w:eastAsia="Cambria" w:cs="Cambria"/>
          <w:b w:val="false"/>
          <w:bCs w:val="false"/>
          <w:i w:val="false"/>
          <w:iCs w:val="false"/>
          <w:sz w:val="22"/>
          <w:szCs w:val="22"/>
        </w:rPr>
        <w:t xml:space="preserve"> Eine Hundesteuer wie in Deutschland gibt es nicht; stattdessen kostet die jährliche Hundelizenz (</w:t>
      </w:r>
      <w:r>
        <w:rPr>
          <w:rFonts w:eastAsia="Cambria" w:cs="Cambria"/>
          <w:b w:val="false"/>
          <w:bCs w:val="false"/>
          <w:i/>
          <w:iCs/>
          <w:sz w:val="22"/>
          <w:szCs w:val="22"/>
        </w:rPr>
        <w:t>Dog License</w:t>
      </w:r>
      <w:r>
        <w:rPr>
          <w:rFonts w:eastAsia="Cambria" w:cs="Cambria"/>
          <w:b w:val="false"/>
          <w:bCs w:val="false"/>
          <w:i w:val="false"/>
          <w:iCs w:val="false"/>
          <w:sz w:val="22"/>
          <w:szCs w:val="22"/>
        </w:rPr>
        <w:t>)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außerhalb des eigenen Grundstücks, Freilauf nur in ausgewiesenen Hundeparks (</w:t>
      </w:r>
      <w:r>
        <w:rPr>
          <w:rFonts w:eastAsia="Cambria" w:cs="Cambria"/>
          <w:b w:val="false"/>
          <w:bCs w:val="false"/>
          <w:i/>
          <w:iCs/>
          <w:sz w:val="22"/>
          <w:szCs w:val="22"/>
        </w:rPr>
        <w:t>Dog Parks</w:t>
      </w:r>
      <w:r>
        <w:rPr>
          <w:rFonts w:eastAsia="Cambria" w:cs="Cambria"/>
          <w:b w:val="false"/>
          <w:bCs w:val="false"/>
          <w:i w:val="false"/>
          <w:iCs w:val="false"/>
          <w:sz w:val="22"/>
          <w:szCs w:val="22"/>
        </w:rPr>
        <w:t>), Kotbeutel Pflicht, in vielen Nationalparks kein Hund auf Wanderwegen.</w:t>
      </w:r>
    </w:p>
    <w:p>
      <w:pPr>
        <w:pStyle w:val="Normal"/>
        <w:keepNext w:val="false"/>
        <w:keepLines w:val="false"/>
        <w:spacing w:lineRule="exact" w:line="288" w:before="0" w:after="140"/>
        <w:jc w:val="left"/>
        <w:rPr/>
      </w:pPr>
      <w:r>
        <w:rPr>
          <w:rFonts w:eastAsia="Cambria" w:cs="Cambria"/>
          <w:b/>
          <w:bCs/>
          <w:i w:val="false"/>
          <w:iCs w:val="false"/>
          <w:sz w:val="22"/>
          <w:szCs w:val="22"/>
        </w:rPr>
        <w:t>Hitze.</w:t>
      </w:r>
      <w:r>
        <w:rPr>
          <w:rFonts w:eastAsia="Cambria" w:cs="Cambria"/>
          <w:b w:val="false"/>
          <w:bCs w:val="false"/>
          <w:i w:val="false"/>
          <w:iCs w:val="false"/>
          <w:sz w:val="22"/>
          <w:szCs w:val="22"/>
        </w:rPr>
        <w:t xml:space="preserv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Rückreise nach Europa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Weg zurück will geplant sein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Laut APHIS (Seite vom 2. September 2026) gilt für Hunde und Katzen bei nicht gewerblicher Reise mit höchstens fünf Tieren: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pPr>
        <w:pStyle w:val="ListParagraph"/>
        <w:numPr>
          <w:ilvl w:val="0"/>
          <w:numId w:val="1"/>
        </w:numPr>
        <w:spacing w:lineRule="exact" w:line="288" w:before="0" w:after="60"/>
        <w:rPr/>
      </w:pPr>
      <w:r>
        <w:rPr>
          <w:rFonts w:eastAsia="Cambria" w:cs="Cambria"/>
          <w:b w:val="false"/>
          <w:bCs w:val="false"/>
          <w:i w:val="false"/>
          <w:iCs w:val="false"/>
          <w:sz w:val="22"/>
          <w:szCs w:val="22"/>
        </w:rP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pPr>
        <w:pStyle w:val="ListParagraph"/>
        <w:numPr>
          <w:ilvl w:val="0"/>
          <w:numId w:val="1"/>
        </w:numPr>
        <w:spacing w:lineRule="exact" w:line="288" w:before="0" w:after="60"/>
        <w:rPr/>
      </w:pPr>
      <w:r>
        <w:rPr>
          <w:rFonts w:eastAsia="Cambria" w:cs="Cambria"/>
          <w:b w:val="false"/>
          <w:bCs w:val="false"/>
          <w:i w:val="false"/>
          <w:iCs w:val="false"/>
          <w:sz w:val="22"/>
          <w:szCs w:val="22"/>
        </w:rPr>
        <w:t>Ob ein in Deutschland ausgestellter EU-Heimtierausweis das Zeugnis ersetzt, klärst du vorab mit APHIS und deinem Tierarzt.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Hund bleibt in der Familie, das erleichtert vor allem Kindern das Ankommen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Reisekosten von 500 $ bis mehrere Tausend Dollar pro Tier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Hunde aus Deutschland genügt bundesweit ein kostenloses Online-Formular, kein Bluttest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Hitzesperren und Kurzkopf-Regeln können Termin und Route bestimmen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80 % der Mietwohnungen erlauben Tiere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Kaution und Gebühren verteuern das Wohnen, Rassenlisten schließen manche Hunde aus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Hundeparks gehören in vielen Städten zum Standard</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Tierarztpreise sind nicht gedeckelt, Notfälle werden schnell vierstellig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Tierversicherungen federn hohe Rechnungen ab</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Rückreise verlangt ein neues Zeugnis mit APHIS-Beglaubigung und straffe Fristen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Chip prüfen: 15-stellige ISO-Nummer lesbar, in Heimtierausweis und Register eingetragen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Airline schriftlich fragen: Kabine oder Frachtraum, Gewicht, Kurzkopf- und Hitzeregeln, Anmeldefrist, Zeugnis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bis vier Monate vor Abflug zum Tierarzt: Flugtauglichkeit, Tollwutimpfung aktuell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Hund in den letzten sechs Monaten in einem Hochrisikoland war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Transportbox kaufen und mehrere Wochen vorher gewöhnen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CDC Dog Import Form pro Hund ausfüllen, Quittung ausdrucken und digital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Gesundheitszeugnis nach Airline-Vorgabe besorgen (beim Abflug höchstens zehn Tage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Tierregeln, Rassenliste, Haustiermiete und Kaution klären, bevor du dich für Wohnung oder Übergangsunterkunft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Papiermappe ins Handgepäck legen und den Abholort am Zielflughafen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Tierarzt suchen, Lizenz beantragen, Chipregister aktualisieren, Versicherung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die Rückreise Impfstatus und Chip dokumentieren und die APHIS-Regeln früh ansehen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Einfuhr von Hunden und Katzen, Hochrisikoländer, Dog Import Form (</w:t>
      </w:r>
      <w:hyperlink r:id="rId208">
        <w:r>
          <w:rPr>
            <w:rStyle w:val="ListLabel113"/>
            <w:rFonts w:eastAsia="Cambria" w:cs="Cambria"/>
            <w:b w:val="false"/>
            <w:bCs w:val="false"/>
            <w:i w:val="false"/>
            <w:iCs w:val="false"/>
            <w:color w:val="0563C1"/>
            <w:sz w:val="22"/>
            <w:szCs w:val="22"/>
            <w:u w:val="single"/>
          </w:rPr>
          <w:t>cdc.gov/importation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Reisen mit Haustieren, Rückreise in die EU (</w:t>
      </w:r>
      <w:hyperlink r:id="rId209">
        <w:r>
          <w:rPr>
            <w:rStyle w:val="ListLabel113"/>
            <w:rFonts w:eastAsia="Cambria" w:cs="Cambria"/>
            <w:b w:val="false"/>
            <w:bCs w:val="false"/>
            <w:i w:val="false"/>
            <w:iCs w:val="false"/>
            <w:color w:val="0563C1"/>
            <w:sz w:val="22"/>
            <w:szCs w:val="22"/>
            <w:u w:val="single"/>
          </w:rPr>
          <w:t>aphis.usda.gov/pet-travel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Hawaii Department of Agriculture — Quarantäneprogramm für Tiere (</w:t>
      </w:r>
      <w:hyperlink r:id="rId210">
        <w:r>
          <w:rPr>
            <w:rStyle w:val="ListLabel113"/>
            <w:rFonts w:eastAsia="Cambria" w:cs="Cambria"/>
            <w:b w:val="false"/>
            <w:bCs w:val="false"/>
            <w:i w:val="false"/>
            <w:iCs w:val="false"/>
            <w:color w:val="0563C1"/>
            <w:sz w:val="22"/>
            <w:szCs w:val="22"/>
            <w:u w:val="single"/>
          </w:rPr>
          <w:t>dab.hawaii.gov/ai</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Maricopa County — Hundelizenz als Beispiel (</w:t>
      </w:r>
      <w:hyperlink r:id="rId211">
        <w:r>
          <w:rPr>
            <w:rStyle w:val="ListLabel113"/>
            <w:rFonts w:eastAsia="Cambria" w:cs="Cambria"/>
            <w:b w:val="false"/>
            <w:bCs w:val="false"/>
            <w:i w:val="false"/>
            <w:iCs w:val="false"/>
            <w:color w:val="0563C1"/>
            <w:sz w:val="22"/>
            <w:szCs w:val="22"/>
            <w:u w:val="single"/>
          </w:rPr>
          <w:t>maricopa.gov/226/Dog-License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Fish and Wildlife Service — Einfuhr geschützter Arten (</w:t>
      </w:r>
      <w:hyperlink r:id="rId212">
        <w:r>
          <w:rPr>
            <w:rStyle w:val="ListLabel113"/>
            <w:rFonts w:eastAsia="Cambria" w:cs="Cambria"/>
            <w:b w:val="false"/>
            <w:bCs w:val="false"/>
            <w:i w:val="false"/>
            <w:iCs w:val="false"/>
            <w:color w:val="0563C1"/>
            <w:sz w:val="22"/>
            <w:szCs w:val="22"/>
            <w:u w:val="single"/>
          </w:rPr>
          <w:t>fws.gov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Einreise mit Heimtieren nach Deutschland (</w:t>
      </w:r>
      <w:hyperlink r:id="rId213">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Suchbegriff „Heimtiere“)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49"/>
              </w:numPr>
              <w:spacing w:lineRule="exact" w:line="264" w:before="0" w:after="50"/>
              <w:rPr/>
            </w:pPr>
            <w:r>
              <w:rPr>
                <w:rFonts w:eastAsia="Cambria" w:cs="Cambria"/>
                <w:b w:val="false"/>
                <w:bCs w:val="false"/>
                <w:i w:val="false"/>
                <w:iCs w:val="false"/>
                <w:sz w:val="20"/>
                <w:szCs w:val="20"/>
              </w:rPr>
              <w:t>September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tc>
      </w:tr>
    </w:tbl>
    <w:p>
      <w:pPr>
        <w:sectPr>
          <w:footerReference w:type="even" r:id="rId214"/>
          <w:footerReference w:type="default" r:id="rId215"/>
          <w:footerReference w:type="first" r:id="rId2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8" w:name="__RefHeading___Toc56480_3457424410"/>
      <w:bookmarkEnd w:id="58"/>
      <w:r>
        <w:rPr>
          <w:rFonts w:eastAsia="Amazon Ember" w:cs="Amazon Ember" w:ascii="Amazon Ember" w:hAnsi="Amazon Ember"/>
          <w:b/>
          <w:bCs/>
          <w:color w:val="0000FF"/>
        </w:rPr>
        <w:t>TEIL VI — Ankommen</w:t>
      </w:r>
    </w:p>
    <w:p>
      <w:pPr>
        <w:sectPr>
          <w:footerReference w:type="even" r:id="rId217"/>
          <w:footerReference w:type="default" r:id="rId218"/>
          <w:footerReference w:type="first" r:id="rId2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Die ersten Tage und Wochen: Einreise, Sozialversicherungsnummer, Bank, Krankenversicherung, Führerschein und Steuern.</w:t>
      </w:r>
      <w:r>
        <w:br w:type="page"/>
      </w:r>
    </w:p>
    <w:p>
      <w:pPr>
        <w:pStyle w:val="Heading2"/>
        <w:keepNext w:val="true"/>
        <w:spacing w:lineRule="exact" w:line="340" w:before="0" w:after="300"/>
        <w:jc w:val="center"/>
        <w:rPr/>
      </w:pPr>
      <w:bookmarkStart w:id="59" w:name="__RefHeading___Toc56482_3457424410"/>
      <w:bookmarkStart w:id="60" w:name="k23"/>
      <w:bookmarkEnd w:id="59"/>
      <w:r>
        <w:rPr>
          <w:rFonts w:eastAsia="Amazon Ember" w:cs="Amazon Ember" w:ascii="Amazon Ember" w:hAnsi="Amazon Ember"/>
          <w:b/>
          <w:bCs/>
          <w:color w:val="0000FF"/>
          <w:sz w:val="36"/>
          <w:szCs w:val="36"/>
        </w:rPr>
        <w:t>Kapitel 23: Landung, Einreise und die ersten 72 Stunden</w:t>
      </w:r>
      <w:bookmarkEnd w:id="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Augen brennen vom Nachtflug, im Rollkoffer klappert irgendetwas Loses, und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Visum bringt dich an die Grenze; Status und Ablaufdatum legt der Grenzschutz (CBP) fest, beides im elektronischen </w:t>
            </w:r>
            <w:r>
              <w:rPr>
                <w:rFonts w:eastAsia="Cambria" w:cs="Cambria"/>
                <w:b w:val="false"/>
                <w:bCs w:val="false"/>
                <w:i/>
                <w:iCs/>
                <w:sz w:val="20"/>
                <w:szCs w:val="20"/>
              </w:rPr>
              <w:t>Form I-94</w:t>
            </w:r>
            <w:r>
              <w:rPr>
                <w:rFonts w:eastAsia="Cambria" w:cs="Cambria"/>
                <w:b w:val="false"/>
                <w:bCs w:val="false"/>
                <w:i w:val="false"/>
                <w:iCs w:val="false"/>
                <w:sz w:val="20"/>
                <w:szCs w:val="20"/>
              </w:rPr>
              <w:t>, dem Einreisenachweis.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H-1B darfst du frühestens 10 Tage vor Petitionsbeginn landen; arbeiten darfst du erst ab dem Startdatum.</w:t>
            </w:r>
          </w:p>
          <w:p>
            <w:pPr>
              <w:pStyle w:val="ListParagraph"/>
              <w:numPr>
                <w:ilvl w:val="0"/>
                <w:numId w:val="1"/>
              </w:numPr>
              <w:spacing w:lineRule="exact" w:line="264" w:before="0" w:after="50"/>
              <w:rPr/>
            </w:pPr>
            <w:r>
              <w:rPr>
                <w:rFonts w:eastAsia="Cambria" w:cs="Cambria"/>
                <w:b w:val="false"/>
                <w:bCs w:val="false"/>
                <w:i w:val="false"/>
                <w:iCs w:val="false"/>
                <w:sz w:val="20"/>
                <w:szCs w:val="20"/>
              </w:rPr>
              <w:t>Alle Papiere gehören ins Handgepäck; den I-94 rufst du noch am Ankunftstag online ab.</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Am ersten Arbeitstag brauchst du Originale für die </w:t>
            </w:r>
            <w:r>
              <w:rPr>
                <w:rFonts w:eastAsia="Cambria" w:cs="Cambria"/>
                <w:b w:val="false"/>
                <w:bCs w:val="false"/>
                <w:i/>
                <w:iCs/>
                <w:sz w:val="20"/>
                <w:szCs w:val="20"/>
              </w:rPr>
              <w:t>Form I-9</w:t>
            </w:r>
            <w:r>
              <w:rPr>
                <w:rFonts w:eastAsia="Cambria" w:cs="Cambria"/>
                <w:b w:val="false"/>
                <w:bCs w:val="false"/>
                <w:i w:val="false"/>
                <w:iCs w:val="false"/>
                <w:sz w:val="20"/>
                <w:szCs w:val="20"/>
              </w:rPr>
              <w:t xml:space="preserve"> (Nachweis der Arbeitserlaubnis), ein W-4 und Bankdaten.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Notruf lautet 911. Betrüger suchen gezielt Neuankömmlinge.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Frühester Einreisetag und Flugbuchung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gilt: frühestens 10 Tage vor Beginn des Gültigkeitszeitraums deiner Petition einreisen. Das Von-Datum steht im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xml:space="preserve">, </w:t>
      </w:r>
      <w:r>
        <w:rPr>
          <w:rFonts w:eastAsia="Cambria" w:cs="Cambria"/>
          <w:b w:val="false"/>
          <w:bCs w:val="false"/>
          <w:i/>
          <w:iCs/>
          <w:sz w:val="22"/>
          <w:szCs w:val="22"/>
        </w:rPr>
        <w:t>Approval Notice</w:t>
      </w:r>
      <w:r>
        <w:rPr>
          <w:rFonts w:eastAsia="Cambria" w:cs="Cambria"/>
          <w:b w:val="false"/>
          <w:bCs w:val="false"/>
          <w:i w:val="false"/>
          <w:iCs w:val="false"/>
          <w:sz w:val="22"/>
          <w:szCs w:val="22"/>
        </w:rPr>
        <w:t>, USCIS). Beginnt der Zeitraum am 1. Oktober, ist der 21. September der früheste Landetag; früher kommt niemand im H-1B-Status durch. Nach dem Ende bleiben 10 Tage Puffer zum Ausreisen, nicht zum Weiterarbeiten. H-4-Familienmitglieder reisen meist im selben Zeitraum ein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Flug erst nach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mit ein bis zwei Tagen Puffer vor dem Startdatum: So kostet ein gestrichener Anschlussflug nicht den ersten Arbeitstag. Das Zehn-Tage-Fenster auszunutzen ist Abwägungssache (siehe Plus und Minus).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nicht vor dem Startdatum der Petition, auch nicht unbezahlt oder aus dem Hotel — das kann als unerlaubte Beschäftigung gelten und deinen Status gefährden. Lege Onboarding-Termine auf das Startdatum oder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ins Handgepäck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kann Stunden oder Tage nach dir ankommen, die Papiere dürfen es nicht: Packe alles Folgende in eine Handgepäck-Mappe und fotografiere jede Seite für eine Cloud.</w:t>
      </w:r>
    </w:p>
    <w:tbl>
      <w:tblPr>
        <w:tblW w:w="6480" w:type="dxa"/>
        <w:jc w:val="left"/>
        <w:tblInd w:w="0" w:type="dxa"/>
        <w:tblLayout w:type="fixed"/>
        <w:tblCellMar>
          <w:top w:w="50" w:type="dxa"/>
          <w:left w:w="80" w:type="dxa"/>
          <w:bottom w:w="50" w:type="dxa"/>
          <w:right w:w="80" w:type="dxa"/>
        </w:tblCellMar>
      </w:tblPr>
      <w:tblGrid>
        <w:gridCol w:w="3632"/>
        <w:gridCol w:w="2847"/>
      </w:tblGrid>
      <w:tr>
        <w:trPr>
          <w:tblHeader w:val="true"/>
          <w:cantSplit w:val="true"/>
        </w:trPr>
        <w:tc>
          <w:tcPr>
            <w:tcW w:w="3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2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Wozu</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mit Visum, für jedes Familienmitglied</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Genehmigungsbescheid Form I-797, Original</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Belegt Arbeitgeber, Zeitraum, Kategorie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 mit Startdatum und Ansprechpartner in der Personalabteilung</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Rückfragen zu Job und Start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Buchung der ersten Unterkunft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fragt nach der Adresse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Heirats- und Geburtsurkunden, Originale (Kapitel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Familiennachweis für H-4, später Behörden</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Impfausweise und Zeugnisse der Kinder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Schulanmeldung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Internationaler Führerschein</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Mietwagen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 in Originalverpackung, Arztbrief</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Vorrat bis zur Versicherung</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Nummern von Personalabteilung und Einwanderungsanwalt auf Papier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Falls das Handy ausfällt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Hund: Quittung des CDC Dog Import Form</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bei der Einreise (Kapitel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Original gehört in den aufgegebenen Koffer: Ein verspäteter Koffer wird nachgeliefert, ein verlorener Genehmigungsbescheid ist mühsam zu ersetzen.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Einreisekontrolle bei CBP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Landung folgst du den Schildern zur Einreisekontrolle (</w:t>
      </w:r>
      <w:r>
        <w:rPr>
          <w:rFonts w:eastAsia="Cambria" w:cs="Cambria"/>
          <w:b w:val="false"/>
          <w:bCs w:val="false"/>
          <w:i/>
          <w:iCs/>
          <w:sz w:val="22"/>
          <w:szCs w:val="22"/>
        </w:rPr>
        <w:t>Immigration</w:t>
      </w:r>
      <w:r>
        <w:rPr>
          <w:rFonts w:eastAsia="Cambria" w:cs="Cambria"/>
          <w:b w:val="false"/>
          <w:bCs w:val="false"/>
          <w:i w:val="false"/>
          <w:iCs w:val="false"/>
          <w:sz w:val="22"/>
          <w:szCs w:val="22"/>
        </w:rPr>
        <w:t xml:space="preserve">), hinein in die Schlange für ausländische Reisepässe, wo Koffergriffe quietschen und ein Dutzend Sprachen durcheinander murmeln. Am Schalter prüft ein Beamter der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dem Grenzschutz) Pass und Visum, nimmt ein Foto auf und fragt nach Zweck, Arbeitgeber, Adresse und Dauer. Er kann weitere biometrische Daten wie Fingerabdrücke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Dezember 2025 darf CBP alle Nicht-US-Bürger bei Ein- und Ausreise fotografieren (Federal Register, 27. Oktober 2025): Das Foto ist Routine, kein Verdachtsmoment.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Antworte kurz, ruhig und wahrheitsgemäß auf Englisch, etwa: </w:t>
      </w:r>
      <w:r>
        <w:rPr>
          <w:rFonts w:eastAsia="Cambria" w:cs="Cambria"/>
          <w:b w:val="false"/>
          <w:bCs w:val="false"/>
          <w:i/>
          <w:iCs/>
          <w:sz w:val="22"/>
          <w:szCs w:val="22"/>
        </w:rPr>
        <w:t>„I am starting a job as a software engineer at [company name] in Seattle. My H-1B status begins on October 1.“</w:t>
      </w:r>
      <w:r>
        <w:rPr>
          <w:rFonts w:eastAsia="Cambria" w:cs="Cambria"/>
          <w:b w:val="false"/>
          <w:bCs w:val="false"/>
          <w:i w:val="false"/>
          <w:iCs w:val="false"/>
          <w:sz w:val="22"/>
          <w:szCs w:val="22"/>
        </w:rPr>
        <w:t xml:space="preserve"> Falsche Angaben gelten als Täuschung und können eine dauerhafte Einreisesperre nach sich ziehen; ‚Das weiß ich nicht genau‘ ist besser als eine Vermutung. Telefonieren und Fotografieren sind in der Kontrollzone untersagt.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zweite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Manchmal schickt dich der Beamte zur </w:t>
      </w:r>
      <w:r>
        <w:rPr>
          <w:rFonts w:eastAsia="Cambria" w:cs="Cambria"/>
          <w:b w:val="false"/>
          <w:bCs w:val="false"/>
          <w:i/>
          <w:iCs/>
          <w:sz w:val="22"/>
          <w:szCs w:val="22"/>
        </w:rPr>
        <w:t>Secondary Inspection</w:t>
      </w:r>
      <w:r>
        <w:rPr>
          <w:rFonts w:eastAsia="Cambria" w:cs="Cambria"/>
          <w:b w:val="false"/>
          <w:bCs w:val="false"/>
          <w:i w:val="false"/>
          <w:iCs w:val="false"/>
          <w:sz w:val="22"/>
          <w:szCs w:val="22"/>
        </w:rPr>
        <w:t>, einer ausführlicheren Befragung im Nebenraum – kein Vorwurf, Gründe sind Stichproben, Namensähnlichkeiten in Datenbanken, unklare Jobangaben oder fehlende Unterlagen. Sie dauert Minuten bis Stunden; sage der abholenden Person Bescheid und plane keinen knappen Anschluss.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CBP darf Handys und Laptops bei der Einreise durchsehen, geregelt in einer im Januar 2026 neu gefassten Richtlinie (CBP Directive 3340-049B). Verweigert ein Nicht-US-Bürger die Mitwirkung, riskiert er, dass CBP das Gerät einbehält oder die Einreise verweigert. Kläre vorab mit dem Arbeitgeber den Umgang mit vertraulichen Firmendaten auf dem Gerät.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I-94: Nachweis deines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Visum im Pass ist nur die Eintrittskarte. Status und Ablaufdatum legt CBP bei der Zulassung fest; sie stehen im I-94, nicht im Visum.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Flughafen bekommst du meist keinen Papier-I-94: CBP erfasst die Einreise elektronisch, du rufst den Nachweis selbst ab, auf i94.cbp.dhs.gov unter „Get Most Recent I-94“, mit Name, Geburtsdatum und Passdaten. Speichere das PDF, gib es der Personalabteilung; jedes Familienmitglied hat einen eigenen I-94. Fehlt der Datensatz noch, versuche es nach einigen Stunden erneut.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vier Angaben: Name und Geburtsdatum wie im Pass, Zulassungskategorie (H-1B: H1B, H-4: H4) und Ablaufdatum (</w:t>
      </w:r>
      <w:r>
        <w:rPr>
          <w:rFonts w:eastAsia="Cambria" w:cs="Cambria"/>
          <w:b w:val="false"/>
          <w:bCs w:val="false"/>
          <w:i/>
          <w:iCs/>
          <w:sz w:val="22"/>
          <w:szCs w:val="22"/>
        </w:rPr>
        <w:t>Admit Until Date</w:t>
      </w:r>
      <w:r>
        <w:rPr>
          <w:rFonts w:eastAsia="Cambria" w:cs="Cambria"/>
          <w:b w:val="false"/>
          <w:bCs w:val="false"/>
          <w:i w:val="false"/>
          <w:iCs w:val="false"/>
          <w:sz w:val="22"/>
          <w:szCs w:val="22"/>
        </w:rPr>
        <w:t>), passend zum Ende des Zeitraums im Bescheid. Namen mit Umlaut oder ß erscheinen in der maschinenlesbaren Passzeile als AE, OE, UE und SS; achte darauf, dass Sozialversicherungskarte, Führerschein und Bankkonto später dieselbe Schreibweise nutzen.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Fehler im I-94 fällt sonst erst bei SSN, Führerschein oder Verlängerung auf. CBP kann ihn in einer Nachprüfungsstelle (</w:t>
            </w:r>
            <w:r>
              <w:rPr>
                <w:rFonts w:eastAsia="Cambria" w:cs="Cambria"/>
                <w:b w:val="false"/>
                <w:bCs w:val="false"/>
                <w:i/>
                <w:iCs/>
                <w:sz w:val="20"/>
                <w:szCs w:val="20"/>
              </w:rPr>
              <w:t>Deferred Inspection</w:t>
            </w:r>
            <w:r>
              <w:rPr>
                <w:rFonts w:eastAsia="Cambria" w:cs="Cambria"/>
                <w:b w:val="false"/>
                <w:bCs w:val="false"/>
                <w:i w:val="false"/>
                <w:iCs w:val="false"/>
                <w:sz w:val="20"/>
                <w:szCs w:val="20"/>
              </w:rPr>
              <w:t>) am Flughafen korrigieren, in der Regel gebührenfrei. Melde ihn sofort Arbeitgeber und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Samstag, dem 26. September, um 16 Uhr in Seattle. Ihre H-1B-Petition beginnt am 1. Oktober; einreisen durfte sie ab dem 21. September. Der Beamte fragt nach Arbeitgeber und Adresse, macht ein Foto und lässt sie durch – „Welcome to the United States“, mehr Zeremonie ist nicht vorgesehen, und erst im Taxi merkt sie, wie lange sie die Luft angehalten hatte. Im Aparthotel (950 $ für fünf Nächte) ruft sie den I-94 ab: Kategorie H1B, gültig bis 30. September 2029, Name korrekt. Das PDF geht an die Personalabteilung. Um 21 Uhr Ortszeit schläft sie ein, um 3 Uhr ist sie hellwach: Seattle liegt 9 Stunden hinter München. Die fünf Tage Puffer nutzt sie für SIM, Bank und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und Bargeld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 nimm es ihm nicht übel, er tut nur seinen Job. Bargeld, Reiseschecks und Inhaberpapiere von zusammen mehr als 10.000 $ meldest du mit dem Formular FinCEN 105 — die Anmeldung ist legal, Verschweigen führt zu Beschlagnahme und Strafe.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Gebrauchte persönliche Sachen, mindestens ein Jahr im Ausland genutzt, kommen zollfrei ins Land, Neuware im Koffer kann zollpflichtig sein. Den Container behandelt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Nacht: Unterkunft, Transport, Mietwagen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die ersten Nächte im Voraus, mit kostenloser Stornierung. Eine Wohnung mietest du besser vor Ort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für die Übergangszeit eignen sich Hotel, Extended-Stay-Hotel mit Küche oder </w:t>
      </w:r>
      <w:r>
        <w:rPr>
          <w:rFonts w:eastAsia="Cambria" w:cs="Cambria"/>
          <w:b w:val="false"/>
          <w:bCs w:val="false"/>
          <w:i/>
          <w:iCs/>
          <w:sz w:val="22"/>
          <w:szCs w:val="22"/>
        </w:rPr>
        <w:t>Corporate Housing</w:t>
      </w:r>
      <w:r>
        <w:rPr>
          <w:rFonts w:eastAsia="Cambria" w:cs="Cambria"/>
          <w:b w:val="false"/>
          <w:bCs w:val="false"/>
          <w:i w:val="false"/>
          <w:iCs w:val="false"/>
          <w:sz w:val="22"/>
          <w:szCs w:val="22"/>
        </w:rP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fährst du mit Taxi, Fahrdienst (</w:t>
      </w:r>
      <w:r>
        <w:rPr>
          <w:rFonts w:eastAsia="Cambria" w:cs="Cambria"/>
          <w:b w:val="false"/>
          <w:bCs w:val="false"/>
          <w:i/>
          <w:iCs/>
          <w:sz w:val="22"/>
          <w:szCs w:val="22"/>
        </w:rPr>
        <w:t>Rideshare</w:t>
      </w:r>
      <w:r>
        <w:rPr>
          <w:rFonts w:eastAsia="Cambria" w:cs="Cambria"/>
          <w:b w:val="false"/>
          <w:bCs w:val="false"/>
          <w:i w:val="false"/>
          <w:iCs w:val="false"/>
          <w:sz w:val="22"/>
          <w:szCs w:val="22"/>
        </w:rPr>
        <w:t>, etwa Uber oder Lyft) oder Nahverkehr. Nutze nur ausgeschilderte Taxistände oder die App am offiziellen Abholpunkt, nie Angebote in der Ankunftshalle.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Detroit, Phoenix oder Houston brauchst du bald ein Auto, in Seattle, Boston oder New York oft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Pflicht. Kläre vor der Unterschrift Haftpflicht- und Kaskodeckung; Kindersitze sind vorgeschrieben, die Regeln setzt jeder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nach dem Nachtflug nicht sofort selbst: Ein ausgeruhter zweiter Tag ist sicherer.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Mietwagen in der Stadt statt am Flughafen sparen oft Flughafenzuschläge. In Städten mit gutem Nahverkehr mietest du nur für die Wochenenden der Wohnungssuche.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und 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Tarife haben in den USA kein EU-Roaming; prüfe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Behalte deine deutsche Nummer als Zweit-SIM für SMS-Codes der Bank.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ein Konto eröffnest du in den ersten Tagen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Jetlag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beträgt nach Detroit, Boston oder Raleigh 6 Stunden, nach Texas 7, nach Seattle 9 —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Plane für den zweiten Vormittag keine festen Termine; Schulanmeldung und Kita gehören nicht in die ersten 72 Stunden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Sprich vor dem Abflug mit dem Kinderarzt, bevor du Schlafmittel oder Melatonin gibst. Reist ein Elternteil allein mit den Kindern, hilft eine englische Einverständniserklärung des anderen.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Notruf 911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Notruf für Polizei, Feuerwehr und Rettungsdienst lautet in den USA 911, eine Nummer statt 110 und 112, und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Fieber, Verstauchung oder Infekt ist meist eine Walk-in-Klinik (</w:t>
      </w:r>
      <w:r>
        <w:rPr>
          <w:rFonts w:eastAsia="Cambria" w:cs="Cambria"/>
          <w:b w:val="false"/>
          <w:bCs w:val="false"/>
          <w:i/>
          <w:iCs/>
          <w:sz w:val="22"/>
          <w:szCs w:val="22"/>
        </w:rPr>
        <w:t>Urgent Care</w:t>
      </w:r>
      <w:r>
        <w:rPr>
          <w:rFonts w:eastAsia="Cambria" w:cs="Cambria"/>
          <w:b w:val="false"/>
          <w:bCs w:val="false"/>
          <w:i w:val="false"/>
          <w:iCs w:val="false"/>
          <w:sz w:val="22"/>
          <w:szCs w:val="22"/>
        </w:rPr>
        <w:t>) richtig, nicht der Rettungswagen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Deine Auslandskrankenversicherung sollte ab der Landung gelten, bis die Versicherung des Arbeitgebers beginnt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Erste Besorgungen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Einkauf im Supermarkt oder Drogeriemarkt: Wasser, Frühstück, Snacks, Toilettenartikel. Ladegeräte mit dem Aufdruck 100–240 V laufen mit Adapter an der US-Steckdose (120 V, Typ A/B); Föhn, Wasserkocher und Toaster aus Deutschland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Preisschilder nennen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Apotheke heißt Paracetamol </w:t>
      </w:r>
      <w:r>
        <w:rPr>
          <w:rFonts w:eastAsia="Cambria" w:cs="Cambria"/>
          <w:b w:val="false"/>
          <w:bCs w:val="false"/>
          <w:i/>
          <w:iCs/>
          <w:sz w:val="22"/>
          <w:szCs w:val="22"/>
        </w:rPr>
        <w:t>Acetaminophen</w:t>
      </w:r>
      <w:r>
        <w:rPr>
          <w:rFonts w:eastAsia="Cambria" w:cs="Cambria"/>
          <w:b w:val="false"/>
          <w:bCs w:val="false"/>
          <w:i w:val="false"/>
          <w:iCs w:val="false"/>
          <w:sz w:val="22"/>
          <w:szCs w:val="22"/>
        </w:rPr>
        <w:t xml:space="preserve"> (Marke Tylenol), Ibuprofen gibt es als Advil oder Motrin; für Kinder gibt es eigene Präparate mit Dosierung nach Gewicht — lass dich beraten. Betten und Möbel: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suchen in den ersten Tagen reflexhaft nach dem amerikanischen Pendant zum Einwohnermeldeamt – es gibt keins. Ziehst du aus der Übergangsunterkunft in die Wohnung, meldest du die neue Adresse stattdessen binnen 10 Tagen mit dem Formular AR-11 an USCIS (uscis.gov/ar-11).</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Onboarding beim Arbeitgeber: I-9, W-4, Direktüberweisung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unterschreibst du einen Stapel Papiere; drei Formulare sind entscheidend.</w:t>
      </w:r>
    </w:p>
    <w:p>
      <w:pPr>
        <w:pStyle w:val="Normal"/>
        <w:keepNext w:val="false"/>
        <w:keepLines w:val="false"/>
        <w:spacing w:lineRule="exact" w:line="288" w:before="0" w:after="140"/>
        <w:jc w:val="left"/>
        <w:rPr/>
      </w:pPr>
      <w:r>
        <w:rPr>
          <w:rFonts w:eastAsia="Cambria" w:cs="Cambria"/>
          <w:b/>
          <w:bCs/>
          <w:i w:val="false"/>
          <w:iCs w:val="false"/>
          <w:sz w:val="22"/>
          <w:szCs w:val="22"/>
        </w:rPr>
        <w:t>Form I-9.</w:t>
      </w:r>
      <w:r>
        <w:rPr>
          <w:rFonts w:eastAsia="Cambria" w:cs="Cambria"/>
          <w:b w:val="false"/>
          <w:bCs w:val="false"/>
          <w:i w:val="false"/>
          <w:iCs w:val="false"/>
          <w:sz w:val="22"/>
          <w:szCs w:val="22"/>
        </w:rPr>
        <w:t xml:space="preserve"> Mit ihr bestätigt der Arbeitgeber, dass du arbeiten darfst. Du füllst Abschnitt 1 spätestens am ersten Arbeitstag aus, der Arbeitgeber prüft in Abschnitt 2 innerhalb von drei Werktagen deine Originaldokumente. Als H-1B-Inhaber legst du meist Reisepass und I-94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zulässige Dokument du zeigst, entscheidest du; der Arbeitgeber darf keins vorschreiben. Die aktuelle Ausgabe trägt das Datum 01/20/25, zugelassen bis 31. Mai 2027 (USCIS). Bringe Originale, keine Kopien.</w:t>
      </w:r>
    </w:p>
    <w:p>
      <w:pPr>
        <w:pStyle w:val="Normal"/>
        <w:keepNext w:val="false"/>
        <w:keepLines w:val="false"/>
        <w:spacing w:lineRule="exact" w:line="288" w:before="0" w:after="140"/>
        <w:jc w:val="left"/>
        <w:rPr/>
      </w:pPr>
      <w:r>
        <w:rPr>
          <w:rFonts w:eastAsia="Cambria" w:cs="Cambria"/>
          <w:b/>
          <w:bCs/>
          <w:i w:val="false"/>
          <w:iCs w:val="false"/>
          <w:sz w:val="22"/>
          <w:szCs w:val="22"/>
        </w:rPr>
        <w:t>Form W-4.</w:t>
      </w:r>
      <w:r>
        <w:rPr>
          <w:rFonts w:eastAsia="Cambria" w:cs="Cambria"/>
          <w:b w:val="false"/>
          <w:bCs w:val="false"/>
          <w:i w:val="false"/>
          <w:iCs w:val="false"/>
          <w:sz w:val="22"/>
          <w:szCs w:val="22"/>
        </w:rPr>
        <w:t xml:space="preserve"> Mit der </w:t>
      </w:r>
      <w:r>
        <w:rPr>
          <w:rFonts w:eastAsia="Cambria" w:cs="Cambria"/>
          <w:b w:val="false"/>
          <w:bCs w:val="false"/>
          <w:i/>
          <w:iCs/>
          <w:sz w:val="22"/>
          <w:szCs w:val="22"/>
        </w:rPr>
        <w:t>Form W-4</w:t>
      </w:r>
      <w:r>
        <w:rPr>
          <w:rFonts w:eastAsia="Cambria" w:cs="Cambria"/>
          <w:b w:val="false"/>
          <w:bCs w:val="false"/>
          <w:i w:val="false"/>
          <w:iCs w:val="false"/>
          <w:sz w:val="22"/>
          <w:szCs w:val="22"/>
        </w:rPr>
        <w:t xml:space="preserve"> (Employee’s Withholding Certificate) legst du fest, wie viel Bundeseinkommensteuer der Arbeitgeber einbehält. Für Neuankömmlinge heikel: Steuerlicher Status als Ansässiger oder Nichtansässiger verändert das Ausfüllen. Frage die Lohnbuchhaltung (</w:t>
      </w:r>
      <w:r>
        <w:rPr>
          <w:rFonts w:eastAsia="Cambria" w:cs="Cambria"/>
          <w:b w:val="false"/>
          <w:bCs w:val="false"/>
          <w:i/>
          <w:iCs/>
          <w:sz w:val="22"/>
          <w:szCs w:val="22"/>
        </w:rPr>
        <w:t>Payroll</w:t>
      </w:r>
      <w:r>
        <w:rPr>
          <w:rFonts w:eastAsia="Cambria" w:cs="Cambria"/>
          <w:b w:val="false"/>
          <w:bCs w:val="false"/>
          <w:i w:val="false"/>
          <w:iCs w:val="false"/>
          <w:sz w:val="22"/>
          <w:szCs w:val="22"/>
        </w:rPr>
        <w:t>) und lies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vor der Unterschrift. Fehlt die SSN noch, ist das am ersten Tag normal; sage der Personalabteilung, dass du sie beantragst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Direktüberweisung.</w:t>
      </w:r>
      <w:r>
        <w:rPr>
          <w:rFonts w:eastAsia="Cambria" w:cs="Cambria"/>
          <w:b w:val="false"/>
          <w:bCs w:val="false"/>
          <w:i w:val="false"/>
          <w:iCs w:val="false"/>
          <w:sz w:val="22"/>
          <w:szCs w:val="22"/>
        </w:rPr>
        <w:t xml:space="preserve"> Die meisten Arbeitgeber zahlen per </w:t>
      </w:r>
      <w:r>
        <w:rPr>
          <w:rFonts w:eastAsia="Cambria" w:cs="Cambria"/>
          <w:b w:val="false"/>
          <w:bCs w:val="false"/>
          <w:i/>
          <w:iCs/>
          <w:sz w:val="22"/>
          <w:szCs w:val="22"/>
        </w:rPr>
        <w:t>Direct Deposit</w:t>
      </w:r>
      <w:r>
        <w:rPr>
          <w:rFonts w:eastAsia="Cambria" w:cs="Cambria"/>
          <w:b w:val="false"/>
          <w:bCs w:val="false"/>
          <w:i w:val="false"/>
          <w:iCs w:val="false"/>
          <w:sz w:val="22"/>
          <w:szCs w:val="22"/>
        </w:rP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Betrugsmaschen für Neuankömmlinge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neu ist, kennt weder Behörden noch Abläufe, und das nutzen Betrüger. Vier Muster kehren immer wieder:</w:t>
      </w:r>
    </w:p>
    <w:p>
      <w:pPr>
        <w:pStyle w:val="ListParagraph"/>
        <w:numPr>
          <w:ilvl w:val="0"/>
          <w:numId w:val="1"/>
        </w:numPr>
        <w:spacing w:lineRule="exact" w:line="288" w:before="0" w:after="60"/>
        <w:rPr/>
      </w:pPr>
      <w:r>
        <w:rPr>
          <w:rFonts w:eastAsia="Cambria" w:cs="Cambria"/>
          <w:b/>
          <w:bCs/>
          <w:i w:val="false"/>
          <w:iCs w:val="false"/>
          <w:sz w:val="22"/>
          <w:szCs w:val="22"/>
        </w:rPr>
        <w:t>Traumwohnung aus der Ferne:</w:t>
      </w:r>
      <w:r>
        <w:rPr>
          <w:rFonts w:eastAsia="Cambria" w:cs="Cambria"/>
          <w:b w:val="false"/>
          <w:bCs w:val="false"/>
          <w:i w:val="false"/>
          <w:iCs w:val="false"/>
          <w:sz w:val="22"/>
          <w:szCs w:val="22"/>
        </w:rPr>
        <w:t xml:space="preserve"> günstig, Vermieter angeblich im Ausland, Kaution vorab per Überweisung, Zelle oder Geschenkkarte, keine Besichtigung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Anruf einer Behörde:</w:t>
      </w:r>
      <w:r>
        <w:rPr>
          <w:rFonts w:eastAsia="Cambria" w:cs="Cambria"/>
          <w:b w:val="false"/>
          <w:bCs w:val="false"/>
          <w:i w:val="false"/>
          <w:iCs w:val="false"/>
          <w:sz w:val="22"/>
          <w:szCs w:val="22"/>
        </w:rPr>
        <w:t xml:space="preserve"> Angebliche IRS-, SSA- oder USCIS-Beamte drohen mit Festnahme, Abschiebung oder gesperrter SSN und verlangen sofortige Zahlung. Diese Behörden fordern nie Zahlung per Geschenkkarte, Kryptowährung oder an Privatpersonen. Lege auf, suche die Nummer selbst auf der offiziellen Website.</w:t>
      </w:r>
    </w:p>
    <w:p>
      <w:pPr>
        <w:pStyle w:val="ListParagraph"/>
        <w:numPr>
          <w:ilvl w:val="0"/>
          <w:numId w:val="1"/>
        </w:numPr>
        <w:spacing w:lineRule="exact" w:line="288" w:before="0" w:after="60"/>
        <w:rPr/>
      </w:pPr>
      <w:r>
        <w:rPr>
          <w:rFonts w:eastAsia="Cambria" w:cs="Cambria"/>
          <w:b/>
          <w:bCs/>
          <w:i w:val="false"/>
          <w:iCs w:val="false"/>
          <w:sz w:val="22"/>
          <w:szCs w:val="22"/>
        </w:rPr>
        <w:t>Fake-Jobmail:</w:t>
      </w:r>
      <w:r>
        <w:rPr>
          <w:rFonts w:eastAsia="Cambria" w:cs="Cambria"/>
          <w:b w:val="false"/>
          <w:bCs w:val="false"/>
          <w:i w:val="false"/>
          <w:iCs w:val="false"/>
          <w:sz w:val="22"/>
          <w:szCs w:val="22"/>
        </w:rPr>
        <w:t xml:space="preserve"> Ein „Arbeitgeber“ schickt einen Scheck für Büroausstattung, du überweist den Überschuss zurück, der Scheck platzt. Mails „der Personalabteilung“, die vorab Passkopie und Bankdaten wollen, prüfst du über eine bekannte Telefonnummer.</w:t>
      </w:r>
    </w:p>
    <w:p>
      <w:pPr>
        <w:pStyle w:val="ListParagraph"/>
        <w:numPr>
          <w:ilvl w:val="0"/>
          <w:numId w:val="1"/>
        </w:numPr>
        <w:spacing w:lineRule="exact" w:line="288" w:before="0" w:after="60"/>
        <w:rPr/>
      </w:pPr>
      <w:r>
        <w:rPr>
          <w:rFonts w:eastAsia="Cambria" w:cs="Cambria"/>
          <w:b/>
          <w:bCs/>
          <w:i w:val="false"/>
          <w:iCs w:val="false"/>
          <w:sz w:val="22"/>
          <w:szCs w:val="22"/>
        </w:rPr>
        <w:t>Visa-Berater und Zoll-SMS:</w:t>
      </w:r>
      <w:r>
        <w:rPr>
          <w:rFonts w:eastAsia="Cambria" w:cs="Cambria"/>
          <w:b w:val="false"/>
          <w:bCs w:val="false"/>
          <w:i w:val="false"/>
          <w:iCs w:val="false"/>
          <w:sz w:val="22"/>
          <w:szCs w:val="22"/>
        </w:rPr>
        <w:t xml:space="preserve"> Rechtsrat zum Einwanderungsrecht dürfen nur zugelassene Anwälte oder akkreditierte Vertreter geben; Formulare gibt es kostenlos bei uscis.gov. Auch „Dein Container hängt im Zoll, zahle jetzt“ ist Betrug.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arbeiten mit Zeitdruck. Zahle nie sofort und nie per Geschenkkarte, Zelle oder Kryptowährung an Fremde; solche Zahlungen lassen sich meist nicht zurückholen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Melde Betrugsversuche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72 Stunden als Stundenplan</w:t>
      </w:r>
    </w:p>
    <w:tbl>
      <w:tblPr>
        <w:tblW w:w="6480" w:type="dxa"/>
        <w:jc w:val="left"/>
        <w:tblInd w:w="0" w:type="dxa"/>
        <w:tblLayout w:type="fixed"/>
        <w:tblCellMar>
          <w:top w:w="50" w:type="dxa"/>
          <w:left w:w="80" w:type="dxa"/>
          <w:bottom w:w="50" w:type="dxa"/>
          <w:right w:w="80" w:type="dxa"/>
        </w:tblCellMar>
      </w:tblPr>
      <w:tblGrid>
        <w:gridCol w:w="1097"/>
        <w:gridCol w:w="2327"/>
        <w:gridCol w:w="1958"/>
        <w:gridCol w:w="1097"/>
      </w:tblGrid>
      <w:tr>
        <w:trPr>
          <w:tblHeader w:val="true"/>
          <w:cantSplit w:val="true"/>
        </w:trPr>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 nach Landung</w:t>
            </w:r>
          </w:p>
        </w:tc>
        <w:tc>
          <w:tcPr>
            <w:tcW w:w="23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9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Passkontrolle, Gepäck, Zoll</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griffbereit, kurze wahre Antworten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Fahrt zur Unterkunft, eSIM aktivieren, Familie und Personalabteilung informieren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Offizielles Taxi oder App</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abrufen und prüfen, leichtes Abendessen, bis etwa 21 Uhr Ortszeit wach bleiben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Fehler sofort melden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Schlafen, Frühstück, Basiseinkauf</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großen Entscheidungen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24–36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 SSN-Termin planen, Mietwagen abholen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Originale und I-94 mitnehmen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 xml:space="preserve">, </w:t>
            </w:r>
            <w:hyperlink w:anchor="k27">
              <w:r>
                <w:rPr>
                  <w:rStyle w:val="ListLabel112"/>
                  <w:rFonts w:eastAsia="Cambria" w:cs="Cambria"/>
                  <w:b w:val="false"/>
                  <w:bCs w:val="false"/>
                  <w:i w:val="false"/>
                  <w:iCs w:val="false"/>
                  <w:sz w:val="18"/>
                  <w:szCs w:val="18"/>
                </w:rPr>
                <w:t>27</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und Arbeitsweg ansehen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anzahlen vor Besichtigung und Vertrag</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48–60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Onboarding vorbereiten: I-9-Originale, Bankdaten, W-4-Fragen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Startdatum und ersten Termin bestätigen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60–72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Kinderarzt, Apotheke heraussuchen; Wochenplan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 womöglich noch nicht aktiv</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Bewertet wird, so früh wie erlaubt zu landen – bis zu 10 Tage vor dem Startdatum.</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für Jetlag, Bank und Besichtigungen ohne Arbeitsdruck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Gehalt vor dem Startdatum, arbeiten darfst du noch nicht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Puffer bei Flugausfall oder zweiter Kontrolle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Tage für Unterkunft und Mietwagen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den I-94 zu prüfen und Fehler zu korrigieren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Kosten, solange Wohnung und Job in Deutschland laufen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persönlich statt nach Fotos besichtigen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den frühesten Landetag verrechnet, riskiert die Zurückweisung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erholen sich vor dem Start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Leerlauf, wenn die Familie noch getrennt ist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den Landetag anhand des Von-Datums im Genehmigungsbescheid fest, packe die Handgepäckmappe und richte vor dem Abflug die eSIM ein. Am Ankunftstag zählen nur drei Dinge: Einreise, I-94 abrufen, schlafen.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Landetag festgelegt (frühestens 10 Tage vor dem Von-Datum im Bescheid)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Handgepäckmappe gepackt: Pässe mit Visum, Bescheid im Original, Arbeitgeberbrief, Urkunden, Impfausweise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Digitale Kopien in der Cloud, Nummern von Personalabteilung und Anwalt auf Papier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Unterkunft für mindestens fünf Nächte mit Stornierungsoption gebucht, Transfer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eingerichtet,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Kreditkarte dabei, 200–300 $ Bargeld, insgesamt unter 10.000 $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Ankunftstag den I-94 jedes Familienmitglieds abgerufen, geprüft und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911 und Adresse der Unterkunft im Handy, Auslandskrankenversicherung gilt ab Landung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für die Form I-9 und Bankdaten für das Gehalt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Termine gebucht: Bank, SSN-Antrag,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Einreise und Einreisenachweis I-94 (</w:t>
      </w:r>
      <w:hyperlink r:id="rId220">
        <w:r>
          <w:rPr>
            <w:rStyle w:val="ListLabel113"/>
            <w:rFonts w:eastAsia="Cambria" w:cs="Cambria"/>
            <w:b w:val="false"/>
            <w:bCs w:val="false"/>
            <w:i w:val="false"/>
            <w:iCs w:val="false"/>
            <w:color w:val="0563C1"/>
            <w:sz w:val="22"/>
            <w:szCs w:val="22"/>
            <w:u w:val="single"/>
          </w:rPr>
          <w:t>cbp.gov/travel/international-visitors/i-94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Abruf des elektronischen I-94 (</w:t>
      </w:r>
      <w:hyperlink r:id="rId221">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Biometrieregel bei Ein- und Ausreise, 27. Oktober 2025 (</w:t>
      </w:r>
      <w:hyperlink r:id="rId222">
        <w:r>
          <w:rPr>
            <w:rStyle w:val="ListLabel113"/>
            <w:rFonts w:eastAsia="Cambria" w:cs="Cambria"/>
            <w:b w:val="false"/>
            <w:bCs w:val="false"/>
            <w:i w:val="false"/>
            <w:iCs w:val="false"/>
            <w:color w:val="0563C1"/>
            <w:sz w:val="22"/>
            <w:szCs w:val="22"/>
            <w:u w:val="single"/>
          </w:rPr>
          <w:t>federalregister.gov/d/2025-19655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 I-9 (</w:t>
      </w:r>
      <w:hyperlink r:id="rId223">
        <w:r>
          <w:rPr>
            <w:rStyle w:val="ListLabel113"/>
            <w:rFonts w:eastAsia="Cambria" w:cs="Cambria"/>
            <w:b w:val="false"/>
            <w:bCs w:val="false"/>
            <w:i w:val="false"/>
            <w:iCs w:val="false"/>
            <w:color w:val="0563C1"/>
            <w:sz w:val="22"/>
            <w:szCs w:val="22"/>
            <w:u w:val="single"/>
          </w:rPr>
          <w:t>uscis.gov/i-9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W-4 (</w:t>
      </w:r>
      <w:hyperlink r:id="rId224">
        <w:r>
          <w:rPr>
            <w:rStyle w:val="ListLabel113"/>
            <w:rFonts w:eastAsia="Cambria" w:cs="Cambria"/>
            <w:b w:val="false"/>
            <w:bCs w:val="false"/>
            <w:i w:val="false"/>
            <w:iCs w:val="false"/>
            <w:color w:val="0563C1"/>
            <w:sz w:val="22"/>
            <w:szCs w:val="22"/>
            <w:u w:val="single"/>
          </w:rPr>
          <w:t>irs.gov/forms-pubs/about-form-w-4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Trade Commission — Betrug melden (</w:t>
      </w:r>
      <w:hyperlink r:id="rId225">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und Konsulate in den USA — Hilfe im Notfall (</w:t>
      </w:r>
      <w:hyperlink r:id="rId226">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Kontroll- und Biometriepraxis von CBP (Regel seit 26. Dezember 2025, Geräterichtlinie seit Januar 2026), Ausgabe der Form I-9 (aktuell 01/20/25, zugelassen bis 31. Mai 2027), Preise für Unterkunft, Mietwagen und Mobilfunk sowie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Prüfe vor dem Abflug cbp.gov und die Reisehinweise des Auswärtigen Amts.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1" w:name="__RefHeading___Toc56484_3457424410"/>
      <w:bookmarkStart w:id="62" w:name="k24"/>
      <w:bookmarkEnd w:id="61"/>
      <w:r>
        <w:rPr>
          <w:rFonts w:eastAsia="Amazon Ember" w:cs="Amazon Ember" w:ascii="Amazon Ember" w:hAnsi="Amazon Ember"/>
          <w:b/>
          <w:bCs/>
          <w:color w:val="0000FF"/>
          <w:sz w:val="36"/>
          <w:szCs w:val="36"/>
        </w:rPr>
        <w:t>Kapitel 24: Die Social Security Number (SSN) und die ITIN</w:t>
      </w:r>
      <w:bookmarkEnd w:id="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ersten Arbeitstag schiebt dir die Personalabteilung ein Formular hin und fragt nach einer neunstelligen Zahl, die du vielleicht noch gar nicht hast: der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der Sozialversicherungsnummer. Ohne sie läuft trotzdem schon vieles an – Job, Wohnungssuche, Handyvertrag –, nur eben mit Umwegen. Dieses Kapitel zeigt, wer eine SSN bekommt, wie du sie beantragst, wie du die ersten Wochen ohne sie überstehst und wann stattdessen eine ITIN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SSN beantragst du mit Formular SS-5, meist persönlich im Büro der Sozialversicherungsbehörde SSA, frühestens 10 Tage nach der Einreise.</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eine SSN bekommst, hängt vom Visumstatus ab: Hauptantragsteller bei H-1B, L-1, E-2, O-1 und J-1 ja, mitreisende Familienmitglieder oft nur mit eigener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Bank, Handy, Wohnung und Strom funktionieren auch ohne SSN – mit anderen Nachweisen.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SSN bekommt, etwa ein Ehepartner mit H-4 ohne Arbeitserlaubnis, braucht für die Steuererklärung eine ITIN (Formular W-7).</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Schütze die SSN wie ein Passwort: </w:t>
            </w:r>
            <w:r>
              <w:rPr>
                <w:rFonts w:eastAsia="Cambria" w:cs="Cambria"/>
                <w:b w:val="false"/>
                <w:bCs w:val="false"/>
                <w:i/>
                <w:iCs/>
                <w:sz w:val="20"/>
                <w:szCs w:val="20"/>
              </w:rPr>
              <w:t>Credit Freeze</w:t>
            </w:r>
            <w:r>
              <w:rPr>
                <w:rFonts w:eastAsia="Cambria" w:cs="Cambria"/>
                <w:b w:val="false"/>
                <w:bCs w:val="false"/>
                <w:i w:val="false"/>
                <w:iCs w:val="false"/>
                <w:sz w:val="20"/>
                <w:szCs w:val="20"/>
              </w:rPr>
              <w:t xml:space="preserve"> und IRS-Identitätsschutz-PIN verhindern, dass Fremde sie missbrauchen.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SSN ist und wofür du sie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SSN wurde 1936 eingeführt, um Beiträge zur gesetzlichen Rente zu verfolgen. Heute ist sie weit mehr: Arbeitgeber brauchen sie für Lohnsteuer und Meldung an die Sozialversicherung, Banken und Kreditkartenfirmen für die Bonitätsprüfung, Vermieter oft für den </w:t>
      </w:r>
      <w:r>
        <w:rPr>
          <w:rFonts w:eastAsia="Cambria" w:cs="Cambria"/>
          <w:b w:val="false"/>
          <w:bCs w:val="false"/>
          <w:i/>
          <w:iCs/>
          <w:sz w:val="22"/>
          <w:szCs w:val="22"/>
        </w:rPr>
        <w:t>Credit Report</w:t>
      </w:r>
      <w:r>
        <w:rPr>
          <w:rFonts w:eastAsia="Cambria" w:cs="Cambria"/>
          <w:b w:val="false"/>
          <w:bCs w:val="false"/>
          <w:i w:val="false"/>
          <w:iCs w:val="false"/>
          <w:sz w:val="22"/>
          <w:szCs w:val="22"/>
        </w:rPr>
        <w:t xml:space="preserve"> (die US-Schufa-Auskunft), und ohne sie öffnet keine Behörde ein Konto bei my Social Security. Kaum ein Formular in den ersten Monaten kommt ohne diese eine Zahl aus. Die Nummer besteht aus neun Ziffern (Format XXX-XX-XXXX), ausgegeben von der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SSN, Steuer-ID und Rentenversicherungsnummer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Die SSN sei so etwas wie die amerikanische Steuer-ID, nur mit anderem Namen. Tatsächlich steckt mehr dahinter – für deutsche Neuankömmlinge ist die SSN gewöhnungsbedürftig, weil Deutschland aus Datenschutzgründen bewusst kein einheitliches Personenkennzeichen hat. Die elfstellige </w:t>
      </w:r>
      <w:r>
        <w:rPr>
          <w:rFonts w:eastAsia="Cambria" w:cs="Cambria"/>
          <w:b w:val="false"/>
          <w:bCs w:val="false"/>
          <w:i/>
          <w:iCs/>
          <w:sz w:val="22"/>
          <w:szCs w:val="22"/>
        </w:rPr>
        <w:t>Steuerliche Identifikationsnummer</w:t>
      </w:r>
      <w:r>
        <w:rPr>
          <w:rFonts w:eastAsia="Cambria" w:cs="Cambria"/>
          <w:b w:val="false"/>
          <w:bCs w:val="false"/>
          <w:i w:val="false"/>
          <w:iCs w:val="false"/>
          <w:sz w:val="22"/>
          <w:szCs w:val="22"/>
        </w:rPr>
        <w:t xml:space="preserve"> (Steuer-ID) und die zwölfstellige Rentenversicherungsnummer sind getrennte Systeme mit getrenntem Zweck. Die SSN vereint beide Rollen – und wird zusätzlich als praktischer Generalausweis für Kredit, Miete und Handy genutzt. Genau das macht sie in den USA so nützlich und ihren Missbrauch so folgenreich.</w:t>
      </w:r>
    </w:p>
    <w:tbl>
      <w:tblPr>
        <w:tblW w:w="6480" w:type="dxa"/>
        <w:jc w:val="left"/>
        <w:tblInd w:w="0" w:type="dxa"/>
        <w:tblLayout w:type="fixed"/>
        <w:tblCellMar>
          <w:top w:w="50" w:type="dxa"/>
          <w:left w:w="80" w:type="dxa"/>
          <w:bottom w:w="50" w:type="dxa"/>
          <w:right w:w="80" w:type="dxa"/>
        </w:tblCellMar>
      </w:tblPr>
      <w:tblGrid>
        <w:gridCol w:w="778"/>
        <w:gridCol w:w="2187"/>
        <w:gridCol w:w="1405"/>
        <w:gridCol w:w="2109"/>
      </w:tblGrid>
      <w:tr>
        <w:trPr>
          <w:tblHeader w:val="true"/>
          <w:cantSplit w:val="true"/>
        </w:trPr>
        <w:tc>
          <w:tcPr>
            <w:tcW w:w="7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1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(USA)</w:t>
            </w:r>
          </w:p>
        </w:tc>
        <w:tc>
          <w:tcPr>
            <w:tcW w:w="14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Steuer-ID (Deutschland)</w:t>
            </w:r>
          </w:p>
        </w:tc>
        <w:tc>
          <w:tcPr>
            <w:tcW w:w="2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Rentenversicherungsnummer (Deutschland)</w:t>
            </w:r>
          </w:p>
        </w:tc>
      </w:tr>
      <w:tr>
        <w:trPr>
          <w:cantSplit w:val="true"/>
        </w:trPr>
        <w:tc>
          <w:tcPr>
            <w:tcW w:w="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Vergeben von</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Sozialversicherungsbehörde SSA</w:t>
            </w:r>
          </w:p>
        </w:tc>
        <w:tc>
          <w:tcPr>
            <w:tcW w:w="1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Bundeszentralamt für Steuern</w:t>
            </w:r>
          </w:p>
        </w:tc>
        <w:tc>
          <w:tcPr>
            <w:tcW w:w="2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w:t>
            </w:r>
          </w:p>
        </w:tc>
      </w:tr>
      <w:tr>
        <w:trPr>
          <w:cantSplit w:val="true"/>
        </w:trPr>
        <w:tc>
          <w:tcPr>
            <w:tcW w:w="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Zweck</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 Steuer, Arbeitsnachweis, faktisch auch Bonität</w:t>
            </w:r>
          </w:p>
        </w:tc>
        <w:tc>
          <w:tcPr>
            <w:tcW w:w="1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Steuerverfahren</w:t>
            </w:r>
          </w:p>
        </w:tc>
        <w:tc>
          <w:tcPr>
            <w:tcW w:w="2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gesetzliche Rentenversicherung</w:t>
            </w:r>
          </w:p>
        </w:tc>
      </w:tr>
      <w:tr>
        <w:trPr>
          <w:cantSplit w:val="true"/>
        </w:trPr>
        <w:tc>
          <w:tcPr>
            <w:tcW w:w="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Format</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 Ziffern</w:t>
            </w:r>
          </w:p>
        </w:tc>
        <w:tc>
          <w:tcPr>
            <w:tcW w:w="1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Ziffern</w:t>
            </w:r>
          </w:p>
        </w:tc>
        <w:tc>
          <w:tcPr>
            <w:tcW w:w="2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zwölf Zeichen (Bereich, Geburtsdatum, Buchstabe, Prüfziffern)</w:t>
            </w:r>
          </w:p>
        </w:tc>
      </w:tr>
      <w:tr>
        <w:trPr>
          <w:cantSplit w:val="true"/>
        </w:trPr>
        <w:tc>
          <w:tcPr>
            <w:tcW w:w="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Wird verlangt bei</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Kredit, Miete, Handy, Versicherung</w:t>
            </w:r>
          </w:p>
        </w:tc>
        <w:tc>
          <w:tcPr>
            <w:tcW w:w="1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Finanzamt, Arbeitgeber, Kindergeldkasse</w:t>
            </w:r>
          </w:p>
        </w:tc>
        <w:tc>
          <w:tcPr>
            <w:tcW w:w="2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beim Arbeitgeber für die Rentenversicherung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Gleiche Behörde bedeutet nicht gleiche Nummer, gleiche Nummer bedeutet nicht gleicher Schutz. Weil die SSN so vielseitig verlangt wird, ist ein Datenleck in den USA folgenreicher als der Verlust der deutschen Steuer-ID.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bekommt eine SSN – nach Visumtyp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SSA vergibt eine SSN „mit Arbeitserlaubnis“ nur, wenn der Status das Arbeiten in den USA erlaubt und du das mit einem passenden Dokument belegst (SSA-Regelwerk POMS RM 10211.420, Stand April 2026). Für Familienmitglieder ohne eigene Arbeitserlaubnis bearbeitet die SSA den Antrag grundsätzlich nicht.</w:t>
      </w:r>
    </w:p>
    <w:tbl>
      <w:tblPr>
        <w:tblW w:w="6480" w:type="dxa"/>
        <w:jc w:val="left"/>
        <w:tblInd w:w="0" w:type="dxa"/>
        <w:tblLayout w:type="fixed"/>
        <w:tblCellMar>
          <w:top w:w="50" w:type="dxa"/>
          <w:left w:w="80" w:type="dxa"/>
          <w:bottom w:w="50" w:type="dxa"/>
          <w:right w:w="80" w:type="dxa"/>
        </w:tblCellMar>
      </w:tblPr>
      <w:tblGrid>
        <w:gridCol w:w="2547"/>
        <w:gridCol w:w="2314"/>
        <w:gridCol w:w="1619"/>
      </w:tblGrid>
      <w:tr>
        <w:trPr>
          <w:tblHeader w:val="true"/>
          <w:cantSplit w:val="true"/>
        </w:trPr>
        <w:tc>
          <w:tcPr>
            <w:tcW w:w="2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3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mit Arbeitserlaubnis?</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Nachweis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L-1, E-2, O-1 (Hauptantragsteller)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passender Klasse</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 Kategorie C-26)</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L-2/L-2S, E-2S (Ehepartner)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L-2/L-2S bzw. E-2S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als Teil des Austauschprogramms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DS-2019/I-94, bei Studierenden meist Sponsorbrief</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Arbeitsnachweis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I-20 + Jobnachweis; CPT: I-20; OPT: EAD (Kategorie C-3)</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(Immigrant Visa, Einreise)</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DS-260 (siehe unten)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Kind mit L-2 oder E-2S ist selbst arbeitsberechtigt und bekommt daher eine SSN; ein H-4- oder J-2-Kind unter 21 ohne eigene EAD in der Regel nicht (dazu unten mehr). Für Green-Card-Inhaber über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(Statuswechsel im Land, Formular I-485,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läuft die SSN-Vergabe weiterhin automatisch über USCIS und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Antrag: SS-5 Schritt für Schritt</w:t>
      </w:r>
    </w:p>
    <w:p>
      <w:pPr>
        <w:pStyle w:val="ListParagraph"/>
        <w:numPr>
          <w:ilvl w:val="0"/>
          <w:numId w:val="150"/>
        </w:numPr>
        <w:spacing w:lineRule="exact" w:line="288" w:before="0" w:after="60"/>
        <w:rPr/>
      </w:pPr>
      <w:r>
        <w:rPr>
          <w:rFonts w:eastAsia="Cambria" w:cs="Cambria"/>
          <w:b/>
          <w:bCs/>
          <w:i w:val="false"/>
          <w:iCs w:val="false"/>
          <w:sz w:val="22"/>
          <w:szCs w:val="22"/>
        </w:rPr>
        <w:t>Warten.</w:t>
      </w:r>
      <w:r>
        <w:rPr>
          <w:rFonts w:eastAsia="Cambria" w:cs="Cambria"/>
          <w:b w:val="false"/>
          <w:bCs w:val="false"/>
          <w:i w:val="false"/>
          <w:iCs w:val="false"/>
          <w:sz w:val="22"/>
          <w:szCs w:val="22"/>
        </w:rPr>
        <w:t xml:space="preserve"> Beantrage die SSN frühestens 10 Tage nach der Einreise. CBP übermittelt deine Einreisedaten erst mit Verzögerung an die SSA; ohne diesen Eintrag im System lehnt die SSA den Antrag ab oder verzögert ihn. Studierende brauchen zusätzlich einen aktiven SEVIS-Datensatz.</w:t>
      </w:r>
    </w:p>
    <w:p>
      <w:pPr>
        <w:pStyle w:val="ListParagraph"/>
        <w:numPr>
          <w:ilvl w:val="0"/>
          <w:numId w:val="151"/>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Reisepass im Original, Visum, ausgedruckter I-94 (i94.cbp.dhs.gov,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Genehmigungsbescheid I-797, ausgefülltes Formular SS-5 (Ausgabe 12-2024), bei Studierenden ergänzend I-20 oder DS-2019 mit Bestätigung der Hochschule. Ein Arbeitgeberbrief mit Startdatum ist nicht immer Pflicht, wird aber empfohlen und von manchen Büros trotzdem verlangt.</w:t>
      </w:r>
    </w:p>
    <w:p>
      <w:pPr>
        <w:pStyle w:val="ListParagraph"/>
        <w:numPr>
          <w:ilvl w:val="0"/>
          <w:numId w:val="152"/>
        </w:numPr>
        <w:spacing w:lineRule="exact" w:line="288" w:before="0" w:after="60"/>
        <w:rPr/>
      </w:pPr>
      <w:r>
        <w:rPr>
          <w:rFonts w:eastAsia="Cambria" w:cs="Cambria"/>
          <w:b/>
          <w:bCs/>
          <w:i w:val="false"/>
          <w:iCs w:val="false"/>
          <w:sz w:val="22"/>
          <w:szCs w:val="22"/>
        </w:rPr>
        <w:t>Termin im SSA-Büro.</w:t>
      </w:r>
      <w:r>
        <w:rPr>
          <w:rFonts w:eastAsia="Cambria" w:cs="Cambria"/>
          <w:b w:val="false"/>
          <w:bCs w:val="false"/>
          <w:i w:val="false"/>
          <w:iCs w:val="false"/>
          <w:sz w:val="22"/>
          <w:szCs w:val="22"/>
        </w:rPr>
        <w:t xml:space="preserve"> Die meisten Büros arbeiten mit Termin; Wartezeiten schwanken stark je nach Standort. Für Nichtbürger läuft der Antrag 2026 weiterhin über den persönlichen Termin oder den Postweg – die seit Februar 2026 angebotene vollständig digitale Beantragung gilt bislang nur für bestimmte Ersatzkarten- und Namensänderungsfälle von US-Bürgern mit US-Adresse.</w:t>
      </w:r>
    </w:p>
    <w:p>
      <w:pPr>
        <w:pStyle w:val="ListParagraph"/>
        <w:numPr>
          <w:ilvl w:val="0"/>
          <w:numId w:val="153"/>
        </w:numPr>
        <w:spacing w:lineRule="exact" w:line="288" w:before="0" w:after="60"/>
        <w:rPr/>
      </w:pPr>
      <w:r>
        <w:rPr>
          <w:rFonts w:eastAsia="Cambria" w:cs="Cambria"/>
          <w:b/>
          <w:bCs/>
          <w:i w:val="false"/>
          <w:iCs w:val="false"/>
          <w:sz w:val="22"/>
          <w:szCs w:val="22"/>
        </w:rPr>
        <w:t>Bearbeitung abwarten.</w:t>
      </w:r>
      <w:r>
        <w:rPr>
          <w:rFonts w:eastAsia="Cambria" w:cs="Cambria"/>
          <w:b w:val="false"/>
          <w:bCs w:val="false"/>
          <w:i w:val="false"/>
          <w:iCs w:val="false"/>
          <w:sz w:val="22"/>
          <w:szCs w:val="22"/>
        </w:rPr>
        <w:t xml:space="preserve"> Nach dem Termin dauert es meist 10 bis 14 Tage, bei H-1B-Fällen laut Kanzleien eher 2 bis 3 Wochen, bei zusätzlicher Prüfung 1 bis 3 Monate. Die Karte kommt per Post an deine US-Adresse, nicht sofort am Schalter.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Green Card über das Konsulat (</w:t>
      </w:r>
      <w:r>
        <w:rPr>
          <w:rFonts w:eastAsia="Cambria" w:cs="Cambria"/>
          <w:b w:val="false"/>
          <w:bCs w:val="false"/>
          <w:i/>
          <w:iCs/>
          <w:sz w:val="22"/>
          <w:szCs w:val="22"/>
        </w:rPr>
        <w:t>Immigrant Visa</w:t>
      </w:r>
      <w:r>
        <w:rPr>
          <w:rFonts w:eastAsia="Cambria" w:cs="Cambria"/>
          <w:b w:val="false"/>
          <w:bCs w:val="false"/>
          <w:i w:val="false"/>
          <w:iCs w:val="false"/>
          <w:sz w:val="22"/>
          <w:szCs w:val="22"/>
        </w:rPr>
        <w:t>) läuft es anders: Der SSN-Antrag steckt bereits im Formular DS-260 (</w:t>
      </w:r>
      <w:r>
        <w:rPr>
          <w:rFonts w:eastAsia="Cambria" w:cs="Cambria"/>
          <w:b w:val="false"/>
          <w:bCs w:val="false"/>
          <w:i/>
          <w:iCs/>
          <w:sz w:val="22"/>
          <w:szCs w:val="22"/>
        </w:rPr>
        <w:t>Enumeration at Entry</w:t>
      </w:r>
      <w:r>
        <w:rPr>
          <w:rFonts w:eastAsia="Cambria" w:cs="Cambria"/>
          <w:b w:val="false"/>
          <w:bCs w:val="false"/>
          <w:i w:val="false"/>
          <w:iCs w:val="false"/>
          <w:sz w:val="22"/>
          <w:szCs w:val="22"/>
        </w:rPr>
        <w:t>), du musst dafür die SSN-Option ankreuzen und eine gültige US-Adresse angeben. Nach der Einreise übermittelt das Heimatschutzministerium (DHS) die Daten automatisch an die SSA; die Karte kommt 7 bis 10 Werktage nach der Ankunft, ohne Büro-Besuch.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automatische SSN-Vergabe über USCIS-Anträge (</w:t>
      </w:r>
      <w:r>
        <w:rPr>
          <w:rFonts w:eastAsia="Cambria" w:cs="Cambria"/>
          <w:b w:val="false"/>
          <w:bCs w:val="false"/>
          <w:i/>
          <w:iCs/>
          <w:sz w:val="22"/>
          <w:szCs w:val="22"/>
        </w:rPr>
        <w:t>Enumeration Beyond Entry</w:t>
      </w:r>
      <w:r>
        <w:rPr>
          <w:rFonts w:eastAsia="Cambria" w:cs="Cambria"/>
          <w:b w:val="false"/>
          <w:bCs w:val="false"/>
          <w:i w:val="false"/>
          <w:iCs w:val="false"/>
          <w:sz w:val="22"/>
          <w:szCs w:val="22"/>
        </w:rPr>
        <w:t>, EBE, etwa bei I-765-Arbeitserlaubnissen oder der Einbürgerung) ist seit dem 19. März 2025 ausgesetzt; wer betroffen ist, muss weiterhin persönlich zur SSA. Eine Wiederaufnahme war bis zum Stand dieses Kapitels nicht bestätigt – prüfe den aktuellen Stand vor dem 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zu früher Antrag scheitert. Ohne den I-94-Eintrag im SSA-System wird der Antrag abgelehnt oder verschleppt; warte die 10 Tage ab, auch wenn Arbeitgeber oder Bank 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SSA verlangt für SS-5 und Ersatzkarte keine Gebühr. Websites, die Geld für „schnellere Bearbeitung“ oder das Ausfüllen des Formulars verlangen, sind überteuerte Drittanbieter oder Betrug.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ohne SSN in der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SSN kommt selten am ersten Tag – plane die Übergangszeit ein, statt auf sie zu warten.</w:t>
      </w:r>
    </w:p>
    <w:p>
      <w:pPr>
        <w:pStyle w:val="ListParagraph"/>
        <w:numPr>
          <w:ilvl w:val="0"/>
          <w:numId w:val="1"/>
        </w:numPr>
        <w:spacing w:lineRule="exact" w:line="288" w:before="0" w:after="60"/>
        <w:rPr/>
      </w:pPr>
      <w:r>
        <w:rPr>
          <w:rFonts w:eastAsia="Cambria" w:cs="Cambria"/>
          <w:b/>
          <w:bCs/>
          <w:i w:val="false"/>
          <w:iCs w:val="false"/>
          <w:sz w:val="22"/>
          <w:szCs w:val="22"/>
        </w:rPr>
        <w:t>Arbeitgeber:</w:t>
      </w:r>
      <w:r>
        <w:rPr>
          <w:rFonts w:eastAsia="Cambria" w:cs="Cambria"/>
          <w:b w:val="false"/>
          <w:bCs w:val="false"/>
          <w:i w:val="false"/>
          <w:iCs w:val="false"/>
          <w:sz w:val="22"/>
          <w:szCs w:val="22"/>
        </w:rPr>
        <w:t xml:space="preserve"> Er darf dich ohne SSN beschäftigen; für die Form I-9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ist keine SSN nötig, außer bei bestimmten E-Verify-Feldern. Die Lohnbuchhaltung trägt „Applied For“ ein und korrigiert es, sobald die Karte da ist.</w:t>
      </w:r>
    </w:p>
    <w:p>
      <w:pPr>
        <w:pStyle w:val="ListParagraph"/>
        <w:numPr>
          <w:ilvl w:val="0"/>
          <w:numId w:val="1"/>
        </w:numPr>
        <w:spacing w:lineRule="exact" w:line="288" w:before="0" w:after="60"/>
        <w:rPr/>
      </w:pPr>
      <w:r>
        <w:rPr>
          <w:rFonts w:eastAsia="Cambria" w:cs="Cambria"/>
          <w:b/>
          <w:bCs/>
          <w:i w:val="false"/>
          <w:iCs w:val="false"/>
          <w:sz w:val="22"/>
          <w:szCs w:val="22"/>
        </w:rPr>
        <w:t>Bank:</w:t>
      </w:r>
      <w:r>
        <w:rPr>
          <w:rFonts w:eastAsia="Cambria" w:cs="Cambria"/>
          <w:b w:val="false"/>
          <w:bCs w:val="false"/>
          <w:i w:val="false"/>
          <w:iCs w:val="false"/>
          <w:sz w:val="22"/>
          <w:szCs w:val="22"/>
        </w:rPr>
        <w:t xml:space="preserve"> Viele Banken eröffnen ein Konto mit Pass, Visum, I-94 und einer US-Adresse, auch ohne SSN; Details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Handy:</w:t>
      </w:r>
      <w:r>
        <w:rPr>
          <w:rFonts w:eastAsia="Cambria" w:cs="Cambria"/>
          <w:b w:val="false"/>
          <w:bCs w:val="false"/>
          <w:i w:val="false"/>
          <w:iCs w:val="false"/>
          <w:sz w:val="22"/>
          <w:szCs w:val="22"/>
        </w:rPr>
        <w:t xml:space="preserve"> Prepaid-Tarife verlangen keine SSN; ein Laufzeitvertrag (</w:t>
      </w:r>
      <w:r>
        <w:rPr>
          <w:rFonts w:eastAsia="Cambria" w:cs="Cambria"/>
          <w:b w:val="false"/>
          <w:bCs w:val="false"/>
          <w:i/>
          <w:iCs/>
          <w:sz w:val="22"/>
          <w:szCs w:val="22"/>
        </w:rPr>
        <w:t>Postpaid</w:t>
      </w:r>
      <w:r>
        <w:rPr>
          <w:rFonts w:eastAsia="Cambria" w:cs="Cambria"/>
          <w:b w:val="false"/>
          <w:bCs w:val="false"/>
          <w:i w:val="false"/>
          <w:iCs w:val="false"/>
          <w:sz w:val="22"/>
          <w:szCs w:val="22"/>
        </w:rPr>
        <w:t>) verlangt meist SSN und Bonitätsprüfung oder eine Kaution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Wohnung:</w:t>
      </w:r>
      <w:r>
        <w:rPr>
          <w:rFonts w:eastAsia="Cambria" w:cs="Cambria"/>
          <w:b w:val="false"/>
          <w:bCs w:val="false"/>
          <w:i w:val="false"/>
          <w:iCs w:val="false"/>
          <w:sz w:val="22"/>
          <w:szCs w:val="22"/>
        </w:rPr>
        <w:t xml:space="preserve"> Vermieter akzeptieren oft Arbeitsvertrag, Gehaltsnachweis, eine höhere Kaution oder einen Bürgen anstelle der SSN-gestützten Bonitätsprüfung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Der Versorger verlangt ohne SSN meist eine Kaution oder akzeptiert ein </w:t>
      </w:r>
      <w:r>
        <w:rPr>
          <w:rFonts w:eastAsia="Cambria" w:cs="Cambria"/>
          <w:b w:val="false"/>
          <w:bCs w:val="false"/>
          <w:i/>
          <w:iCs/>
          <w:sz w:val="22"/>
          <w:szCs w:val="22"/>
        </w:rPr>
        <w:t>Letter of Credit</w:t>
      </w:r>
      <w:r>
        <w:rPr>
          <w:rFonts w:eastAsia="Cambria" w:cs="Cambria"/>
          <w:b w:val="false"/>
          <w:bCs w:val="false"/>
          <w:i w:val="false"/>
          <w:iCs w:val="false"/>
          <w:sz w:val="22"/>
          <w:szCs w:val="22"/>
        </w:rPr>
        <w:t xml:space="preserve"> (Bonitätsnachweis) des vorherigen Versorgers.</w:t>
      </w:r>
    </w:p>
    <w:p>
      <w:pPr>
        <w:pStyle w:val="ListParagraph"/>
        <w:numPr>
          <w:ilvl w:val="0"/>
          <w:numId w:val="1"/>
        </w:numPr>
        <w:spacing w:lineRule="exact" w:line="288" w:before="0" w:after="60"/>
        <w:rPr/>
      </w:pPr>
      <w:r>
        <w:rPr>
          <w:rFonts w:eastAsia="Cambria" w:cs="Cambria"/>
          <w:b/>
          <w:bCs/>
          <w:i w:val="false"/>
          <w:iCs w:val="false"/>
          <w:sz w:val="22"/>
          <w:szCs w:val="22"/>
        </w:rPr>
        <w:t>Führerschein (DMV):</w:t>
      </w:r>
      <w:r>
        <w:rPr>
          <w:rFonts w:eastAsia="Cambria" w:cs="Cambria"/>
          <w:b w:val="false"/>
          <w:bCs w:val="false"/>
          <w:i w:val="false"/>
          <w:iCs w:val="false"/>
          <w:sz w:val="22"/>
          <w:szCs w:val="22"/>
        </w:rPr>
        <w:t xml:space="preserve"> Manche Bundesstaaten verlangen für den Führerschein entweder eine SSN oder ein SSA-Ablehnungsschreiben (</w:t>
      </w:r>
      <w:r>
        <w:rPr>
          <w:rFonts w:eastAsia="Cambria" w:cs="Cambria"/>
          <w:b w:val="false"/>
          <w:bCs w:val="false"/>
          <w:i/>
          <w:iCs/>
          <w:sz w:val="22"/>
          <w:szCs w:val="22"/>
        </w:rPr>
        <w:t>Letter of Ineligibility</w:t>
      </w:r>
      <w:r>
        <w:rPr>
          <w:rFonts w:eastAsia="Cambria" w:cs="Cambria"/>
          <w:b w:val="false"/>
          <w:bCs w:val="false"/>
          <w:i w:val="false"/>
          <w:iCs w:val="false"/>
          <w:sz w:val="22"/>
          <w:szCs w:val="22"/>
        </w:rPr>
        <w:t>, Formular SSA-L676). Die SSA stellt es kostenlos aus, oft noch am selben Tag – aber nur, wenn du tatsächlich keinen Anspruch auf eine SSN hast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SSN „ohne Arbeitserlaubnis“ (</w:t>
            </w:r>
            <w:r>
              <w:rPr>
                <w:rFonts w:eastAsia="Cambria" w:cs="Cambria"/>
                <w:b w:val="false"/>
                <w:bCs w:val="false"/>
                <w:i/>
                <w:iCs/>
                <w:sz w:val="20"/>
                <w:szCs w:val="20"/>
              </w:rPr>
              <w:t>Non-work-SSN</w:t>
            </w:r>
            <w:r>
              <w:rPr>
                <w:rFonts w:eastAsia="Cambria" w:cs="Cambria"/>
                <w:b w:val="false"/>
                <w:bCs w:val="false"/>
                <w:i w:val="false"/>
                <w:iCs w:val="false"/>
                <w:sz w:val="20"/>
                <w:szCs w:val="20"/>
              </w:rPr>
              <w:t xml:space="preserve">) gibt es nur in engen Ausnahmefällen: wenn ein Bundes- oder Landesgesetz sie ausdrücklich für eine Sozialleistung verlangt, belegt durch ein Behördenschreiben mit Original-Unterschrift. Bankkonto, Handyvertrag, Miete, Kredit und Führerschein zählen ausdrücklich </w:t>
            </w:r>
            <w:r>
              <w:rPr>
                <w:rFonts w:eastAsia="Cambria" w:cs="Cambria"/>
                <w:b/>
                <w:bCs/>
                <w:i w:val="false"/>
                <w:iCs w:val="false"/>
                <w:sz w:val="20"/>
                <w:szCs w:val="20"/>
              </w:rPr>
              <w:t>nicht</w:t>
            </w:r>
            <w:r>
              <w:rPr>
                <w:rFonts w:eastAsia="Cambria" w:cs="Cambria"/>
                <w:b w:val="false"/>
                <w:bCs w:val="false"/>
                <w:i w:val="false"/>
                <w:iCs w:val="false"/>
                <w:sz w:val="20"/>
                <w:szCs w:val="20"/>
              </w:rPr>
              <w:t xml:space="preserve"> dazu (SSA-Regelwerk POMS RM 10211.600). Verlass dich stattdessen auf die Übergangslösungen oben.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Schutz vor Missbrauch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Weil die SSN so oft verlangt wird, ist sie ein beliebtes Ziel für Identitätsdiebstahl: Die Bundesverbraucherschutzbehörde FTC zählte 2025 rund 3,0 Millionen Betrugsmeldungen mit 15,9 Milliarden Dollar gemeldetem Schaden, gegenüber 2,6 Millionen Meldungen und über 12 Milliarden Dollar im Jahr davor. Zwei kostenlose Werkzeuge schützen dich:</w:t>
      </w:r>
    </w:p>
    <w:p>
      <w:pPr>
        <w:pStyle w:val="ListParagraph"/>
        <w:numPr>
          <w:ilvl w:val="0"/>
          <w:numId w:val="1"/>
        </w:numPr>
        <w:spacing w:lineRule="exact" w:line="288" w:before="0" w:after="60"/>
        <w:rPr/>
      </w:pPr>
      <w:r>
        <w:rPr>
          <w:rFonts w:eastAsia="Cambria" w:cs="Cambria"/>
          <w:b/>
          <w:bCs/>
          <w:i w:val="false"/>
          <w:iCs w:val="false"/>
          <w:sz w:val="22"/>
          <w:szCs w:val="22"/>
        </w:rPr>
        <w:t>Credit Freeze</w:t>
      </w:r>
      <w:r>
        <w:rPr>
          <w:rFonts w:eastAsia="Cambria" w:cs="Cambria"/>
          <w:b w:val="false"/>
          <w:bCs w:val="false"/>
          <w:i w:val="false"/>
          <w:iCs w:val="false"/>
          <w:sz w:val="22"/>
          <w:szCs w:val="22"/>
        </w:rPr>
        <w:t xml:space="preserve"> (Kontosperre bei den drei großen Auskunfteien Equifax, Experian und TransUnion): kostenlos, gilt bis zur eigenen Aufhebung, hat keinen Einfluss auf den Score. Beantrage ihn bei allen drei Stellen einzeln und hebe ihn nur kurz auf, wenn du selbst einen Kredit oder Vertrag beantragst.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(Betrugswarnung) reicht kürzer: ein Jahr, in der erweiterten Form sieben Jahre.</w:t>
      </w:r>
    </w:p>
    <w:p>
      <w:pPr>
        <w:pStyle w:val="ListParagraph"/>
        <w:numPr>
          <w:ilvl w:val="0"/>
          <w:numId w:val="1"/>
        </w:numPr>
        <w:spacing w:lineRule="exact" w:line="288" w:before="0" w:after="60"/>
        <w:rPr/>
      </w:pPr>
      <w:r>
        <w:rPr>
          <w:rFonts w:eastAsia="Cambria" w:cs="Cambria"/>
          <w:b/>
          <w:bCs/>
          <w:i w:val="false"/>
          <w:iCs w:val="false"/>
          <w:sz w:val="22"/>
          <w:szCs w:val="22"/>
        </w:rPr>
        <w:t>IRS Identity Protection PIN (IP PIN):</w:t>
      </w:r>
      <w:r>
        <w:rPr>
          <w:rFonts w:eastAsia="Cambria" w:cs="Cambria"/>
          <w:b w:val="false"/>
          <w:bCs w:val="false"/>
          <w:i w:val="false"/>
          <w:iCs w:val="false"/>
          <w:sz w:val="22"/>
          <w:szCs w:val="22"/>
        </w:rPr>
        <w:t xml:space="preserve">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beziehungsweise 168.000 $ bei gemeinsamer Veranlagung) oder ein Termin im Taxpayer Assistance Center.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Telefonanrufe angeblicher SSA- oder IRS-Mitarbeiter, die mit Verhaftung, Abschiebung oder einer „gesperrten SSN“ drohen und sofortige Zahlung per Geschenkkarte oder Überweisung verlangen, sind Betrug. Beide Behörden rufen nicht so an. Lege auf, und melde den Anruf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Partner und Neugeborene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 den USA geborene Kinder läuft die SSN meist automatisch über das Krankenhaus (</w:t>
      </w:r>
      <w:r>
        <w:rPr>
          <w:rFonts w:eastAsia="Cambria" w:cs="Cambria"/>
          <w:b w:val="false"/>
          <w:bCs w:val="false"/>
          <w:i/>
          <w:iCs/>
          <w:sz w:val="22"/>
          <w:szCs w:val="22"/>
        </w:rPr>
        <w:t>Enumeration at Birth</w:t>
      </w:r>
      <w:r>
        <w:rPr>
          <w:rFonts w:eastAsia="Cambria" w:cs="Cambria"/>
          <w:b w:val="false"/>
          <w:bCs w:val="false"/>
          <w:i w:val="false"/>
          <w:iCs w:val="false"/>
          <w:sz w:val="22"/>
          <w:szCs w:val="22"/>
        </w:rPr>
        <w:t>): Du füllst dort ein Formular zusammen mit der Geburtsurkunde aus, die Karte kommt einige Wochen später per Post. Für ein im Ausland geborenes Kind US-amerikanischer Eltern beantragst du die SSN zusammen mit dem Staatsangehörigkeitsnachweis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Formular DS-2029) beim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Für Ehepartner gilt dieselbe Logik: Wer mit H-4 oder J-2 keine EAD hat, bleibt ohne SSN, bis die Arbeitserlaubnis kommt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26. September in Seattle, ihr H-1B-Status beginnt am 1. Oktober. Am 6. Oktober – 10 Tage nach der Einreise – geht sie mit Pass, I-94-Ausdruck und I-797 zum SSA-Termin, den sie schon aus Deutschland online gebucht hatte. Das Formular SS-5 hatte sie vorher zu Hause ausgefüllt. Im Wartezimmer sitzen Neuankömmlinge aus einem Dutzend Ländern, alle mit demselben dünnen Aktenordner unterm Arm. Der Sachbearbeiter prüft die Originale, ein Arbeitgeberbrief wird nicht verlangt. Zwei Wochen später liegt die Karte im Briefkasten; bis dahin lief ihr erstes Gehalt mit dem Vermerk „Applied For“.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Ersatzkarte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Geht die Karte verloren oder ändert sich dein Name, bekommst du eine Ersatzkarte – begrenzt auf drei pro Kalenderjahr und zehn im gesamten Leben (seit Dezember 2005) –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ITIN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keinen Anspruch auf eine SSN hat, aber steuerpflichtig ist, braucht eine </w:t>
      </w:r>
      <w:r>
        <w:rPr>
          <w:rFonts w:eastAsia="Cambria" w:cs="Cambria"/>
          <w:b w:val="false"/>
          <w:bCs w:val="false"/>
          <w:i/>
          <w:iCs/>
          <w:sz w:val="22"/>
          <w:szCs w:val="22"/>
        </w:rPr>
        <w:t>Individual Taxpayer Identification Number</w:t>
      </w:r>
      <w:r>
        <w:rPr>
          <w:rFonts w:eastAsia="Cambria" w:cs="Cambria"/>
          <w:b w:val="false"/>
          <w:bCs w:val="false"/>
          <w:i w:val="false"/>
          <w:iCs w:val="false"/>
          <w:sz w:val="22"/>
          <w:szCs w:val="22"/>
        </w:rPr>
        <w:t xml:space="preserve"> (ITIN), eine neunstellige Steuernummer für Ausländer. Das betrifft vor allem Ehepartner ohne Arbeitserlaubnis, Kinder ohne SSN und Investoren oder Ruheständler mit US-Einkünften.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ITIN gibt keinen Aufenthaltsstatus, keine Arbeitserlaubnis und keinen Anspruch auf Sozialleistungen; sie berechtigt auch nicht zum </w:t>
      </w:r>
      <w:r>
        <w:rPr>
          <w:rFonts w:eastAsia="Cambria" w:cs="Cambria"/>
          <w:b w:val="false"/>
          <w:bCs w:val="false"/>
          <w:i/>
          <w:iCs/>
          <w:sz w:val="22"/>
          <w:szCs w:val="22"/>
        </w:rPr>
        <w:t>Earned Income Tax Credit</w:t>
      </w:r>
      <w:r>
        <w:rPr>
          <w:rFonts w:eastAsia="Cambria" w:cs="Cambria"/>
          <w:b w:val="false"/>
          <w:bCs w:val="false"/>
          <w:i w:val="false"/>
          <w:iCs w:val="false"/>
          <w:sz w:val="22"/>
          <w:szCs w:val="22"/>
        </w:rPr>
        <w:t xml:space="preserve"> oder zum vollen </w:t>
      </w:r>
      <w:r>
        <w:rPr>
          <w:rFonts w:eastAsia="Cambria" w:cs="Cambria"/>
          <w:b w:val="false"/>
          <w:bCs w:val="false"/>
          <w:i/>
          <w:iCs/>
          <w:sz w:val="22"/>
          <w:szCs w:val="22"/>
        </w:rPr>
        <w:t>Child Tax Credit</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Sie öffnet aber andere Steuervergünstigungen wie den </w:t>
      </w:r>
      <w:r>
        <w:rPr>
          <w:rFonts w:eastAsia="Cambria" w:cs="Cambria"/>
          <w:b w:val="false"/>
          <w:bCs w:val="false"/>
          <w:i/>
          <w:iCs/>
          <w:sz w:val="22"/>
          <w:szCs w:val="22"/>
        </w:rPr>
        <w:t>American Opportunity Tax Credit</w:t>
      </w:r>
      <w:r>
        <w:rPr>
          <w:rFonts w:eastAsia="Cambria" w:cs="Cambria"/>
          <w:b w:val="false"/>
          <w:bCs w:val="false"/>
          <w:i w:val="false"/>
          <w:iCs w:val="false"/>
          <w:sz w:val="22"/>
          <w:szCs w:val="22"/>
        </w:rPr>
        <w:t xml:space="preserve">, den </w:t>
      </w:r>
      <w:r>
        <w:rPr>
          <w:rFonts w:eastAsia="Cambria" w:cs="Cambria"/>
          <w:b w:val="false"/>
          <w:bCs w:val="false"/>
          <w:i/>
          <w:iCs/>
          <w:sz w:val="22"/>
          <w:szCs w:val="22"/>
        </w:rPr>
        <w:t>Premium Tax Credit</w:t>
      </w:r>
      <w:r>
        <w:rPr>
          <w:rFonts w:eastAsia="Cambria" w:cs="Cambria"/>
          <w:b w:val="false"/>
          <w:bCs w:val="false"/>
          <w:i w:val="false"/>
          <w:iCs w:val="false"/>
          <w:sz w:val="22"/>
          <w:szCs w:val="22"/>
        </w:rPr>
        <w:t xml:space="preserve"> und den </w:t>
      </w:r>
      <w:r>
        <w:rPr>
          <w:rFonts w:eastAsia="Cambria" w:cs="Cambria"/>
          <w:b w:val="false"/>
          <w:bCs w:val="false"/>
          <w:i/>
          <w:iCs/>
          <w:sz w:val="22"/>
          <w:szCs w:val="22"/>
        </w:rPr>
        <w:t>Credit for Other Dependents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beantragst die ITIN mit Formular W-7 zusammen mit der fristgerechten Steuererklärung, nicht separat. Die Bearbeitung dauert etwa 7 Wochen, zwischen dem 15. Januar und dem 30. April oder bei Anträgen aus dem Ausland eher 9 bis 11 Wochen; die Bestätigung kommt als Mitteilung CP565. Einreichen kannst du per Post an das IRS-Servicecenter in Austin, über ein Taxpayer Assistance Center, eine VITA-Beratungsstelle oder einen zugelassenen </w:t>
      </w:r>
      <w:r>
        <w:rPr>
          <w:rFonts w:eastAsia="Cambria" w:cs="Cambria"/>
          <w:b w:val="false"/>
          <w:bCs w:val="false"/>
          <w:i/>
          <w:iCs/>
          <w:sz w:val="22"/>
          <w:szCs w:val="22"/>
        </w:rPr>
        <w:t>Acceptance Agent</w:t>
      </w:r>
      <w:r>
        <w:rPr>
          <w:rFonts w:eastAsia="Cambria" w:cs="Cambria"/>
          <w:b w:val="false"/>
          <w:bCs w:val="false"/>
          <w:i w:val="false"/>
          <w:iCs w:val="false"/>
          <w:sz w:val="22"/>
          <w:szCs w:val="22"/>
        </w:rPr>
        <w:t xml:space="preserve"> (gegen Gebühr, die je nach Anbieter stark schwankt). In der Praxis verfällt eine ITIN, wenn sie drei Steuerjahre in Folge nicht in einer Erklärung auftaucht; die Erneuerung läuft wieder über Formular W-7.</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SSN und Sozialversicherungsansprüche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reguläre US-Rente brauchst du in aller Regel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(auch </w:t>
      </w:r>
      <w:r>
        <w:rPr>
          <w:rFonts w:eastAsia="Cambria" w:cs="Cambria"/>
          <w:b w:val="false"/>
          <w:bCs w:val="false"/>
          <w:i/>
          <w:iCs/>
          <w:sz w:val="22"/>
          <w:szCs w:val="22"/>
        </w:rPr>
        <w:t>Quarters of Coverage</w:t>
      </w:r>
      <w:r>
        <w:rPr>
          <w:rFonts w:eastAsia="Cambria" w:cs="Cambria"/>
          <w:b w:val="false"/>
          <w:bCs w:val="false"/>
          <w:i w:val="false"/>
          <w:iCs w:val="false"/>
          <w:sz w:val="22"/>
          <w:szCs w:val="22"/>
        </w:rPr>
        <w:t xml:space="preserve"> genannt) –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greift das deutsch-amerikanische Sozialversicherungsabkommen (in Kraft seit 1979): Es rechnet deutsche und amerikanische Versicherungszeiten zusammen, um die Mindestzeit für eine (dann anteilige) US-Rente zu erreichen – vorausgesetzt,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SSN sichert nicht automatisch eine US-Rente. Erst 40 Credits oder das Zusammenrechnen über das Sozialversicherungsabkommen begründen einen Anspruch – kurze Aufenthalte zählen trotzdem für die spätere Zusammenrechnung.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954"/>
        <w:gridCol w:w="2525"/>
      </w:tblGrid>
      <w:tr>
        <w:trPr>
          <w:tblHeader w:val="true"/>
          <w:cantSplit w:val="true"/>
        </w:trPr>
        <w:tc>
          <w:tcPr>
            <w:tcW w:w="39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Öffnet Bank, Kreditkarte und Handyvertrag zu normalen Konditionen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SSN dauern viele Alltagsdinge länger oder brauchen Umwege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Baut eine US-Kreditgeschichte auf, die später bei Miete und Hypothek zählt</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Generalschlüssel betrifft ein Datenleck gleich mehrere Lebensbereiche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Ansprüche aus dem Sozialversicherungsabkommen (40 Credits, Zusammenrechnung)</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nur persönlich mit Termin, Wartezeiten schwanken</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ITIN überbrückt die Steuerpflicht auch ohne SSN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bringt weder Kreditwürdigkeit noch Sozialleistungen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ist mindestens 10 Tage alt, bevor du zur SSA gehst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SS-5 ausgefüllt, Pass, Visum, I-94-Ausdruck und I-797 im Original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im SSA-Büro vereinbart, wo möglich vorab online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über „Applied For“ informiert, falls der Job vor der SSN beginnt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Übergangslösungen für Bank, Handy, Wohnung und Strom geklärt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Familienmitglieder ohne Arbeitserlaubnis geprüft: SSN oder ITIN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Sobald die SSN da ist: Credit Freeze bei allen drei Auskunfteien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IRS Identity Protection PIN über das IRS Online Account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Ersatzkarte nur bei echtem Bedarf beantragt, Limit im Kopf (3 pro Jahr, 10 im Leben)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Rückkehr: Sozialversicherungsabkommen und Zusammenrechnung im Blick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Formular SS-5 (</w:t>
      </w:r>
      <w:hyperlink r:id="rId227">
        <w:r>
          <w:rPr>
            <w:rStyle w:val="ListLabel113"/>
            <w:rFonts w:eastAsia="Cambria" w:cs="Cambria"/>
            <w:b w:val="false"/>
            <w:bCs w:val="false"/>
            <w:i w:val="false"/>
            <w:iCs w:val="false"/>
            <w:color w:val="0563C1"/>
            <w:sz w:val="22"/>
            <w:szCs w:val="22"/>
            <w:u w:val="single"/>
          </w:rPr>
          <w:t>ssa.gov/forms/ss-5.pdf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mit Deutschland (</w:t>
      </w:r>
      <w:hyperlink r:id="rId228">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Number und Karte (</w:t>
      </w:r>
      <w:hyperlink r:id="rId229">
        <w:r>
          <w:rPr>
            <w:rStyle w:val="ListLabel113"/>
            <w:rFonts w:eastAsia="Cambria" w:cs="Cambria"/>
            <w:b w:val="false"/>
            <w:bCs w:val="false"/>
            <w:i w:val="false"/>
            <w:iCs w:val="false"/>
            <w:color w:val="0563C1"/>
            <w:sz w:val="22"/>
            <w:szCs w:val="22"/>
            <w:u w:val="single"/>
          </w:rPr>
          <w:t>ssa.gov/number-card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ITIN beantragen (</w:t>
      </w:r>
      <w:hyperlink r:id="rId230">
        <w:r>
          <w:rPr>
            <w:rStyle w:val="ListLabel113"/>
            <w:rFonts w:eastAsia="Cambria" w:cs="Cambria"/>
            <w:b w:val="false"/>
            <w:bCs w:val="false"/>
            <w:i w:val="false"/>
            <w:iCs w:val="false"/>
            <w:color w:val="0563C1"/>
            <w:sz w:val="22"/>
            <w:szCs w:val="22"/>
            <w:u w:val="single"/>
          </w:rPr>
          <w:t>irs.gov/individuals/how-do-i-apply-for-an-itin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Identity Protection PIN (</w:t>
      </w:r>
      <w:hyperlink r:id="rId231">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Credit Freeze und Fraud Alert (</w:t>
      </w:r>
      <w:hyperlink r:id="rId232">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3" w:name="__RefHeading___Toc56486_3457424410"/>
      <w:bookmarkStart w:id="64" w:name="k25"/>
      <w:bookmarkEnd w:id="63"/>
      <w:r>
        <w:rPr>
          <w:rFonts w:eastAsia="Amazon Ember" w:cs="Amazon Ember" w:ascii="Amazon Ember" w:hAnsi="Amazon Ember"/>
          <w:b/>
          <w:bCs/>
          <w:color w:val="0000FF"/>
          <w:sz w:val="36"/>
          <w:szCs w:val="36"/>
        </w:rPr>
        <w:t>Kapitel 25: Bank, Kredit, Versicherungen: Geld im Alltag</w:t>
      </w:r>
      <w:bookmarkEnd w:id="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hast in Deutschland nie eine Rechnung zu spät bezahlt, deine Schufa-Auskunft ist makellos – und trotzdem lehnt dich der Mobilfunkanbieter in den USA für einen normalen Vertrag ab oder verlangt eine hohe Kaution. Der Grund ist banal: Für die amerikanischen Auskunfteien existierst du schlicht nicht. Jahrzehnte pünktlicher Zahlungen in Deutschland zählen hier nichts – du startest bei deiner </w:t>
      </w:r>
      <w:r>
        <w:rPr>
          <w:rFonts w:eastAsia="Cambria" w:cs="Cambria"/>
          <w:b w:val="false"/>
          <w:bCs w:val="false"/>
          <w:i/>
          <w:iCs/>
          <w:sz w:val="22"/>
          <w:szCs w:val="22"/>
        </w:rPr>
        <w:t>Kreditwürdigkeit</w:t>
      </w:r>
      <w:r>
        <w:rPr>
          <w:rFonts w:eastAsia="Cambria" w:cs="Cambria"/>
          <w:b w:val="false"/>
          <w:bCs w:val="false"/>
          <w:i w:val="false"/>
          <w:iCs w:val="false"/>
          <w:sz w:val="22"/>
          <w:szCs w:val="22"/>
        </w:rPr>
        <w:t xml:space="preserve">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der </w:t>
      </w:r>
      <w:r>
        <w:rPr>
          <w:rFonts w:eastAsia="Cambria" w:cs="Cambria"/>
          <w:b w:val="false"/>
          <w:bCs w:val="false"/>
          <w:i/>
          <w:iCs/>
          <w:sz w:val="22"/>
          <w:szCs w:val="22"/>
        </w:rPr>
        <w:t>FICO-Score</w:t>
      </w:r>
      <w:r>
        <w:rPr>
          <w:rFonts w:eastAsia="Cambria" w:cs="Cambria"/>
          <w:b w:val="false"/>
          <w:bCs w:val="false"/>
          <w:i w:val="false"/>
          <w:iCs w:val="false"/>
          <w:sz w:val="22"/>
          <w:szCs w:val="22"/>
        </w:rPr>
        <w:t>) bei null, nicht bei schlecht. Das betrifft nicht nur Kreditkarten, sondern auch Handyvertrag, Autokredit und manchmal die Miete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Wer das von Anfang an versteht und gezielt gegensteuert, hat nach sechs bis zwölf Monaten meist einen soliden Score. Wer es ignoriert, zahlt Jahre zu hohe Zinsen.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US-Bankkonto lässt sich bei vielen Banken auch ohne SSN eröffnen (Pass, Visum, I-94 genügen oft); die SSN vereinfacht vieles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Schecks, </w:t>
            </w:r>
            <w:r>
              <w:rPr>
                <w:rFonts w:eastAsia="Cambria" w:cs="Cambria"/>
                <w:b w:val="false"/>
                <w:bCs w:val="false"/>
                <w:i/>
                <w:iCs/>
                <w:sz w:val="20"/>
                <w:szCs w:val="20"/>
              </w:rPr>
              <w:t>ACH</w:t>
            </w:r>
            <w:r>
              <w:rPr>
                <w:rFonts w:eastAsia="Cambria" w:cs="Cambria"/>
                <w:b w:val="false"/>
                <w:bCs w:val="false"/>
                <w:i w:val="false"/>
                <w:iCs w:val="false"/>
                <w:sz w:val="20"/>
                <w:szCs w:val="20"/>
              </w:rPr>
              <w:t xml:space="preserve">, </w:t>
            </w:r>
            <w:r>
              <w:rPr>
                <w:rFonts w:eastAsia="Cambria" w:cs="Cambria"/>
                <w:b w:val="false"/>
                <w:bCs w:val="false"/>
                <w:i/>
                <w:iCs/>
                <w:sz w:val="20"/>
                <w:szCs w:val="20"/>
              </w:rPr>
              <w:t>Zelle</w:t>
            </w:r>
            <w:r>
              <w:rPr>
                <w:rFonts w:eastAsia="Cambria" w:cs="Cambria"/>
                <w:b w:val="false"/>
                <w:bCs w:val="false"/>
                <w:i w:val="false"/>
                <w:iCs w:val="false"/>
                <w:sz w:val="20"/>
                <w:szCs w:val="20"/>
              </w:rPr>
              <w:t xml:space="preserve"> und </w:t>
            </w:r>
            <w:r>
              <w:rPr>
                <w:rFonts w:eastAsia="Cambria" w:cs="Cambria"/>
                <w:b w:val="false"/>
                <w:bCs w:val="false"/>
                <w:i/>
                <w:iCs/>
                <w:sz w:val="20"/>
                <w:szCs w:val="20"/>
              </w:rPr>
              <w:t>Venmo</w:t>
            </w:r>
            <w:r>
              <w:rPr>
                <w:rFonts w:eastAsia="Cambria" w:cs="Cambria"/>
                <w:b w:val="false"/>
                <w:bCs w:val="false"/>
                <w:i w:val="false"/>
                <w:iCs w:val="false"/>
                <w:sz w:val="20"/>
                <w:szCs w:val="20"/>
              </w:rPr>
              <w:t xml:space="preserve"> sind die vier Wege, wie Geld im US-Alltag fließt – jeder mit eigenen Regeln und Risiken.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in den USA nicht: Du baust deine Kreditwürdigkeit über eine gesicherte Kreditkarte, geringe Auslastung und pünktliche Zahlungen neu auf.</w:t>
            </w:r>
          </w:p>
          <w:p>
            <w:pPr>
              <w:pStyle w:val="ListParagraph"/>
              <w:numPr>
                <w:ilvl w:val="0"/>
                <w:numId w:val="1"/>
              </w:numPr>
              <w:spacing w:lineRule="exact" w:line="264" w:before="0" w:after="50"/>
              <w:rPr/>
            </w:pPr>
            <w:r>
              <w:rPr>
                <w:rFonts w:eastAsia="Cambria" w:cs="Cambria"/>
                <w:b w:val="false"/>
                <w:bCs w:val="false"/>
                <w:i w:val="false"/>
                <w:iCs w:val="false"/>
                <w:sz w:val="20"/>
                <w:szCs w:val="20"/>
              </w:rPr>
              <w:t>Kreditkarten kosten bei Restschuld im Schnitt über 20 % Zinsen im Jahr (Stand 2026) – die eine feste Regel lautet: Rechnung jeden Monat vollständig begleichen.</w:t>
            </w:r>
          </w:p>
          <w:p>
            <w:pPr>
              <w:pStyle w:val="ListParagraph"/>
              <w:numPr>
                <w:ilvl w:val="0"/>
                <w:numId w:val="1"/>
              </w:numPr>
              <w:spacing w:lineRule="exact" w:line="264" w:before="0" w:after="50"/>
              <w:rPr/>
            </w:pPr>
            <w:r>
              <w:rPr>
                <w:rFonts w:eastAsia="Cambria" w:cs="Cambria"/>
                <w:b w:val="false"/>
                <w:bCs w:val="false"/>
                <w:i w:val="false"/>
                <w:iCs w:val="false"/>
                <w:sz w:val="20"/>
                <w:szCs w:val="20"/>
              </w:rPr>
              <w:t>Renters-, Umbrella-, Term-Life- und Disability-Versicherung schließen Lücken, die es in Deutschland in dieser Form nicht gibt.</w:t>
            </w:r>
          </w:p>
          <w:p>
            <w:pPr>
              <w:pStyle w:val="ListParagraph"/>
              <w:numPr>
                <w:ilvl w:val="0"/>
                <w:numId w:val="1"/>
              </w:numPr>
              <w:spacing w:lineRule="exact" w:line="264" w:before="0" w:after="50"/>
              <w:rPr/>
            </w:pPr>
            <w:r>
              <w:rPr>
                <w:rFonts w:eastAsia="Cambria" w:cs="Cambria"/>
                <w:b w:val="false"/>
                <w:bCs w:val="false"/>
                <w:i w:val="false"/>
                <w:iCs w:val="false"/>
                <w:sz w:val="20"/>
                <w:szCs w:val="20"/>
              </w:rPr>
              <w:t>Ein Notgroschen von drei bis sechs Monatsausgaben ist in den USA wichtiger als in Deutschland, weil Kündigungsschutz und ein dichtes soziales Netz fehlen.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Bankkonto eröffnen — mit und ohne SSN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Ohne US-Bankkonto geht im Alltag wenig: Gehalt, Miete, die meisten Rechnungen und fast jede App laufen darüber. Die klassische Kombination: ein </w:t>
      </w:r>
      <w:r>
        <w:rPr>
          <w:rFonts w:eastAsia="Cambria" w:cs="Cambria"/>
          <w:b w:val="false"/>
          <w:bCs w:val="false"/>
          <w:i/>
          <w:iCs/>
          <w:sz w:val="22"/>
          <w:szCs w:val="22"/>
        </w:rPr>
        <w:t>Checking Account</w:t>
      </w:r>
      <w:r>
        <w:rPr>
          <w:rFonts w:eastAsia="Cambria" w:cs="Cambria"/>
          <w:b w:val="false"/>
          <w:bCs w:val="false"/>
          <w:i w:val="false"/>
          <w:iCs w:val="false"/>
          <w:sz w:val="22"/>
          <w:szCs w:val="22"/>
        </w:rPr>
        <w:t xml:space="preserve"> (Girokonto mit Debitkarte für den täglichen Zahlungsverkehr) plus ein </w:t>
      </w:r>
      <w:r>
        <w:rPr>
          <w:rFonts w:eastAsia="Cambria" w:cs="Cambria"/>
          <w:b w:val="false"/>
          <w:bCs w:val="false"/>
          <w:i/>
          <w:iCs/>
          <w:sz w:val="22"/>
          <w:szCs w:val="22"/>
        </w:rPr>
        <w:t>Savings Account</w:t>
      </w:r>
      <w:r>
        <w:rPr>
          <w:rFonts w:eastAsia="Cambria" w:cs="Cambria"/>
          <w:b w:val="false"/>
          <w:bCs w:val="false"/>
          <w:i w:val="false"/>
          <w:iCs w:val="false"/>
          <w:sz w:val="22"/>
          <w:szCs w:val="22"/>
        </w:rPr>
        <w:t xml:space="preserve"> (Sparkonto, meist mit etwas Zins, aber begrenzten Abhebungen pro Monat). Landesweite Banken wie Chase, Bank of America oder Wells Fargo haben Filialen fast überall; regionale Banken und Kreditgenossenschaften (</w:t>
      </w:r>
      <w:r>
        <w:rPr>
          <w:rFonts w:eastAsia="Cambria" w:cs="Cambria"/>
          <w:b w:val="false"/>
          <w:bCs w:val="false"/>
          <w:i/>
          <w:iCs/>
          <w:sz w:val="22"/>
          <w:szCs w:val="22"/>
        </w:rPr>
        <w:t>Credit Unions</w:t>
      </w:r>
      <w:r>
        <w:rPr>
          <w:rFonts w:eastAsia="Cambria" w:cs="Cambria"/>
          <w:b w:val="false"/>
          <w:bCs w:val="false"/>
          <w:i w:val="false"/>
          <w:iCs w:val="false"/>
          <w:sz w:val="22"/>
          <w:szCs w:val="22"/>
        </w:rPr>
        <w:t>) bieten oft bessere Konditionen bei kleinerem Filialnetz.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Eröffnung verlangen die meisten Banken Reisepass, Visum, den I-94-Ausdruck und einen Adressnachweis; ohne SSN akzeptieren viele Institute stattdessen eine ITIN oder verlangen sie innerhalb einiger Wochen nachzureichen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Eine erste Einzahlung von meist 25 bis 100 $ eröffnet das Konto. Frag gezielt nach einem Konto ohne monatliche Kontoführungsgebühr (</w:t>
      </w:r>
      <w:r>
        <w:rPr>
          <w:rFonts w:eastAsia="Cambria" w:cs="Cambria"/>
          <w:b w:val="false"/>
          <w:bCs w:val="false"/>
          <w:i/>
          <w:iCs/>
          <w:sz w:val="22"/>
          <w:szCs w:val="22"/>
        </w:rPr>
        <w:t>Monthly Maintenance Fee</w:t>
      </w:r>
      <w:r>
        <w:rPr>
          <w:rFonts w:eastAsia="Cambria" w:cs="Cambria"/>
          <w:b w:val="false"/>
          <w:bCs w:val="false"/>
          <w:i w:val="false"/>
          <w:iCs w:val="false"/>
          <w:sz w:val="22"/>
          <w:szCs w:val="22"/>
        </w:rPr>
        <w:t>) — meist vermeidbar durch Mindestbestand oder Gehaltseingang per Direktüberweisung. Die deutsche Girocard funktioniert in den USA praktisch nie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für Kaution und Mietwagen brauchst du ohnehin eine Kreditkarte.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Einlagen sind bei den meisten Banken durch die staatliche Einlagensicherung FDIC (</w:t>
      </w:r>
      <w:r>
        <w:rPr>
          <w:rFonts w:eastAsia="Cambria" w:cs="Cambria"/>
          <w:b w:val="false"/>
          <w:bCs w:val="false"/>
          <w:i/>
          <w:iCs/>
          <w:sz w:val="22"/>
          <w:szCs w:val="22"/>
        </w:rPr>
        <w:t>Federal Deposit Insurance Corporation</w:t>
      </w:r>
      <w:r>
        <w:rPr>
          <w:rFonts w:eastAsia="Cambria" w:cs="Cambria"/>
          <w:b w:val="false"/>
          <w:bCs w:val="false"/>
          <w:i w:val="false"/>
          <w:iCs w:val="false"/>
          <w:sz w:val="22"/>
          <w:szCs w:val="22"/>
        </w:rPr>
        <w:t>) bis 250.000 $ je Bank und Kontoinhaber abgesichert – deutlich mehr als die 100.000 € der deutschen Einlagensicherung. Kreditgenossenschaften nutzen mit der NCUA eine vergleichbare Absicherung.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Manche Banken sperren ein „Pending“-Konto oder schränken es ein, wenn SSN oder ITIN nicht innerhalb der vereinbarten Frist nachgereicht werden. Frag bei der Kontoeröffnung ausdrücklich nach dieser Frist und trage sie in deinen Kalender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bewegen: Schecks, ACH, Zelle und Venmo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Scheck (</w:t>
      </w:r>
      <w:r>
        <w:rPr>
          <w:rFonts w:eastAsia="Cambria" w:cs="Cambria"/>
          <w:b w:val="false"/>
          <w:bCs w:val="false"/>
          <w:i/>
          <w:iCs/>
          <w:sz w:val="22"/>
          <w:szCs w:val="22"/>
        </w:rPr>
        <w:t>Check</w:t>
      </w:r>
      <w:r>
        <w:rPr>
          <w:rFonts w:eastAsia="Cambria" w:cs="Cambria"/>
          <w:b w:val="false"/>
          <w:bCs w:val="false"/>
          <w:i w:val="false"/>
          <w:iCs w:val="false"/>
          <w:sz w:val="22"/>
          <w:szCs w:val="22"/>
        </w:rPr>
        <w:t>) ist in den USA lebendiger als in Deutschland: Manche Vermieter, Kautionen und private Zahlungen laufen noch damit. Er braucht Datum, Empfänger, Betrag in Ziffern und Worten sowie deine Unterschrift; die Bank-App liest ihn per Fotoscan ein (</w:t>
      </w:r>
      <w:r>
        <w:rPr>
          <w:rFonts w:eastAsia="Cambria" w:cs="Cambria"/>
          <w:b w:val="false"/>
          <w:bCs w:val="false"/>
          <w:i/>
          <w:iCs/>
          <w:sz w:val="22"/>
          <w:szCs w:val="22"/>
        </w:rPr>
        <w:t>Mobile Deposit</w:t>
      </w:r>
      <w:r>
        <w:rPr>
          <w:rFonts w:eastAsia="Cambria" w:cs="Cambria"/>
          <w:b w:val="false"/>
          <w:bCs w:val="false"/>
          <w:i w:val="false"/>
          <w:iCs w:val="false"/>
          <w:sz w:val="22"/>
          <w:szCs w:val="22"/>
        </w:rPr>
        <w:t>). Reicht das Guthaben nicht, platzt der Scheck (</w:t>
      </w:r>
      <w:r>
        <w:rPr>
          <w:rFonts w:eastAsia="Cambria" w:cs="Cambria"/>
          <w:b w:val="false"/>
          <w:bCs w:val="false"/>
          <w:i/>
          <w:iCs/>
          <w:sz w:val="22"/>
          <w:szCs w:val="22"/>
        </w:rPr>
        <w:t>Bounced Check</w:t>
      </w:r>
      <w:r>
        <w:rPr>
          <w:rFonts w:eastAsia="Cambria" w:cs="Cambria"/>
          <w:b w:val="false"/>
          <w:bCs w:val="false"/>
          <w:i w:val="false"/>
          <w:iCs w:val="false"/>
          <w:sz w:val="22"/>
          <w:szCs w:val="22"/>
        </w:rPr>
        <w:t>) — das löst Gebühren bei dir und beim Empfänger aus, kontrolliere also den Kontostand vorher.</w:t>
      </w:r>
    </w:p>
    <w:p>
      <w:pPr>
        <w:pStyle w:val="Normal"/>
        <w:keepNext w:val="false"/>
        <w:keepLines w:val="false"/>
        <w:spacing w:lineRule="exact" w:line="288" w:before="0" w:after="140"/>
        <w:jc w:val="left"/>
        <w:rPr/>
      </w:pPr>
      <w:r>
        <w:rPr>
          <w:rFonts w:eastAsia="Cambria" w:cs="Cambria"/>
          <w:b w:val="false"/>
          <w:bCs w:val="false"/>
          <w:i/>
          <w:iCs/>
          <w:sz w:val="22"/>
          <w:szCs w:val="22"/>
        </w:rPr>
        <w:t>ACH</w:t>
      </w:r>
      <w:r>
        <w:rPr>
          <w:rFonts w:eastAsia="Cambria" w:cs="Cambria"/>
          <w:b w:val="false"/>
          <w:bCs w:val="false"/>
          <w:i w:val="false"/>
          <w:iCs w:val="false"/>
          <w:sz w:val="22"/>
          <w:szCs w:val="22"/>
        </w:rPr>
        <w:t xml:space="preserve"> (</w:t>
      </w:r>
      <w:r>
        <w:rPr>
          <w:rFonts w:eastAsia="Cambria" w:cs="Cambria"/>
          <w:b w:val="false"/>
          <w:bCs w:val="false"/>
          <w:i/>
          <w:iCs/>
          <w:sz w:val="22"/>
          <w:szCs w:val="22"/>
        </w:rPr>
        <w:t>Automated Clearing House</w:t>
      </w:r>
      <w:r>
        <w:rPr>
          <w:rFonts w:eastAsia="Cambria" w:cs="Cambria"/>
          <w:b w:val="false"/>
          <w:bCs w:val="false"/>
          <w:i w:val="false"/>
          <w:iCs w:val="false"/>
          <w:sz w:val="22"/>
          <w:szCs w:val="22"/>
        </w:rPr>
        <w:t>, das US-Verrechnungsnetz für Bank-zu-Bank-Zahlungen) transportiert Gehalt, Mieten und Rechnungen im Hintergrund; du gibst dafür Routing Number (neunstellige Bankkennung) und Account Number (Kontonummer) an. Eine ACH-Zahlung dauert meist ein bis drei Werktage und kostet in der Regel nichts.</w:t>
      </w:r>
    </w:p>
    <w:p>
      <w:pPr>
        <w:pStyle w:val="Normal"/>
        <w:keepNext w:val="false"/>
        <w:keepLines w:val="false"/>
        <w:spacing w:lineRule="exact" w:line="288" w:before="0" w:after="140"/>
        <w:jc w:val="left"/>
        <w:rPr/>
      </w:pPr>
      <w:r>
        <w:rPr>
          <w:rFonts w:eastAsia="Cambria" w:cs="Cambria"/>
          <w:b w:val="false"/>
          <w:bCs w:val="false"/>
          <w:i/>
          <w:iCs/>
          <w:sz w:val="22"/>
          <w:szCs w:val="22"/>
        </w:rPr>
        <w:t>Zelle</w:t>
      </w:r>
      <w:r>
        <w:rPr>
          <w:rFonts w:eastAsia="Cambria" w:cs="Cambria"/>
          <w:b w:val="false"/>
          <w:bCs w:val="false"/>
          <w:i w:val="false"/>
          <w:iCs w:val="false"/>
          <w:sz w:val="22"/>
          <w:szCs w:val="22"/>
        </w:rPr>
        <w:t xml:space="preserv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w:t>
      </w:r>
      <w:r>
        <w:rPr>
          <w:rFonts w:eastAsia="Cambria" w:cs="Cambria"/>
          <w:b w:val="false"/>
          <w:bCs w:val="false"/>
          <w:i/>
          <w:iCs/>
          <w:sz w:val="22"/>
          <w:szCs w:val="22"/>
        </w:rPr>
        <w:t>Venmo</w:t>
      </w:r>
      <w:r>
        <w:rPr>
          <w:rFonts w:eastAsia="Cambria" w:cs="Cambria"/>
          <w:b w:val="false"/>
          <w:bCs w:val="false"/>
          <w:i w:val="false"/>
          <w:iCs w:val="false"/>
          <w:sz w:val="22"/>
          <w:szCs w:val="22"/>
        </w:rPr>
        <w:t xml:space="preserve"> (gehört zu PayPal) funktioniert ähnlich, ist aber eine eigene App mit Guthabenfunktion und einem standardmäßig sichtbaren sozialen Feed der Transaktionen; Zahlungen an dein Bankkonto sind kostenlos in ein bis drei Werktagen oder gegen eine kleine Gebühr sofort — stelle die Sichtbarkeit in den Einstellungen auf privat. Für wiederkehrende Rechnungen wie Strom, Internet oder Versicherung bieten praktisch alle Banken zusätzlich Online-Rechnungsversand (</w:t>
      </w:r>
      <w:r>
        <w:rPr>
          <w:rFonts w:eastAsia="Cambria" w:cs="Cambria"/>
          <w:b w:val="false"/>
          <w:bCs w:val="false"/>
          <w:i/>
          <w:iCs/>
          <w:sz w:val="22"/>
          <w:szCs w:val="22"/>
        </w:rPr>
        <w:t>Bill Pay</w:t>
      </w:r>
      <w:r>
        <w:rPr>
          <w:rFonts w:eastAsia="Cambria" w:cs="Cambria"/>
          <w:b w:val="false"/>
          <w:bCs w:val="false"/>
          <w:i w:val="false"/>
          <w:iCs w:val="false"/>
          <w:sz w:val="22"/>
          <w:szCs w:val="22"/>
        </w:rPr>
        <w:t>) direkt in der App: Du hinterlegst den Empfänger einmal, danach überweist die Bank automatisch oder verschickt sogar selbst einen Scheck an Empfänger ohne elektronischen Zugang.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aus Deutschland überweisen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klassische Auslandsüberweisung über </w:t>
      </w:r>
      <w:r>
        <w:rPr>
          <w:rFonts w:eastAsia="Cambria" w:cs="Cambria"/>
          <w:b w:val="false"/>
          <w:bCs w:val="false"/>
          <w:i/>
          <w:iCs/>
          <w:sz w:val="22"/>
          <w:szCs w:val="22"/>
        </w:rPr>
        <w:t>SWIFT</w:t>
      </w:r>
      <w:r>
        <w:rPr>
          <w:rFonts w:eastAsia="Cambria" w:cs="Cambria"/>
          <w:b w:val="false"/>
          <w:bCs w:val="false"/>
          <w:i w:val="false"/>
          <w:iCs w:val="false"/>
          <w:sz w:val="22"/>
          <w:szCs w:val="22"/>
        </w:rP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rFonts w:eastAsia="Cambria" w:cs="Cambria"/>
          <w:b w:val="false"/>
          <w:bCs w:val="false"/>
          <w:i/>
          <w:iCs/>
          <w:sz w:val="22"/>
          <w:szCs w:val="22"/>
        </w:rPr>
        <w:t>Mid-Market Rate</w:t>
      </w:r>
      <w:r>
        <w:rPr>
          <w:rFonts w:eastAsia="Cambria" w:cs="Cambria"/>
          <w:b w:val="false"/>
          <w:bCs w:val="false"/>
          <w:i w:val="false"/>
          <w:iCs w:val="false"/>
          <w:sz w:val="22"/>
          <w:szCs w:val="22"/>
        </w:rPr>
        <w:t>) und weisen die Gebühr offen aus; bei derselben Summe liegen die Gesamtkosten oft nur bei wenigen Dollar, ein großer Teil binnen Minuten da. Bei sehr großen Summen, etwa einer Immobilien-Anzahlung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kann sich das Bild verschieben – vergleiche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im Blick behalten. Zur Orientierung: 1 € entsprach im Herbst 2026 etwa 1,1–1,2 $ (bitte tagesaktuell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Wähle, solange du noch deutsche Karten nutzt, eine Kreditkarte ohne Auslandseinsatzentgelt (</w:t>
            </w:r>
            <w:r>
              <w:rPr>
                <w:rFonts w:eastAsia="Cambria" w:cs="Cambria"/>
                <w:b w:val="false"/>
                <w:bCs w:val="false"/>
                <w:i/>
                <w:iCs/>
                <w:sz w:val="20"/>
                <w:szCs w:val="20"/>
              </w:rPr>
              <w:t>Foreign Transaction Fee</w:t>
            </w:r>
            <w:r>
              <w:rPr>
                <w:rFonts w:eastAsia="Cambria" w:cs="Cambria"/>
                <w:b w:val="false"/>
                <w:bCs w:val="false"/>
                <w:i w:val="false"/>
                <w:iCs w:val="false"/>
                <w:sz w:val="20"/>
                <w:szCs w:val="20"/>
              </w:rPr>
              <w:t>). In der Übergangszeit mit doppeltem Haushalt spart das bei jeder Zahlung in Dollar spürbar Geld.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FICO-Score und Schufa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FICO-Score</w:t>
      </w:r>
      <w:r>
        <w:rPr>
          <w:rFonts w:eastAsia="Cambria" w:cs="Cambria"/>
          <w:b w:val="false"/>
          <w:bCs w:val="false"/>
          <w:i w:val="false"/>
          <w:iCs w:val="false"/>
          <w:sz w:val="22"/>
          <w:szCs w:val="22"/>
        </w:rPr>
        <w:t xml:space="preserv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und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tbl>
      <w:tblPr>
        <w:tblW w:w="6480" w:type="dxa"/>
        <w:jc w:val="left"/>
        <w:tblInd w:w="0" w:type="dxa"/>
        <w:tblLayout w:type="fixed"/>
        <w:tblCellMar>
          <w:top w:w="50" w:type="dxa"/>
          <w:left w:w="80" w:type="dxa"/>
          <w:bottom w:w="50" w:type="dxa"/>
          <w:right w:w="80" w:type="dxa"/>
        </w:tblCellMar>
      </w:tblPr>
      <w:tblGrid>
        <w:gridCol w:w="1509"/>
        <w:gridCol w:w="2377"/>
        <w:gridCol w:w="2594"/>
      </w:tblGrid>
      <w:tr>
        <w:trPr>
          <w:tblHeader w:val="true"/>
          <w:cantSplit w:val="true"/>
        </w:trPr>
        <w:tc>
          <w:tcPr>
            <w:tcW w:w="1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FICO-Score (USA)</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300–850 Punkte</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große Bureaus (Equifax, Experian, TransUnion), oft mit leicht abweichenden Werten</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Auskunft</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Art. 15 DSGVO</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je Bureau über annualcreditreport.com</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in die USA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automatischer Import deiner Schufa-Historie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jeden Score, unabhängig von deiner Bonität in Deutschland</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den USA ist ein eigenes, vom Schufa-System vollständig getrenntes Verfahren. Niemand kann deine deutsche Bonität „mitnehmen“ – du baust sie neu auf.</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Es gebe längst eine Abkürzung – eine App, die die deutsche Schufa-Historie einfach in einen FICO-Score übersetzt. Ein Anbieter namens Nova Credit wirbt tatsächlich mit einem </w:t>
      </w:r>
      <w:r>
        <w:rPr>
          <w:rFonts w:eastAsia="Cambria" w:cs="Cambria"/>
          <w:b w:val="false"/>
          <w:bCs w:val="false"/>
          <w:i/>
          <w:iCs/>
          <w:sz w:val="22"/>
          <w:szCs w:val="22"/>
        </w:rPr>
        <w:t>Credit Passport</w:t>
      </w:r>
      <w:r>
        <w:rPr>
          <w:rFonts w:eastAsia="Cambria" w:cs="Cambria"/>
          <w:b w:val="false"/>
          <w:bCs w:val="false"/>
          <w:i w:val="false"/>
          <w:iCs w:val="false"/>
          <w:sz w:val="22"/>
          <w:szCs w:val="22"/>
        </w:rPr>
        <w:t xml:space="preserve">,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w:t>
      </w:r>
      <w:r>
        <w:rPr>
          <w:rFonts w:eastAsia="Cambria" w:cs="Cambria"/>
          <w:b w:val="false"/>
          <w:bCs w:val="false"/>
          <w:i/>
          <w:iCs/>
          <w:sz w:val="22"/>
          <w:szCs w:val="22"/>
        </w:rPr>
        <w:t>Credit-Builder Loan</w:t>
      </w:r>
      <w:r>
        <w:rPr>
          <w:rFonts w:eastAsia="Cambria" w:cs="Cambria"/>
          <w:b w:val="false"/>
          <w:bCs w:val="false"/>
          <w:i w:val="false"/>
          <w:iCs w:val="false"/>
          <w:sz w:val="22"/>
          <w:szCs w:val="22"/>
        </w:rPr>
        <w:t xml:space="preserve"> an: Du „leihst“ dir einen kleinen Betrag, der zunächst auf einem gesperrten Konto liegt und in festen Raten zurückgezahlt wird; erst danach wird die Summe freigegeben – auch diese pünktlichen Raten meldet die Bank an die drei Bureaus.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gesicherte Kreditkarte: der Einstieg in die US-Bonität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zuverlässigste Weg zum ersten Score ist eine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meist 200 bis 500 $ (bei manchen Anbietern bis zu 3.000 $), die zugleich 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für den Score ist die Auslastung (</w:t>
      </w:r>
      <w:r>
        <w:rPr>
          <w:rFonts w:eastAsia="Cambria" w:cs="Cambria"/>
          <w:b w:val="false"/>
          <w:bCs w:val="false"/>
          <w:i/>
          <w:iCs/>
          <w:sz w:val="22"/>
          <w:szCs w:val="22"/>
        </w:rPr>
        <w:t>Credit Utilization</w:t>
      </w:r>
      <w:r>
        <w:rPr>
          <w:rFonts w:eastAsia="Cambria" w:cs="Cambria"/>
          <w:b w:val="false"/>
          <w:bCs w:val="false"/>
          <w:i w:val="false"/>
          <w:iCs w:val="false"/>
          <w:sz w:val="22"/>
          <w:szCs w:val="22"/>
        </w:rPr>
        <w:t>): Halte den genutzten Betrag dauerhaft unter 30 % des Limits, im Idealfall unter 10 %. Eine zweite Möglichkeit, schneller Historie aufzubauen, ist der Status als autorisierter Nutzer (</w:t>
      </w:r>
      <w:r>
        <w:rPr>
          <w:rFonts w:eastAsia="Cambria" w:cs="Cambria"/>
          <w:b w:val="false"/>
          <w:bCs w:val="false"/>
          <w:i/>
          <w:iCs/>
          <w:sz w:val="22"/>
          <w:szCs w:val="22"/>
        </w:rPr>
        <w:t>Authorized User</w:t>
      </w:r>
      <w:r>
        <w:rPr>
          <w:rFonts w:eastAsia="Cambria" w:cs="Cambria"/>
          <w:b w:val="false"/>
          <w:bCs w:val="false"/>
          <w:i w:val="false"/>
          <w:iCs w:val="false"/>
          <w:sz w:val="22"/>
          <w:szCs w:val="22"/>
        </w:rPr>
        <w:t>) auf der Karte eines Partners oder einer vertrauten Person mit langer, sauberer Zahlungshistorie – ob und wie stark das den eigenen Score stützt, hängt vom Kartenanbieter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zieht mit H-1B nach Seattle und hat trotz makelloser Schufa keinen US-Score. Bei ihrer Gehaltsbank eröffnet Sabine ein Konto und beantragt dort eine gesicherte Kreditkarte mit 500 $ Kaution, dazu ein separates Sparkonto für den Notgroschen. Jede Rechnung zahlt Sabine vollständig und pünktlich, die Auslastung hält sie unter 10 %, und in den ersten sechs Monaten beantragt sie keine weitere Karte. Nach sieben Monaten meldet ihr die Bank einen Score von 682; die Push-Nachricht mit der Zahl muss sie erst zweimal lesen, bevor sie begreift, dass das gut ist. Die Bank bietet die Umstellung auf eine reguläre Karte mit Meilen-Programm an – ohne Kaution, mit höherem Limit.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 viele Kartenanträge in kurzer Zeit lösen jeweils eine harte Anfrage (</w:t>
            </w:r>
            <w:r>
              <w:rPr>
                <w:rFonts w:eastAsia="Cambria" w:cs="Cambria"/>
                <w:b w:val="false"/>
                <w:bCs w:val="false"/>
                <w:i/>
                <w:iCs/>
                <w:sz w:val="20"/>
                <w:szCs w:val="20"/>
              </w:rPr>
              <w:t>Hard Inquiry</w:t>
            </w:r>
            <w:r>
              <w:rPr>
                <w:rFonts w:eastAsia="Cambria" w:cs="Cambria"/>
                <w:b w:val="false"/>
                <w:bCs w:val="false"/>
                <w:i w:val="false"/>
                <w:iCs w:val="false"/>
                <w:sz w:val="20"/>
                <w:szCs w:val="20"/>
              </w:rPr>
              <w:t>) aus und senken den Score kurzfristig. Kündige außerdem deine erste Karte nach dem Aufbau nicht vorschnell: Die Karte verlängert die Länge deiner Kredithistorie, die dauerhaft in den Score einfließt.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Kreditkartenkultur: hohe Zinsen, eine klare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US-Kreditkarten sind fester Alltag – für Miete, Lebensmittel, Cashback und Meilenprogramme, die es in Deutschland kaum gibt. Der Preis dafür ist hoch: Der durchschnittliche effektive Jahreszins (</w:t>
      </w:r>
      <w:r>
        <w:rPr>
          <w:rFonts w:eastAsia="Cambria" w:cs="Cambria"/>
          <w:b w:val="false"/>
          <w:bCs w:val="false"/>
          <w:i/>
          <w:iCs/>
          <w:sz w:val="22"/>
          <w:szCs w:val="22"/>
        </w:rPr>
        <w:t>APR</w:t>
      </w:r>
      <w:r>
        <w:rPr>
          <w:rFonts w:eastAsia="Cambria" w:cs="Cambria"/>
          <w:b w:val="false"/>
          <w:bCs w:val="false"/>
          <w:i w:val="false"/>
          <w:iCs w:val="false"/>
          <w:sz w:val="22"/>
          <w:szCs w:val="22"/>
        </w:rPr>
        <w:t xml:space="preserve">, </w:t>
      </w:r>
      <w:r>
        <w:rPr>
          <w:rFonts w:eastAsia="Cambria" w:cs="Cambria"/>
          <w:b w:val="false"/>
          <w:bCs w:val="false"/>
          <w:i/>
          <w:iCs/>
          <w:sz w:val="22"/>
          <w:szCs w:val="22"/>
        </w:rPr>
        <w:t>Annual Percentage Rate</w:t>
      </w:r>
      <w:r>
        <w:rPr>
          <w:rFonts w:eastAsia="Cambria" w:cs="Cambria"/>
          <w:b w:val="false"/>
          <w:bCs w:val="false"/>
          <w:i w:val="false"/>
          <w:iCs w:val="false"/>
          <w:sz w:val="22"/>
          <w:szCs w:val="22"/>
        </w:rPr>
        <w:t>) lag 2026 bei allen Karten bei rund 21 %, bei Karten mit tatsächlicher Restschuld bei gut 22 % und bei neuen Kartenangeboten bei knapp 24 %; gesicherte Karten liegen mit rund 26 % noch darüber. Wer nur den Mindestbetrag (</w:t>
      </w:r>
      <w:r>
        <w:rPr>
          <w:rFonts w:eastAsia="Cambria" w:cs="Cambria"/>
          <w:b w:val="false"/>
          <w:bCs w:val="false"/>
          <w:i/>
          <w:iCs/>
          <w:sz w:val="22"/>
          <w:szCs w:val="22"/>
        </w:rPr>
        <w:t>Minimum Payment</w:t>
      </w:r>
      <w:r>
        <w:rPr>
          <w:rFonts w:eastAsia="Cambria" w:cs="Cambria"/>
          <w:b w:val="false"/>
          <w:bCs w:val="false"/>
          <w:i w:val="false"/>
          <w:iCs w:val="false"/>
          <w:sz w:val="22"/>
          <w:szCs w:val="22"/>
        </w:rPr>
        <w:t>) zahlt, zahlt jahrelang fast nur Zinsen, kaum die eigentliche Schuld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einzige verlässliche Regel im US-Kreditkartensystem lautet: Zahle die Rechnung jeden Monat vollständig (</w:t>
            </w:r>
            <w:r>
              <w:rPr>
                <w:rFonts w:eastAsia="Cambria" w:cs="Cambria"/>
                <w:b w:val="false"/>
                <w:bCs w:val="false"/>
                <w:i/>
                <w:iCs/>
                <w:sz w:val="20"/>
                <w:szCs w:val="20"/>
              </w:rPr>
              <w:t>Pay in Full</w:t>
            </w:r>
            <w:r>
              <w:rPr>
                <w:rFonts w:eastAsia="Cambria" w:cs="Cambria"/>
                <w:b w:val="false"/>
                <w:bCs w:val="false"/>
                <w:i w:val="false"/>
                <w:iCs w:val="false"/>
                <w:sz w:val="20"/>
                <w:szCs w:val="20"/>
              </w:rPr>
              <w:t>). Nur dann fallen keine Zinsen an, und Cashback und Meilen sind tatsächlich ein Vorteil statt eines teuren Nebeneffekts.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Mobilfunk und Internet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Internetanbieter für die Wohnung verfahren ähnlich: Kaution statt Bonitätsprüfung ohne Kredithistorie.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 im Alltag: was du wirklich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Renters Insurance</w:t>
      </w:r>
      <w:r>
        <w:rPr>
          <w:rFonts w:eastAsia="Cambria" w:cs="Cambria"/>
          <w:b w:val="false"/>
          <w:bCs w:val="false"/>
          <w:i w:val="false"/>
          <w:iCs w:val="false"/>
          <w:sz w:val="22"/>
          <w:szCs w:val="22"/>
        </w:rPr>
        <w:t xml:space="preserve"> (Mieterversicherung, bündelt Hausrat und private Haftpflicht) kostet meist 15 bis 25 $ im Monat (180–300 $ im Jahr), je nach Bundesstaat auch 13 bis 36 $; sie ist oft Vertragsbedingung des Vermieters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Der eigene Score wirkt sich hier ebenfalls auf den Preis aus: Bei schwacher Bonität kann die Jahresprämie nach Marktanalysen von rund 150 $ auf über 450 $ steigen.</w:t>
      </w:r>
    </w:p>
    <w:p>
      <w:pPr>
        <w:pStyle w:val="ListParagraph"/>
        <w:numPr>
          <w:ilvl w:val="0"/>
          <w:numId w:val="1"/>
        </w:numPr>
        <w:spacing w:lineRule="exact" w:line="288" w:before="0" w:after="60"/>
        <w:rPr/>
      </w:pPr>
      <w:r>
        <w:rPr>
          <w:rFonts w:eastAsia="Cambria" w:cs="Cambria"/>
          <w:b/>
          <w:bCs/>
          <w:i w:val="false"/>
          <w:iCs w:val="false"/>
          <w:sz w:val="22"/>
          <w:szCs w:val="22"/>
        </w:rPr>
        <w:t>Autoversicherung</w:t>
      </w:r>
      <w:r>
        <w:rPr>
          <w:rFonts w:eastAsia="Cambria" w:cs="Cambria"/>
          <w:b w:val="false"/>
          <w:bCs w:val="false"/>
          <w:i w:val="false"/>
          <w:iCs w:val="false"/>
          <w:sz w:val="22"/>
          <w:szCs w:val="22"/>
        </w:rPr>
        <w:t xml:space="preserve"> kostete 2026 im Schnitt zwischen 2.241 $ und 2.922 $ im Jahr für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die deutsche Schadenfreiheitsklasse zählt meist nicht, und schwache Bonität kann die Prämie in vielen Staaten deutlich erhöhen –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Umbrella Policy</w:t>
      </w:r>
      <w:r>
        <w:rPr>
          <w:rFonts w:eastAsia="Cambria" w:cs="Cambria"/>
          <w:b w:val="false"/>
          <w:bCs w:val="false"/>
          <w:i w:val="false"/>
          <w:iCs w:val="false"/>
          <w:sz w:val="22"/>
          <w:szCs w:val="22"/>
        </w:rPr>
        <w:t xml:space="preserve"> (Zusatzhaftpflicht über die Grenzen von Wohnungs- und Autoversicherung hinaus) kostet für 1 Million $ Deckung meist 150 bis 400 $ im Jahr, jede weitere Million rund 75 $ zusätzlich. Die Police lohnt sich vor allem, sobald du Vermögen, ein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ein erhöhtes Haftungsrisiko hast, etwa durch Hund, Pool oder häufige Gäste.</w:t>
      </w:r>
    </w:p>
    <w:p>
      <w:pPr>
        <w:pStyle w:val="ListParagraph"/>
        <w:numPr>
          <w:ilvl w:val="0"/>
          <w:numId w:val="1"/>
        </w:numPr>
        <w:spacing w:lineRule="exact" w:line="288" w:before="0" w:after="60"/>
        <w:rPr/>
      </w:pPr>
      <w:r>
        <w:rPr>
          <w:rFonts w:eastAsia="Cambria" w:cs="Cambria"/>
          <w:b/>
          <w:bCs/>
          <w:i w:val="false"/>
          <w:iCs w:val="false"/>
          <w:sz w:val="22"/>
          <w:szCs w:val="22"/>
        </w:rPr>
        <w:t>Term Life Insurance</w:t>
      </w:r>
      <w:r>
        <w:rPr>
          <w:rFonts w:eastAsia="Cambria" w:cs="Cambria"/>
          <w:b w:val="false"/>
          <w:bCs w:val="false"/>
          <w:i w:val="false"/>
          <w:iCs w:val="false"/>
          <w:sz w:val="22"/>
          <w:szCs w:val="22"/>
        </w:rPr>
        <w:t xml:space="preserve"> (Risikolebensversicherung, zeitlich befristet, im Gegensatz zur meist erheblich teureren </w:t>
      </w:r>
      <w:r>
        <w:rPr>
          <w:rFonts w:eastAsia="Cambria" w:cs="Cambria"/>
          <w:b w:val="false"/>
          <w:bCs w:val="false"/>
          <w:i/>
          <w:iCs/>
          <w:sz w:val="22"/>
          <w:szCs w:val="22"/>
        </w:rPr>
        <w:t>Whole Life Insurance</w:t>
      </w:r>
      <w:r>
        <w:rPr>
          <w:rFonts w:eastAsia="Cambria" w:cs="Cambria"/>
          <w:b w:val="false"/>
          <w:bCs w:val="false"/>
          <w:i w:val="false"/>
          <w:iCs w:val="false"/>
          <w:sz w:val="22"/>
          <w:szCs w:val="22"/>
        </w:rP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Disability Insurance</w:t>
      </w:r>
      <w:r>
        <w:rPr>
          <w:rFonts w:eastAsia="Cambria" w:cs="Cambria"/>
          <w:b w:val="false"/>
          <w:bCs w:val="false"/>
          <w:i w:val="false"/>
          <w:iCs w:val="false"/>
          <w:sz w:val="22"/>
          <w:szCs w:val="22"/>
        </w:rPr>
        <w:t xml:space="preserv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in der Regel erst nach ausreichend eingezahlten Quartalen entsteht – frisch Zugewanderte haben diese Absicherung meist noch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Abschluss jeder Zusatzpolice, was deine Arbeitgeberversicherung bereits abdeckt (Krankenversicherung: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Disability oft im Leistungspaket). Doppelter Schutz kostet doppelt, ohne doppelten Nutzen zu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Identitätsdiebstahl: vorbeugen und reagieren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so viel über SSN, Kreditkarte und Bankkonto läuft, ist Identitätsdiebstahl in den USA ein reales Risiko: Die Verbraucherschutzbehörde FTC zählte 2025 rund drei Millionen Betrugsmeldungen mit gemeldeten Schäden von 15,9 Milliarden $. Ein </w:t>
      </w:r>
      <w:r>
        <w:rPr>
          <w:rFonts w:eastAsia="Cambria" w:cs="Cambria"/>
          <w:b w:val="false"/>
          <w:bCs w:val="false"/>
          <w:i/>
          <w:iCs/>
          <w:sz w:val="22"/>
          <w:szCs w:val="22"/>
        </w:rPr>
        <w:t>Credit Freeze</w:t>
      </w:r>
      <w:r>
        <w:rPr>
          <w:rFonts w:eastAsia="Cambria" w:cs="Cambria"/>
          <w:b w:val="false"/>
          <w:bCs w:val="false"/>
          <w:i w:val="false"/>
          <w:iCs w:val="false"/>
          <w:sz w:val="22"/>
          <w:szCs w:val="22"/>
        </w:rPr>
        <w:t xml:space="preserve"> (Sperre der Kreditauskunft) ist bei allen drei Bureaus kostenlos, bleibt bis zur Aufhebung bestehen und beeinflusst deinen Score nicht; beantrage ihn bei Equifax, Experian und TransUnion einzeln und hebe ihn vor einer eigenen Kreditanfrage vorübergehend auf.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ist schwächer, aber schneller eingerichtet: ein Jahr im Basis-, sieben Jahre im erweiterten Fall. Beim IRS schützt eine </w:t>
      </w:r>
      <w:r>
        <w:rPr>
          <w:rFonts w:eastAsia="Cambria" w:cs="Cambria"/>
          <w:b w:val="false"/>
          <w:bCs w:val="false"/>
          <w:i/>
          <w:iCs/>
          <w:sz w:val="22"/>
          <w:szCs w:val="22"/>
        </w:rPr>
        <w:t>Identity Protection PIN</w:t>
      </w:r>
      <w:r>
        <w:rPr>
          <w:rFonts w:eastAsia="Cambria" w:cs="Cambria"/>
          <w:b w:val="false"/>
          <w:bCs w:val="false"/>
          <w:i w:val="false"/>
          <w:iCs w:val="false"/>
          <w:sz w:val="22"/>
          <w:szCs w:val="22"/>
        </w:rPr>
        <w:t xml:space="preserve"> (IP-PIN), über das IRS Online Account beantragbar für jede Person mit SSN oder ITIN, vor betrügerischen Steuererklärungen auf deinen Namen.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Zelle- oder Drahtüberweisung (</w:t>
            </w:r>
            <w:r>
              <w:rPr>
                <w:rFonts w:eastAsia="Cambria" w:cs="Cambria"/>
                <w:b w:val="false"/>
                <w:bCs w:val="false"/>
                <w:i/>
                <w:iCs/>
                <w:sz w:val="20"/>
                <w:szCs w:val="20"/>
              </w:rPr>
              <w:t>Wire Transfer</w:t>
            </w:r>
            <w:r>
              <w:rPr>
                <w:rFonts w:eastAsia="Cambria" w:cs="Cambria"/>
                <w:b w:val="false"/>
                <w:bCs w:val="false"/>
                <w:i w:val="false"/>
                <w:iCs w:val="false"/>
                <w:sz w:val="20"/>
                <w:szCs w:val="20"/>
              </w:rPr>
              <w:t>) lässt sich fast nie zurückholen, eine Kreditkartenzahlung dagegen meist per Rückbuchung (</w:t>
            </w:r>
            <w:r>
              <w:rPr>
                <w:rFonts w:eastAsia="Cambria" w:cs="Cambria"/>
                <w:b w:val="false"/>
                <w:bCs w:val="false"/>
                <w:i/>
                <w:iCs/>
                <w:sz w:val="20"/>
                <w:szCs w:val="20"/>
              </w:rPr>
              <w:t>Chargeback</w:t>
            </w:r>
            <w:r>
              <w:rPr>
                <w:rFonts w:eastAsia="Cambria" w:cs="Cambria"/>
                <w:b w:val="false"/>
                <w:bCs w:val="false"/>
                <w:i w:val="false"/>
                <w:iCs w:val="false"/>
                <w:sz w:val="20"/>
                <w:szCs w:val="20"/>
              </w:rPr>
              <w:t>). Zahle deshalb größere oder unbekannte Beträge nach Möglichkeit mit Kreditkarte, nicht per Zelle oder Überweisung.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etwas schiefgelaufen, ist IdentityTheft.gov der richtige erste Schritt: Die Seite erstellt einen individuellen Wiederherstellungsplan. Betrugsversuche meldest du zusätzlich auf ReportFraud.ftc.gov. Bewahre deine SSN-Karte deshalb möglichst zu 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Notgroschen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bis eine neue Krankenversicherung greift, können Wochen vergehen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Ein hochverzinstes Sparkonto (</w:t>
      </w:r>
      <w:r>
        <w:rPr>
          <w:rFonts w:eastAsia="Cambria" w:cs="Cambria"/>
          <w:b w:val="false"/>
          <w:bCs w:val="false"/>
          <w:i/>
          <w:iCs/>
          <w:sz w:val="22"/>
          <w:szCs w:val="22"/>
        </w:rPr>
        <w:t>High-Yield Savings Account</w:t>
      </w:r>
      <w:r>
        <w:rPr>
          <w:rFonts w:eastAsia="Cambria" w:cs="Cambria"/>
          <w:b w:val="false"/>
          <w:bCs w:val="false"/>
          <w:i w:val="false"/>
          <w:iCs w:val="false"/>
          <w:sz w:val="22"/>
          <w:szCs w:val="22"/>
        </w:rPr>
        <w:t>), getrennt vom Checking Account, verhindert, dass das Polster im Alltag verschwindet, und wirft nebenbei Zins ab. Bei monatlichen Fixkosten von beispielsweise 3.500 $ bedeutet das ein Polster von 10.500 bis 21.000 $ – eine Summe, die sich über das erste bis zweite Jahr schrittweise aufbauen lässt, nicht auf einen Schlag.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 und erste Karte lassen sich oft binnen weniger Tage eröffnen, auch ohne SSN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 startet trotz makelloser Schufa bei null</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Banking, Zelle, Venmo und Fintechs wie Wise sind ausgereift und meist kostenlos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Score hohe Zinsen oder Ablehnungen bei Handy, Auto und teils Miete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bieten Cashback und Meilen, die es in Deutschland selten gibt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Kreditkartenzinsen von 20 % oder mehr bestrafen jede offene Restschuld hart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 wie Umbrella lassen sich individuell zuschneiden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nichts ist gesetzlich vorgeschrieben – die Verantwortung liegt bei dir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Eröffne dein Bankkonto in den ersten Tagen nach Ankunft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(Pass, Visum, I-94, Adressnachweis dabei)</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Nachreichen von SSN oder ITIN beim Konto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Zelle und Venmo eingerichtet, Datenschutz-Einstellungen bei Venmo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von Bank-Überweisung und Fintech-Anbieter für Zahlungen aus Deutschland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beantragt, Kaution hinterlegt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Daueranweisung zur vollständigen monatlichen Zahlung der Kreditkartenrechnung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Nova-Credit-Unterstützung für Deutschland direkt beim Kartenanbieter geprüft, nicht vorausgesetzt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Prepaid- oder Postpaid-Tarif für Handy und Internet gewählt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abgeschlossen, falls vom Vermieter verlangt oder sinnvoll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Umbrella-, Term-Life- und Disability-Versicherung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Credit Freeze bei Equifax, Experian und TransUnion eingerichtet oder bewusst offengelassen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Notgroschen auf separatem Sparkonto angelegt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33">
        <w:r>
          <w:rPr>
            <w:rStyle w:val="ListLabel113"/>
            <w:rFonts w:eastAsia="Cambria" w:cs="Cambria"/>
            <w:b w:val="false"/>
            <w:bCs w:val="false"/>
            <w:i w:val="false"/>
            <w:iCs w:val="false"/>
            <w:color w:val="0563C1"/>
            <w:sz w:val="22"/>
            <w:szCs w:val="22"/>
            <w:u w:val="single"/>
          </w:rPr>
          <w:t>myfico.com</w:t>
        </w:r>
      </w:hyperlink>
      <w:r>
        <w:rPr>
          <w:rFonts w:eastAsia="Cambria" w:cs="Cambria"/>
          <w:b w:val="false"/>
          <w:bCs w:val="false"/>
          <w:i w:val="false"/>
          <w:iCs w:val="false"/>
          <w:sz w:val="22"/>
          <w:szCs w:val="22"/>
        </w:rPr>
        <w:t xml:space="preserve"> – Aufbau und Faktoren des FICO-Scores</w:t>
      </w:r>
    </w:p>
    <w:p>
      <w:pPr>
        <w:pStyle w:val="ListParagraph"/>
        <w:numPr>
          <w:ilvl w:val="0"/>
          <w:numId w:val="1"/>
        </w:numPr>
        <w:spacing w:lineRule="exact" w:line="288" w:before="0" w:after="60"/>
        <w:rPr/>
      </w:pPr>
      <w:hyperlink r:id="rId234">
        <w:r>
          <w:rPr>
            <w:rStyle w:val="ListLabel113"/>
            <w:rFonts w:eastAsia="Cambria" w:cs="Cambria"/>
            <w:b w:val="false"/>
            <w:bCs w:val="false"/>
            <w:i w:val="false"/>
            <w:iCs w:val="false"/>
            <w:color w:val="0563C1"/>
            <w:sz w:val="22"/>
            <w:szCs w:val="22"/>
            <w:u w:val="single"/>
          </w:rPr>
          <w:t>annualcreditreport.com</w:t>
        </w:r>
      </w:hyperlink>
      <w:r>
        <w:rPr>
          <w:rFonts w:eastAsia="Cambria" w:cs="Cambria"/>
          <w:b w:val="false"/>
          <w:bCs w:val="false"/>
          <w:i w:val="false"/>
          <w:iCs w:val="false"/>
          <w:sz w:val="22"/>
          <w:szCs w:val="22"/>
        </w:rPr>
        <w:t xml:space="preserve"> – kostenlose Kreditauskunft aller drei Bureaus</w:t>
      </w:r>
    </w:p>
    <w:p>
      <w:pPr>
        <w:pStyle w:val="ListParagraph"/>
        <w:numPr>
          <w:ilvl w:val="0"/>
          <w:numId w:val="1"/>
        </w:numPr>
        <w:spacing w:lineRule="exact" w:line="288" w:before="0" w:after="60"/>
        <w:rPr/>
      </w:pPr>
      <w:hyperlink r:id="rId235">
        <w:r>
          <w:rPr>
            <w:rStyle w:val="ListLabel113"/>
            <w:rFonts w:eastAsia="Cambria" w:cs="Cambria"/>
            <w:b w:val="false"/>
            <w:bCs w:val="false"/>
            <w:i w:val="false"/>
            <w:iCs w:val="false"/>
            <w:color w:val="0563C1"/>
            <w:sz w:val="22"/>
            <w:szCs w:val="22"/>
            <w:u w:val="single"/>
          </w:rPr>
          <w:t>federalreserve.gov/releases/g19</w:t>
        </w:r>
      </w:hyperlink>
      <w:r>
        <w:rPr>
          <w:rFonts w:eastAsia="Cambria" w:cs="Cambria"/>
          <w:b w:val="false"/>
          <w:bCs w:val="false"/>
          <w:i w:val="false"/>
          <w:iCs w:val="false"/>
          <w:sz w:val="22"/>
          <w:szCs w:val="22"/>
        </w:rPr>
        <w:t xml:space="preserve"> – offizielle Statistik zu Kreditkartenzinsen</w:t>
      </w:r>
    </w:p>
    <w:p>
      <w:pPr>
        <w:pStyle w:val="ListParagraph"/>
        <w:numPr>
          <w:ilvl w:val="0"/>
          <w:numId w:val="1"/>
        </w:numPr>
        <w:spacing w:lineRule="exact" w:line="288" w:before="0" w:after="60"/>
        <w:rPr/>
      </w:pPr>
      <w:hyperlink r:id="rId236">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 xml:space="preserve"> – Credit Freeze und Fraud Alert</w:t>
      </w:r>
    </w:p>
    <w:p>
      <w:pPr>
        <w:pStyle w:val="ListParagraph"/>
        <w:numPr>
          <w:ilvl w:val="0"/>
          <w:numId w:val="1"/>
        </w:numPr>
        <w:spacing w:lineRule="exact" w:line="288" w:before="0" w:after="60"/>
        <w:rPr/>
      </w:pPr>
      <w:hyperlink r:id="rId237">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 xml:space="preserve"> – Hilfe nach Identitätsdiebstahl</w:t>
      </w:r>
    </w:p>
    <w:p>
      <w:pPr>
        <w:pStyle w:val="ListParagraph"/>
        <w:numPr>
          <w:ilvl w:val="0"/>
          <w:numId w:val="1"/>
        </w:numPr>
        <w:spacing w:lineRule="exact" w:line="288" w:before="0" w:after="60"/>
        <w:rPr/>
      </w:pPr>
      <w:hyperlink r:id="rId238">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 xml:space="preserve"> – IP-PIN beantragen</w:t>
      </w:r>
    </w:p>
    <w:p>
      <w:pPr>
        <w:pStyle w:val="ListParagraph"/>
        <w:numPr>
          <w:ilvl w:val="0"/>
          <w:numId w:val="1"/>
        </w:numPr>
        <w:spacing w:lineRule="exact" w:line="288" w:before="0" w:after="60"/>
        <w:rPr/>
      </w:pPr>
      <w:hyperlink r:id="rId239">
        <w:r>
          <w:rPr>
            <w:rStyle w:val="ListLabel113"/>
            <w:rFonts w:eastAsia="Cambria" w:cs="Cambria"/>
            <w:b w:val="false"/>
            <w:bCs w:val="false"/>
            <w:i w:val="false"/>
            <w:iCs w:val="false"/>
            <w:color w:val="0563C1"/>
            <w:sz w:val="22"/>
            <w:szCs w:val="22"/>
            <w:u w:val="single"/>
          </w:rPr>
          <w:t>novacredit.com/credit-passport</w:t>
        </w:r>
      </w:hyperlink>
      <w:r>
        <w:rPr>
          <w:rFonts w:eastAsia="Cambria" w:cs="Cambria"/>
          <w:b w:val="false"/>
          <w:bCs w:val="false"/>
          <w:i w:val="false"/>
          <w:iCs w:val="false"/>
          <w:sz w:val="22"/>
          <w:szCs w:val="22"/>
        </w:rPr>
        <w:t xml:space="preserve"> – Nova Credit / Credit Passport</w:t>
      </w:r>
    </w:p>
    <w:p>
      <w:pPr>
        <w:pStyle w:val="ListParagraph"/>
        <w:numPr>
          <w:ilvl w:val="0"/>
          <w:numId w:val="1"/>
        </w:numPr>
        <w:spacing w:lineRule="exact" w:line="288" w:before="0" w:after="60"/>
        <w:rPr/>
      </w:pPr>
      <w:hyperlink r:id="rId240">
        <w:r>
          <w:rPr>
            <w:rStyle w:val="ListLabel113"/>
            <w:rFonts w:eastAsia="Cambria" w:cs="Cambria"/>
            <w:b w:val="false"/>
            <w:bCs w:val="false"/>
            <w:i w:val="false"/>
            <w:iCs w:val="false"/>
            <w:color w:val="0563C1"/>
            <w:sz w:val="22"/>
            <w:szCs w:val="22"/>
            <w:u w:val="single"/>
          </w:rPr>
          <w:t>wise.com</w:t>
        </w:r>
      </w:hyperlink>
      <w:r>
        <w:rPr>
          <w:rFonts w:eastAsia="Cambria" w:cs="Cambria"/>
          <w:b w:val="false"/>
          <w:bCs w:val="false"/>
          <w:i w:val="false"/>
          <w:iCs w:val="false"/>
          <w:sz w:val="22"/>
          <w:szCs w:val="22"/>
        </w:rPr>
        <w:t xml:space="preserve"> – Beispiel für einen Fintech-Anbieter für Auslandsüberweisungen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Kreditkartenzinsen, Versicherungsprämien, Wechselkurse und die Länderliste von Anbietern wie Nova Credit. Prüfe vor jeder Entscheidung die aktuellen Werte bei deiner Bank, deinem Versicherer oder den genannten Quellen.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5" w:name="__RefHeading___Toc56488_3457424410"/>
      <w:bookmarkStart w:id="66" w:name="k26"/>
      <w:bookmarkEnd w:id="65"/>
      <w:r>
        <w:rPr>
          <w:rFonts w:eastAsia="Amazon Ember" w:cs="Amazon Ember" w:ascii="Amazon Ember" w:hAnsi="Amazon Ember"/>
          <w:b/>
          <w:bCs/>
          <w:color w:val="0000FF"/>
          <w:sz w:val="36"/>
          <w:szCs w:val="36"/>
        </w:rPr>
        <w:t>Kapitel 26: Das US-Gesundheitssystem für Neuankömmlinge</w:t>
      </w:r>
      <w:bookmarkEnd w:id="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Samstagabend, du bist seit drei Wochen in den USA, und dein Kind hat hohes Fieber. Einen amerikanischen Kinderarzt hast du noch nicht, und die Krankenversicherung deines Arbeitgebers beginnt erst in sieben Wochen. Das ist kein Pech, sondern eine Folge des Systems: In den USA hängt die Krankenversicherung am Job, und zwischen Landung und Versicherungsbeginn liegt oft eine Lücke. Dieses Kapitel erklärt, wie das System funktioniert, was es kostet und wie du die ersten Monate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Beschäftigter bist du meist über den Arbeitgeber versichert (2025: 53,5 % der Bevölkerung) — keine Einheitskasse, sondern Pläne privater Versicherer, die du jedes Jahr neu wählst.</w:t>
            </w:r>
          </w:p>
          <w:p>
            <w:pPr>
              <w:pStyle w:val="ListParagraph"/>
              <w:numPr>
                <w:ilvl w:val="0"/>
                <w:numId w:val="1"/>
              </w:numPr>
              <w:spacing w:lineRule="exact" w:line="264" w:before="0" w:after="50"/>
              <w:rPr/>
            </w:pPr>
            <w:r>
              <w:rPr>
                <w:rFonts w:eastAsia="Cambria" w:cs="Cambria"/>
                <w:b w:val="false"/>
                <w:bCs w:val="false"/>
                <w:i w:val="false"/>
                <w:iCs w:val="false"/>
                <w:sz w:val="20"/>
                <w:szCs w:val="20"/>
              </w:rPr>
              <w:t>Du zahlst dreifach: Beitrag (</w:t>
            </w:r>
            <w:r>
              <w:rPr>
                <w:rFonts w:eastAsia="Cambria" w:cs="Cambria"/>
                <w:b w:val="false"/>
                <w:bCs w:val="false"/>
                <w:i/>
                <w:iCs/>
                <w:sz w:val="20"/>
                <w:szCs w:val="20"/>
              </w:rPr>
              <w:t>Premium</w:t>
            </w:r>
            <w:r>
              <w:rPr>
                <w:rFonts w:eastAsia="Cambria" w:cs="Cambria"/>
                <w:b w:val="false"/>
                <w:bCs w:val="false"/>
                <w:i w:val="false"/>
                <w:iCs w:val="false"/>
                <w:sz w:val="20"/>
                <w:szCs w:val="20"/>
              </w:rPr>
              <w:t>, im Schnitt ca. 120 $ im Monat für dich, ca. 571 $ für die Familie), Selbstbehalt (</w:t>
            </w:r>
            <w:r>
              <w:rPr>
                <w:rFonts w:eastAsia="Cambria" w:cs="Cambria"/>
                <w:b w:val="false"/>
                <w:bCs w:val="false"/>
                <w:i/>
                <w:iCs/>
                <w:sz w:val="20"/>
                <w:szCs w:val="20"/>
              </w:rPr>
              <w:t>Deductible</w:t>
            </w:r>
            <w:r>
              <w:rPr>
                <w:rFonts w:eastAsia="Cambria" w:cs="Cambria"/>
                <w:b w:val="false"/>
                <w:bCs w:val="false"/>
                <w:i w:val="false"/>
                <w:iCs w:val="false"/>
                <w:sz w:val="20"/>
                <w:szCs w:val="20"/>
              </w:rPr>
              <w:t>, im Schnitt 1.886 $) und Zuzahlungen bis zur Jahreshöchstgrenze der Eigenkosten (</w:t>
            </w:r>
            <w:r>
              <w:rPr>
                <w:rFonts w:eastAsia="Cambria" w:cs="Cambria"/>
                <w:b w:val="false"/>
                <w:bCs w:val="false"/>
                <w:i/>
                <w:iCs/>
                <w:sz w:val="20"/>
                <w:szCs w:val="20"/>
              </w:rPr>
              <w:t>Out-of-Pocket Maximum</w:t>
            </w:r>
            <w:r>
              <w:rPr>
                <w:rFonts w:eastAsia="Cambria" w:cs="Cambria"/>
                <w:b w:val="false"/>
                <w:bCs w:val="false"/>
                <w:i w:val="false"/>
                <w:iCs w:val="false"/>
                <w:sz w:val="20"/>
                <w:szCs w:val="20"/>
              </w:rPr>
              <w:t>, im Schnitt 4.423 $).</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Deckung beginnt oft erst nach einer Wartefrist von bis zu 90 Tagen; die Einschreibefrist beträgt meist 30 Tage. Plane für die Lücke bis zu drei oder vier Monate Überbrückung ein.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 Fieber, Verstauchung oder Infekt ist meist </w:t>
            </w:r>
            <w:r>
              <w:rPr>
                <w:rFonts w:eastAsia="Cambria" w:cs="Cambria"/>
                <w:b w:val="false"/>
                <w:bCs w:val="false"/>
                <w:i/>
                <w:iCs/>
                <w:sz w:val="20"/>
                <w:szCs w:val="20"/>
              </w:rPr>
              <w:t>Urgent Care</w:t>
            </w:r>
            <w:r>
              <w:rPr>
                <w:rFonts w:eastAsia="Cambria" w:cs="Cambria"/>
                <w:b w:val="false"/>
                <w:bCs w:val="false"/>
                <w:i w:val="false"/>
                <w:iCs w:val="false"/>
                <w:sz w:val="20"/>
                <w:szCs w:val="20"/>
              </w:rPr>
              <w:t xml:space="preserve"> (Walk-in-Klinik) oder Telemedizin richtig, nicht die Notaufnahme. Bei Lebensgefahr wählst du den Notruf 911.</w:t>
            </w:r>
          </w:p>
          <w:p>
            <w:pPr>
              <w:pStyle w:val="ListParagraph"/>
              <w:numPr>
                <w:ilvl w:val="0"/>
                <w:numId w:val="1"/>
              </w:numPr>
              <w:spacing w:lineRule="exact" w:line="264" w:before="0" w:after="50"/>
              <w:rPr/>
            </w:pPr>
            <w:r>
              <w:rPr>
                <w:rFonts w:eastAsia="Cambria" w:cs="Cambria"/>
                <w:b w:val="false"/>
                <w:bCs w:val="false"/>
                <w:i w:val="false"/>
                <w:iCs w:val="false"/>
                <w:sz w:val="20"/>
                <w:szCs w:val="20"/>
              </w:rPr>
              <w:t>Zahn und Augen sind getrennte Pläne. Rechnungen zahlst du erst nach dem Abgleich mit der Abrechnung deines Versicherers.</w:t>
            </w:r>
          </w:p>
          <w:p>
            <w:pPr>
              <w:pStyle w:val="ListParagraph"/>
              <w:numPr>
                <w:ilvl w:val="0"/>
                <w:numId w:val="1"/>
              </w:numPr>
              <w:spacing w:lineRule="exact" w:line="264" w:before="0" w:after="50"/>
              <w:rPr/>
            </w:pPr>
            <w:r>
              <w:rPr>
                <w:rFonts w:eastAsia="Cambria" w:cs="Cambria"/>
                <w:b w:val="false"/>
                <w:bCs w:val="false"/>
                <w:i w:val="false"/>
                <w:iCs w:val="false"/>
                <w:sz w:val="20"/>
                <w:szCs w:val="20"/>
              </w:rPr>
              <w:t>Marktplatz-Zuschüsse gibt es ab 2027 nur noch für Green-Card-Inhaber; Visa-Inhaber können weiter zum Vollpreis kaufen.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Prinzip: Versicherung hängt am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Statistikamt Census waren 2025 rund 53,5 % der US-Bevölkerung über einen Arbeitgeber versichert, 20,1 % über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(ab 65), 17,1 % über </w:t>
      </w:r>
      <w:r>
        <w:rPr>
          <w:rFonts w:eastAsia="Cambria" w:cs="Cambria"/>
          <w:b w:val="false"/>
          <w:bCs w:val="false"/>
          <w:i/>
          <w:iCs/>
          <w:sz w:val="22"/>
          <w:szCs w:val="22"/>
        </w:rPr>
        <w:t>Medicaid</w:t>
      </w:r>
      <w:r>
        <w:rPr>
          <w:rFonts w:eastAsia="Cambria" w:cs="Cambria"/>
          <w:b w:val="false"/>
          <w:bCs w:val="false"/>
          <w:i w:val="false"/>
          <w:iCs w:val="false"/>
          <w:sz w:val="22"/>
          <w:szCs w:val="22"/>
        </w:rPr>
        <w:t xml:space="preserve"> (Geringverdienende) und 10,5 % über selbst gekaufte Pläne — Mehrfachdeckung ist möglich, die Werte ergeben deshalb nicht 100 %. Unversichert waren 7,9 % (26,7 Millionen Menschen). Nach der Arbeitgeberumfrage der Stiftung KFF bieten 61 % der Firmen ab zehn Beschäftigten eine Versicherung an: 97 % ab 200 Beschäftigten, aber nur 59 % der kleineren. Frage im Bewerbungsprozess deshalb nach dem Leistungspaket (</w:t>
      </w:r>
      <w:r>
        <w:rPr>
          <w:rFonts w:eastAsia="Cambria" w:cs="Cambria"/>
          <w:b w:val="false"/>
          <w:bCs w:val="false"/>
          <w:i/>
          <w:iCs/>
          <w:sz w:val="22"/>
          <w:szCs w:val="22"/>
        </w:rPr>
        <w:t>Benefits</w:t>
      </w:r>
      <w:r>
        <w:rPr>
          <w:rFonts w:eastAsia="Cambria" w:cs="Cambria"/>
          <w:b w:val="false"/>
          <w:bCs w:val="false"/>
          <w:i w:val="false"/>
          <w:iCs w:val="false"/>
          <w:sz w:val="22"/>
          <w:szCs w:val="22"/>
        </w:rPr>
        <w:t>), nicht nur nach dem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„Krankenversicherung“ klinge nach einem System wie der GKV, nur eben amerikanisch organisiert. Tatsächlich kennen die USA, anders als die gesetzliche Krankenversicherung (GKV)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Versicherungspflicht mit Strafzahlung gibt es seit 2019 nicht mehr, einzelne Staaten wie Massachusetts und New Jersey haben eine eigene. Unversichert zu sein bleibt für Neuankömmlinge dennoch riskant: Notaufnahmen von Krankenhäusern mit Medicare-Zulassung müssen dich nach dem Bundesgesetz EMTALA untersuchen und stabilisieren, unabhängig von deiner Zahlungsfähigkeit — kostenlos ist das nicht, die Rechnung kommt später. Vorbereitung in Deutschland (GKV-Austritt, Anwartschaft):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der Weg zurück in die GKV: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Plantypen: HMO, PPO, HDHP und HSA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Arbeitgeber bietet oft mehrere Pläne an. Sie unterscheiden sich im Netzwerk (</w:t>
      </w:r>
      <w:r>
        <w:rPr>
          <w:rFonts w:eastAsia="Cambria" w:cs="Cambria"/>
          <w:b w:val="false"/>
          <w:bCs w:val="false"/>
          <w:i/>
          <w:iCs/>
          <w:sz w:val="22"/>
          <w:szCs w:val="22"/>
        </w:rPr>
        <w:t>Network</w:t>
      </w:r>
      <w:r>
        <w:rPr>
          <w:rFonts w:eastAsia="Cambria" w:cs="Cambria"/>
          <w:b w:val="false"/>
          <w:bCs w:val="false"/>
          <w:i w:val="false"/>
          <w:iCs w:val="false"/>
          <w:sz w:val="22"/>
          <w:szCs w:val="22"/>
        </w:rPr>
        <w:t>: die Ärzte und Kliniken, mit denen der Versicherer Preise vereinbart hat) und in der Kostenverteilung. Die Tabelle zeigt die vier häufigsten Typen und ihren Anteil bei Arbeitgeberplänen 2025 (KFF).</w:t>
      </w:r>
    </w:p>
    <w:tbl>
      <w:tblPr>
        <w:tblW w:w="6480" w:type="dxa"/>
        <w:jc w:val="left"/>
        <w:tblInd w:w="0" w:type="dxa"/>
        <w:tblLayout w:type="fixed"/>
        <w:tblCellMar>
          <w:top w:w="50" w:type="dxa"/>
          <w:left w:w="80" w:type="dxa"/>
          <w:bottom w:w="50" w:type="dxa"/>
          <w:right w:w="80" w:type="dxa"/>
        </w:tblCellMar>
      </w:tblPr>
      <w:tblGrid>
        <w:gridCol w:w="2560"/>
        <w:gridCol w:w="2734"/>
        <w:gridCol w:w="1186"/>
      </w:tblGrid>
      <w:tr>
        <w:trPr>
          <w:tblHeader w:val="true"/>
          <w:cantSplit w:val="true"/>
        </w:trPr>
        <w:tc>
          <w:tcPr>
            <w:tcW w:w="2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Plantyp</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funktioniert er</w:t>
            </w:r>
          </w:p>
        </w:tc>
        <w:tc>
          <w:tcPr>
            <w:tcW w:w="1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PPO</w:t>
            </w:r>
            <w:r>
              <w:rPr>
                <w:rFonts w:eastAsia="Cambria" w:cs="Cambria"/>
                <w:b w:val="false"/>
                <w:bCs w:val="false"/>
                <w:i w:val="false"/>
                <w:iCs w:val="false"/>
                <w:sz w:val="18"/>
                <w:szCs w:val="18"/>
              </w:rPr>
              <w:t xml:space="preserve"> (Preferred Provider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günstiger; Ärzte außerhalb möglich, aber teurer; Facharzt ohne Überweisung</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HDHP</w:t>
            </w:r>
            <w:r>
              <w:rPr>
                <w:rFonts w:eastAsia="Cambria" w:cs="Cambria"/>
                <w:b w:val="false"/>
                <w:bCs w:val="false"/>
                <w:i w:val="false"/>
                <w:iCs w:val="false"/>
                <w:sz w:val="18"/>
                <w:szCs w:val="18"/>
              </w:rPr>
              <w:t xml:space="preserve"> (High Deductible Health Plan) mit Sparoption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Prämie, hoher Selbstbehalt, meist mit HSA</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HMO</w:t>
            </w:r>
            <w:r>
              <w:rPr>
                <w:rFonts w:eastAsia="Cambria" w:cs="Cambria"/>
                <w:b w:val="false"/>
                <w:bCs w:val="false"/>
                <w:i w:val="false"/>
                <w:iCs w:val="false"/>
                <w:sz w:val="18"/>
                <w:szCs w:val="18"/>
              </w:rPr>
              <w:t xml:space="preserve"> (Health Maintenance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nur Netzwerkärzte (außer im Notfall); der Hausarzt steuert Überweisungen</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POS</w:t>
            </w:r>
            <w:r>
              <w:rPr>
                <w:rFonts w:eastAsia="Cambria" w:cs="Cambria"/>
                <w:b w:val="false"/>
                <w:bCs w:val="false"/>
                <w:i w:val="false"/>
                <w:iCs w:val="false"/>
                <w:sz w:val="18"/>
                <w:szCs w:val="18"/>
              </w:rPr>
              <w:t xml:space="preserve"> (Point of Service)</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Mischform: Netzwerk günstiger, Facharzt per Überweisung des Hausarztes</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kommt der </w:t>
      </w:r>
      <w:r>
        <w:rPr>
          <w:rFonts w:eastAsia="Cambria" w:cs="Cambria"/>
          <w:b w:val="false"/>
          <w:bCs w:val="false"/>
          <w:i/>
          <w:iCs/>
          <w:sz w:val="22"/>
          <w:szCs w:val="22"/>
        </w:rPr>
        <w:t>EPO</w:t>
      </w:r>
      <w:r>
        <w:rPr>
          <w:rFonts w:eastAsia="Cambria" w:cs="Cambria"/>
          <w:b w:val="false"/>
          <w:bCs w:val="false"/>
          <w:i w:val="false"/>
          <w:iCs w:val="false"/>
          <w:sz w:val="22"/>
          <w:szCs w:val="22"/>
        </w:rPr>
        <w:t xml:space="preserve"> (Exclusive Provider Organization), der wie ein HMO nur das Netzwerk bezahlt. HMO-Pläne sind meist günstiger, bei 47 % ihrer Versicherten gibt es keinen Selbstbehalt; dafür schränken sie die Arztwahl ein. Beim PPO zahlst du für die Freiheit mehr Prämie.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HDHP verlangt einen hohen Selbstbehalt: 2026 mindestens 1.700 $ für Einzelpersonen und 3.400 $ für Familien (2027: 1.750 $ und 3.500 $). Dafür darfst du ein </w:t>
      </w:r>
      <w:r>
        <w:rPr>
          <w:rFonts w:eastAsia="Cambria" w:cs="Cambria"/>
          <w:b w:val="false"/>
          <w:bCs w:val="false"/>
          <w:i/>
          <w:iCs/>
          <w:sz w:val="22"/>
          <w:szCs w:val="22"/>
        </w:rPr>
        <w:t>Health Savings Account</w:t>
      </w:r>
      <w:r>
        <w:rPr>
          <w:rFonts w:eastAsia="Cambria" w:cs="Cambria"/>
          <w:b w:val="false"/>
          <w:bCs w:val="false"/>
          <w:i w:val="false"/>
          <w:iCs w:val="false"/>
          <w:sz w:val="22"/>
          <w:szCs w:val="22"/>
        </w:rPr>
        <w:t xml:space="preserve"> (HSA) führen, ein steuerbegünstigtes Gesundheitssparkonto. Einzahlen darfst du 2026 bis zu 4.400 $ (Einzelperson) bzw. 8.750 $ (Familie), 2027 bis zu 4.500 $ bzw. 9.000 $; ab 55 Jahren kommen 1.000 $ hinzu. Das Guthaben gehört dir, verfällt nicht und darf für Arzt-, Zahn- und Augenkosten entnommen werden. Viele Arbeitgeber zahlen einen Beitrag ein; steuerliche Details, auch der Staaten: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Junge, gesunde Beschäftigte fahren mit dem HDHP oft gut; wer Kinder, eine chronische Erkrankung oder einen geplanten Eingriff hat, rechnet besser mit PPO oder HMO.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Pläne nie nur nach der Prämie. Rechne für jeden Plan das teuerste Jahr (12 × Monatsprämie + Out-of-Pocket-Maximum) und das wahrscheinliche Jahr (12 × Monatsprämie + die Arztkosten, die du erwartest). Prüfe zuerst, ob deine Ärzte im Netzwerk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Begriffe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guter Teil des amerikanischen Krankenversicherungsalltags besteht aus acht Wörtern. Die Beispiele beziehen sich auf einen fiktiven Plan: Premium 120 $ im Monat, Deductible 1.500 $, Coinsurance 20 %, Out-of-Pocket-Maximum 4.000 $, Hausarzt-Copay 30 $.</w:t>
      </w:r>
    </w:p>
    <w:tbl>
      <w:tblPr>
        <w:tblW w:w="6480" w:type="dxa"/>
        <w:jc w:val="left"/>
        <w:tblInd w:w="0" w:type="dxa"/>
        <w:tblLayout w:type="fixed"/>
        <w:tblCellMar>
          <w:top w:w="50" w:type="dxa"/>
          <w:left w:w="80" w:type="dxa"/>
          <w:bottom w:w="50" w:type="dxa"/>
          <w:right w:w="80" w:type="dxa"/>
        </w:tblCellMar>
      </w:tblPr>
      <w:tblGrid>
        <w:gridCol w:w="1918"/>
        <w:gridCol w:w="2643"/>
        <w:gridCol w:w="191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Begriff</w:t>
            </w:r>
          </w:p>
        </w:tc>
        <w:tc>
          <w:tcPr>
            <w:tcW w:w="2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1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Premium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Monatsbeitrag; fällt immer an, auch ohne Arztbesuch</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 im Monat, vom Gehalt abgezogen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Deductible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pro Jahr, den du zuerst selbst zahlst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Copay</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 als Festbetrag pro Besuch oder Rezept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beim Hausarzt</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Coinsurance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Beteiligung, die nach dem Deductible weiterläuft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 der Klinikrechnung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Out-of-Pocket Maximum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deiner Eigenkosten; danach zahlt der Plan 100 % (nur im Netzwerk, ohne Premium)</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In-Network</w:t>
            </w:r>
            <w:r>
              <w:rPr>
                <w:rFonts w:eastAsia="Cambria" w:cs="Cambria"/>
                <w:b w:val="false"/>
                <w:bCs w:val="false"/>
                <w:i w:val="false"/>
                <w:iCs w:val="false"/>
                <w:sz w:val="18"/>
                <w:szCs w:val="18"/>
              </w:rPr>
              <w:t xml:space="preserve"> / </w:t>
            </w:r>
            <w:r>
              <w:rPr>
                <w:rFonts w:eastAsia="Cambria" w:cs="Cambria"/>
                <w:b w:val="false"/>
                <w:bCs w:val="false"/>
                <w:i/>
                <w:iCs/>
                <w:sz w:val="18"/>
                <w:szCs w:val="18"/>
              </w:rPr>
              <w:t>Out-of-Network</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mit bzw. ohne Preisvertrag deines Plans; außerhalb zahlst du mehr oder alles</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200 $, außerhalb 600 $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EOB</w:t>
            </w:r>
            <w:r>
              <w:rPr>
                <w:rFonts w:eastAsia="Cambria" w:cs="Cambria"/>
                <w:b w:val="false"/>
                <w:bCs w:val="false"/>
                <w:i w:val="false"/>
                <w:iCs w:val="false"/>
                <w:sz w:val="18"/>
                <w:szCs w:val="18"/>
              </w:rPr>
              <w:t xml:space="preserve"> (</w:t>
            </w:r>
            <w:r>
              <w:rPr>
                <w:rFonts w:eastAsia="Cambria" w:cs="Cambria"/>
                <w:b w:val="false"/>
                <w:bCs w:val="false"/>
                <w:i/>
                <w:iCs/>
                <w:sz w:val="18"/>
                <w:szCs w:val="18"/>
              </w:rPr>
              <w:t>Explanation of Benefits</w:t>
            </w:r>
            <w:r>
              <w:rPr>
                <w:rFonts w:eastAsia="Cambria" w:cs="Cambria"/>
                <w:b w:val="false"/>
                <w:bCs w:val="false"/>
                <w:i w:val="false"/>
                <w:iCs w:val="false"/>
                <w:sz w:val="18"/>
                <w:szCs w:val="18"/>
              </w:rPr>
              <w:t>)</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Abrechnungsübersicht des Versicherers, ausdrücklich keine Rechnung</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Aufschrift „This is not a bill“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Prior Authorization</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Vorab-Genehmigung des Versicherers für teure Leistungen wie MRT oder Operation</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sie zahlst du im Zweifel selbst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mit diesem Plan: Nach einem Unfall vereinbart das Krankenhaus mit dem Versicherer einen Preis von 12.000 $. Du zahlst die ersten 1.500 $ (Deductible) und 20 % der restlichen 10.500 $ (2.100 $), zusammen 3.600 $. Bei 40.000 $ Behandlungskosten wärst du bei 4.000 $ gedeckelt. Dazu kommen deine Prämien und alles, was außerhalb des Netzwerks anfällt. Dass ausgerechnet das Dokument mit Beträgen, Fristen und Referenznummern großspurig „This is not a bill“ auf sich trägt, gehört zu den ersten kleinen kulturellen Rätseln des amerikanischen Gesundheitssystems.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gesetzliche Obergrenze nach dem </w:t>
      </w:r>
      <w:r>
        <w:rPr>
          <w:rFonts w:eastAsia="Cambria" w:cs="Cambria"/>
          <w:b w:val="false"/>
          <w:bCs w:val="false"/>
          <w:i/>
          <w:iCs/>
          <w:sz w:val="22"/>
          <w:szCs w:val="22"/>
        </w:rPr>
        <w:t>Affordable Care Act</w:t>
      </w:r>
      <w:r>
        <w:rPr>
          <w:rFonts w:eastAsia="Cambria" w:cs="Cambria"/>
          <w:b w:val="false"/>
          <w:bCs w:val="false"/>
          <w:i w:val="false"/>
          <w:iCs w:val="false"/>
          <w:sz w:val="22"/>
          <w:szCs w:val="22"/>
        </w:rPr>
        <w:t xml:space="preserve"> (ACA, dem Gesundheitsgesetz von 2010) liegt im Netzwerk 2026 bei 10.600 $ (Einzelperson) bzw. 21.200 $ (Familie); für 2027 werden nach ersten Berichten 12.000 $ bzw. 24.000 $ genannt.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kostet: Zahlen und der Vergleich mit der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KFF-Umfrage 2025 kostet ein Arbeitgeberplan im Schnitt 9.325 $ im Jahr für eine Einzelperson und 26.993 $ für eine Familie, den Großteil trägt der Arbeitgeber. Beschäftigte zahlen im Schnitt 1.440 $ im Jahr (16 %, ca. 120 $ im Monat) bzw. 6.850 $ für die Familie (26 %, ca. 571 $ im Monat); in Firmen mit 10 bis 199 Beschäftigten liegt der Familienanteil im Schnitt bei 36 %.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die Eigenkosten: 88 % der Versicherten haben einen Deductible, im Schnitt 1.886 $ (nur Pläne mit Deductible, Einzelperson). In Firmen mit 10 bis 199 Beschäftigten sind es im Schnitt 2.631 $, in großen 1.670 $. Das Out-of-Pocket-Maximum beträgt im Schnitt 4.423 $. Der Hausarztbesuch kostet im Schnitt 27 $ Copay, der Facharzt 45 $; bei Krankenhausaufnahmen zahlen 65 % der Versicherten eine Coinsurance von durchschnittlich 20 %. Das sind Durchschnitte: Dein Plan kann deutlich abweichen.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der GKV ist nicht eins zu eins möglich: Die GKV rechnet nach Einkommen ohne Selbstbehalt, der US-Plan zieht einen festen Beitrag ab und verlangt Eigenbeteiligung.</w:t>
      </w:r>
    </w:p>
    <w:tbl>
      <w:tblPr>
        <w:tblW w:w="6480" w:type="dxa"/>
        <w:jc w:val="left"/>
        <w:tblInd w:w="0" w:type="dxa"/>
        <w:tblLayout w:type="fixed"/>
        <w:tblCellMar>
          <w:top w:w="50" w:type="dxa"/>
          <w:left w:w="80" w:type="dxa"/>
          <w:bottom w:w="50" w:type="dxa"/>
          <w:right w:w="80" w:type="dxa"/>
        </w:tblCellMar>
      </w:tblPr>
      <w:tblGrid>
        <w:gridCol w:w="1984"/>
        <w:gridCol w:w="2091"/>
        <w:gridCol w:w="2405"/>
      </w:tblGrid>
      <w:tr>
        <w:trPr>
          <w:tblHeader w:val="true"/>
          <w:cantSplit w:val="true"/>
        </w:trPr>
        <w:tc>
          <w:tcPr>
            <w:tcW w:w="19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4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US-Arbeitgeberplan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14,6 % plus durchschnittlicher Zusatzbeitrag 2,9 % = 17,5 % vom Brutto; Arbeitnehmer 8,75 % (ca. 350 € bei 4.000 € brutto)</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Betrag je Plan, im Schnitt ca. 120 $ (Einzelperson) bzw. ca. 571 $ (Familie) im Monat, unabhängig vom Gehalt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Selbstbeteiligung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kleine Zuzahlungen, kein Selbstbehalt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 Copays und Coinsurance bis zum Out-of-Pocket-Maximum</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Arztwahl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Netzwerk; außerhalb teurer oder ungedeckt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auf Termine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Facharzttermine dauern oft Wochen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im Schnitt 23,5 Tage (15 Großstädte, Umfrage 2025), je nach Stadt merklich mehr</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nicht erwerbstätige Partner beitragsfrei mitversichert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Familientarif; Partner und Kinder müssen angemeldet und bezahlt werden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Gesundheitskarte, kaum Rechnungen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EOBs, mehrere Rechnungen, Netzwerkprüfung, Vorabgenehmigungen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im Notfall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Rettungsdienst und Klinik über die Karte, kleine Zuzahlungen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bis zum Deductible oft aus eigener Tasche; Krankenwagen extra</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viel verdient, zahlt in Deutschland bis zur Beitragsbemessungsgrenze mehr; wer mehrere Kinder hat, spürt in den USA den Familientarif. Die Pflegeversicherung kommt in Deutschland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Beginn der Deckung: Wartefrist, Einschreibefrist und die 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Arbeitsvertrag beginnt am ersten Arbeitstag, die Krankenversicherung oft nicht: Das Gesetz erlaubt Arbeitgebern eine Wartefrist (</w:t>
      </w:r>
      <w:r>
        <w:rPr>
          <w:rFonts w:eastAsia="Cambria" w:cs="Cambria"/>
          <w:b w:val="false"/>
          <w:bCs w:val="false"/>
          <w:i/>
          <w:iCs/>
          <w:sz w:val="22"/>
          <w:szCs w:val="22"/>
        </w:rPr>
        <w:t>Waiting Period</w:t>
      </w:r>
      <w:r>
        <w:rPr>
          <w:rFonts w:eastAsia="Cambria" w:cs="Cambria"/>
          <w:b w:val="false"/>
          <w:bCs w:val="false"/>
          <w:i w:val="false"/>
          <w:iCs w:val="false"/>
          <w:sz w:val="22"/>
          <w:szCs w:val="22"/>
        </w:rPr>
        <w:t>) von höchstens 90 Tagen (45 CFR 147.116), zusätzlich eine Orientierungsphase bis zu einem Monat. 2025 hatten 68 % der Versicherten eine Wartefrist, im Schnitt 1,8 Monate; 15 % warteten drei Monate oder länger. Häufig heißt es „Deckung ab dem 1. des Monats nach 30, 60 oder 90 Tagen“ — wer zum 15. Januar anfängt und 60 Tage warten muss, ist erst ab 1. April 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Einschreibefrist (</w:t>
      </w:r>
      <w:r>
        <w:rPr>
          <w:rFonts w:eastAsia="Cambria" w:cs="Cambria"/>
          <w:b w:val="false"/>
          <w:bCs w:val="false"/>
          <w:i/>
          <w:iCs/>
          <w:sz w:val="22"/>
          <w:szCs w:val="22"/>
        </w:rPr>
        <w:t>Enrollment Window</w:t>
      </w:r>
      <w:r>
        <w:rPr>
          <w:rFonts w:eastAsia="Cambria" w:cs="Cambria"/>
          <w:b w:val="false"/>
          <w:bCs w:val="false"/>
          <w:i w:val="false"/>
          <w:iCs w:val="false"/>
          <w:sz w:val="22"/>
          <w:szCs w:val="22"/>
        </w:rPr>
        <w:t xml:space="preserve">) legt der Plan fest; üblich sind 30 Tage ab Anspruchsbeginn. Wer sie verpasst, bleibt meist bis zur nächsten </w:t>
      </w:r>
      <w:r>
        <w:rPr>
          <w:rFonts w:eastAsia="Cambria" w:cs="Cambria"/>
          <w:b w:val="false"/>
          <w:bCs w:val="false"/>
          <w:i/>
          <w:iCs/>
          <w:sz w:val="22"/>
          <w:szCs w:val="22"/>
        </w:rPr>
        <w:t>Open Enrollment</w:t>
      </w:r>
      <w:r>
        <w:rPr>
          <w:rFonts w:eastAsia="Cambria" w:cs="Cambria"/>
          <w:b w:val="false"/>
          <w:bCs w:val="false"/>
          <w:i w:val="false"/>
          <w:iCs w:val="false"/>
          <w:sz w:val="22"/>
          <w:szCs w:val="22"/>
        </w:rPr>
        <w:t xml:space="preserve"> (jährliche Wahlphase, oft im Herbst) ohne Arbeitgeberdeckung. Außerhalb der Wahlphase änderst du den Plan nur bei einem Lebensereignis wie Heirat, Geburt oder Adoption; bei Geburt und Adoption gilt im Arbeitgeberplan ein Sonderfenster von 30 Tagen.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und deine Familie in der ersten Arbeitswoche an und notiere die Frist. Ein verpasster Stichtag kostet dich im schlimmsten Fall Monate ohne Arbeitgeberplan.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die Lücke ehrlich durch: Landung, Arbeitsbeginn (oft einige Wochen später), Wartefrist, Deckung meist zum Monatsersten — zusammen können bis zu drei oder vier Monate ohne US-Deckung entstehen, Partner und Kinder folgen derselben Frist. Viele Pläne laufen zudem im Kalenderjahr: Am 1. Januar beginnen Deductible und Out-of-Pocket-Maximum von vorn, wer im Oktober startet, kann zwei Selbstbehalte in drei Monaten 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überbrückst du die Lücke:</w:t>
      </w:r>
    </w:p>
    <w:p>
      <w:pPr>
        <w:pStyle w:val="ListParagraph"/>
        <w:numPr>
          <w:ilvl w:val="0"/>
          <w:numId w:val="1"/>
        </w:numPr>
        <w:spacing w:lineRule="exact" w:line="288" w:before="0" w:after="60"/>
        <w:rPr/>
      </w:pPr>
      <w:r>
        <w:rPr>
          <w:rFonts w:eastAsia="Cambria" w:cs="Cambria"/>
          <w:b/>
          <w:bCs/>
          <w:i w:val="false"/>
          <w:iCs w:val="false"/>
          <w:sz w:val="22"/>
          <w:szCs w:val="22"/>
        </w:rPr>
        <w:t>Auslandskrankenversicherung aus Deutschland:</w:t>
      </w:r>
      <w:r>
        <w:rPr>
          <w:rFonts w:eastAsia="Cambria" w:cs="Cambria"/>
          <w:b w:val="false"/>
          <w:bCs w:val="false"/>
          <w:i w:val="false"/>
          <w:iCs w:val="false"/>
          <w:sz w:val="22"/>
          <w:szCs w:val="22"/>
        </w:rPr>
        <w:t xml:space="preserve"> Prüfe, ob sie bei Wohnsitzverlegung greift und wie lange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Reiseversicherung für die USA</w:t>
      </w:r>
      <w:r>
        <w:rPr>
          <w:rFonts w:eastAsia="Cambria" w:cs="Cambria"/>
          <w:b w:val="false"/>
          <w:bCs w:val="false"/>
          <w:i w:val="false"/>
          <w:iCs w:val="false"/>
          <w:sz w:val="22"/>
          <w:szCs w:val="22"/>
        </w:rPr>
        <w:t xml:space="preserve"> (</w:t>
      </w:r>
      <w:r>
        <w:rPr>
          <w:rFonts w:eastAsia="Cambria" w:cs="Cambria"/>
          <w:b w:val="false"/>
          <w:bCs w:val="false"/>
          <w:i/>
          <w:iCs/>
          <w:sz w:val="22"/>
          <w:szCs w:val="22"/>
        </w:rPr>
        <w:t>Visitor-</w:t>
      </w:r>
      <w:r>
        <w:rPr>
          <w:rFonts w:eastAsia="Cambria" w:cs="Cambria"/>
          <w:b w:val="false"/>
          <w:bCs w:val="false"/>
          <w:i w:val="false"/>
          <w:iCs w:val="false"/>
          <w:sz w:val="22"/>
          <w:szCs w:val="22"/>
        </w:rPr>
        <w:t xml:space="preserve"> oder </w:t>
      </w:r>
      <w:r>
        <w:rPr>
          <w:rFonts w:eastAsia="Cambria" w:cs="Cambria"/>
          <w:b w:val="false"/>
          <w:bCs w:val="false"/>
          <w:i/>
          <w:iCs/>
          <w:sz w:val="22"/>
          <w:szCs w:val="22"/>
        </w:rPr>
        <w:t>Travel-Medical-Plan</w:t>
      </w:r>
      <w:r>
        <w:rPr>
          <w:rFonts w:eastAsia="Cambria" w:cs="Cambria"/>
          <w:b w:val="false"/>
          <w:bCs w:val="false"/>
          <w:i w:val="false"/>
          <w:iCs w:val="false"/>
          <w:sz w:val="22"/>
          <w:szCs w:val="22"/>
        </w:rPr>
        <w:t>): deckt meist akute Krankheit und Unfall; Vorerkrankungen, Schwangerschaft und Vorsorge sind oft ausgeschlossen.</w:t>
      </w:r>
    </w:p>
    <w:p>
      <w:pPr>
        <w:pStyle w:val="ListParagraph"/>
        <w:numPr>
          <w:ilvl w:val="0"/>
          <w:numId w:val="1"/>
        </w:numPr>
        <w:spacing w:lineRule="exact" w:line="288" w:before="0" w:after="60"/>
        <w:rPr/>
      </w:pPr>
      <w:r>
        <w:rPr>
          <w:rFonts w:eastAsia="Cambria" w:cs="Cambria"/>
          <w:b/>
          <w:bCs/>
          <w:i w:val="false"/>
          <w:iCs w:val="false"/>
          <w:sz w:val="22"/>
          <w:szCs w:val="22"/>
        </w:rPr>
        <w:t>Kurzzeitpläne</w:t>
      </w:r>
      <w:r>
        <w:rPr>
          <w:rFonts w:eastAsia="Cambria" w:cs="Cambria"/>
          <w:b w:val="false"/>
          <w:bCs w:val="false"/>
          <w:i w:val="false"/>
          <w:iCs w:val="false"/>
          <w:sz w:val="22"/>
          <w:szCs w:val="22"/>
        </w:rPr>
        <w:t xml:space="preserve"> (</w:t>
      </w:r>
      <w:r>
        <w:rPr>
          <w:rFonts w:eastAsia="Cambria" w:cs="Cambria"/>
          <w:b w:val="false"/>
          <w:bCs w:val="false"/>
          <w:i/>
          <w:iCs/>
          <w:sz w:val="22"/>
          <w:szCs w:val="22"/>
        </w:rPr>
        <w:t>Short-Term Limited Duration Insurance</w:t>
      </w:r>
      <w:r>
        <w:rPr>
          <w:rFonts w:eastAsia="Cambria" w:cs="Cambria"/>
          <w:b w:val="false"/>
          <w:bCs w:val="false"/>
          <w:i w:val="false"/>
          <w:iCs w:val="false"/>
          <w:sz w:val="22"/>
          <w:szCs w:val="22"/>
        </w:rPr>
        <w:t>):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w:t>
      </w:r>
      <w:r>
        <w:rPr>
          <w:rFonts w:eastAsia="Cambria" w:cs="Cambria"/>
          <w:b w:val="false"/>
          <w:bCs w:val="false"/>
          <w:i/>
          <w:iCs/>
          <w:sz w:val="22"/>
          <w:szCs w:val="22"/>
        </w:rPr>
        <w:t>Marketplace</w:t>
      </w:r>
      <w:r>
        <w:rPr>
          <w:rFonts w:eastAsia="Cambria" w:cs="Cambria"/>
          <w:b w:val="false"/>
          <w:bCs w:val="false"/>
          <w:i w:val="false"/>
          <w:iCs w:val="false"/>
          <w:sz w:val="22"/>
          <w:szCs w:val="22"/>
        </w:rPr>
        <w:t>): Der Umzug aus dem Ausland löst ein Sonderfenster aus, meist 60 Tage. Als Visa-Inhaber darfst du kaufen, ab 2027 ohne Zuschuss (siehe unten). Prüfe die Kündigungsfrist, damit du zum Start der Arbeitgeberdeckung aussteigen kannst.</w:t>
      </w:r>
    </w:p>
    <w:p>
      <w:pPr>
        <w:pStyle w:val="ListParagraph"/>
        <w:numPr>
          <w:ilvl w:val="0"/>
          <w:numId w:val="1"/>
        </w:numPr>
        <w:spacing w:lineRule="exact" w:line="288" w:before="0" w:after="60"/>
        <w:rPr/>
      </w:pPr>
      <w:r>
        <w:rPr>
          <w:rFonts w:eastAsia="Cambria" w:cs="Cambria"/>
          <w:b/>
          <w:bCs/>
          <w:i w:val="false"/>
          <w:iCs w:val="false"/>
          <w:sz w:val="22"/>
          <w:szCs w:val="22"/>
        </w:rPr>
        <w:t>Verhandeln:</w:t>
      </w:r>
      <w:r>
        <w:rPr>
          <w:rFonts w:eastAsia="Cambria" w:cs="Cambria"/>
          <w:b w:val="false"/>
          <w:bCs w:val="false"/>
          <w:i w:val="false"/>
          <w:iCs w:val="false"/>
          <w:sz w:val="22"/>
          <w:szCs w:val="22"/>
        </w:rPr>
        <w:t xml:space="preserve"> Frage im Jobangebot nach Deckung ab Tag 1 oder einer kürzeren Wartefrist.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Mitte Juli in der Region Detroit. Markus beginnt am 1. August; laut Benefits-Unterlagen startet die Deckung am 1. des Monats nach 60 Tagen, also am 1. Oktober. Bis dahin sind es gut elf Wochen ohne US-Versicherung; die Familie überbrückt sie mit der Auslandskrankenversicherung aus Deutschland und meldet alle vier in der ersten Arbeitswoche im Portal der Personalabteilung (HR) an (Einschreibefrist: 30 Tage). Ende August hat Jonas (5) Ohrenschmerzen: Der Besuch in der Urgent Care kostet bar 190 $, bezahlt mit der Kreditkarte, weil noch niemand in der Familie Bargeld in dieser Höhe dabeihat. Markus reicht die Quittung bei der deutschen Versicherung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Arzt finden: Netzwerk, Hausarzt, Urgent Care und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Suche Ärzte über das Verzeichnis deines Versicherers (</w:t>
      </w:r>
      <w:r>
        <w:rPr>
          <w:rFonts w:eastAsia="Cambria" w:cs="Cambria"/>
          <w:b w:val="false"/>
          <w:bCs w:val="false"/>
          <w:i/>
          <w:iCs/>
          <w:sz w:val="22"/>
          <w:szCs w:val="22"/>
        </w:rPr>
        <w:t>Find a Doctor</w:t>
      </w:r>
      <w:r>
        <w:rPr>
          <w:rFonts w:eastAsia="Cambria" w:cs="Cambria"/>
          <w:b w:val="false"/>
          <w:bCs w:val="false"/>
          <w:i w:val="false"/>
          <w:iCs w:val="false"/>
          <w:sz w:val="22"/>
          <w:szCs w:val="22"/>
        </w:rPr>
        <w:t>), verlasse dich aber nicht allein darauf: Die Listen sind gelegentlich veraltet. Rufe an und frage wörtlich: „Are you in-network with my plan, and are you accepting new patients?“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We accept your insurance“ heißt nicht, dass die Praxis in deinem Netzwerk ist. Frage nach dem genauen Plannamen und lass dir das „in-network“ bestätigen. Auch in Netzwerk-Krankenhäusern können einzelne Ärzte (Anästhesie, Labor, Radiologie) außerhalb des Netzwerks arbeiten.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Hausarzt (</w:t>
      </w:r>
      <w:r>
        <w:rPr>
          <w:rFonts w:eastAsia="Cambria" w:cs="Cambria"/>
          <w:b w:val="false"/>
          <w:bCs w:val="false"/>
          <w:i/>
          <w:iCs/>
          <w:sz w:val="22"/>
          <w:szCs w:val="22"/>
        </w:rPr>
        <w:t>Primary Care Physician</w:t>
      </w:r>
      <w:r>
        <w:rPr>
          <w:rFonts w:eastAsia="Cambria" w:cs="Cambria"/>
          <w:b w:val="false"/>
          <w:bCs w:val="false"/>
          <w:i w:val="false"/>
          <w:iCs w:val="false"/>
          <w:sz w:val="22"/>
          <w:szCs w:val="22"/>
        </w:rPr>
        <w:t>, PCP) ist die erste Anlaufstelle für Vorsorge, Impfungen, Rezepte und Überweisungen. Im HMO und POS brauchst du ihn, im PPO ist er ratsam. Neupatienten warten oft Wochen (siehe Tabelle oben) — buche früh, auch ohne akuten Anlass. Der jährliche Check-up (</w:t>
      </w:r>
      <w:r>
        <w:rPr>
          <w:rFonts w:eastAsia="Cambria" w:cs="Cambria"/>
          <w:b w:val="false"/>
          <w:bCs w:val="false"/>
          <w:i/>
          <w:iCs/>
          <w:sz w:val="22"/>
          <w:szCs w:val="22"/>
        </w:rPr>
        <w:t>Annual Physical</w:t>
      </w:r>
      <w:r>
        <w:rPr>
          <w:rFonts w:eastAsia="Cambria" w:cs="Cambria"/>
          <w:b w:val="false"/>
          <w:bCs w:val="false"/>
          <w:i w:val="false"/>
          <w:iCs w:val="false"/>
          <w:sz w:val="22"/>
          <w:szCs w:val="22"/>
        </w:rPr>
        <w:t>) zählt zur Vorsorge (</w:t>
      </w:r>
      <w:r>
        <w:rPr>
          <w:rFonts w:eastAsia="Cambria" w:cs="Cambria"/>
          <w:b w:val="false"/>
          <w:bCs w:val="false"/>
          <w:i/>
          <w:iCs/>
          <w:sz w:val="22"/>
          <w:szCs w:val="22"/>
        </w:rPr>
        <w:t>Preventive Care</w:t>
      </w:r>
      <w:r>
        <w:rPr>
          <w:rFonts w:eastAsia="Cambria" w:cs="Cambria"/>
          <w:b w:val="false"/>
          <w:bCs w:val="false"/>
          <w:i w:val="false"/>
          <w:iCs w:val="false"/>
          <w:sz w:val="22"/>
          <w:szCs w:val="22"/>
        </w:rPr>
        <w:t>) und ist im Netzwerk meist ohne Zuzahlung. Viele Pläne bieten Telemedizin (</w:t>
      </w:r>
      <w:r>
        <w:rPr>
          <w:rFonts w:eastAsia="Cambria" w:cs="Cambria"/>
          <w:b w:val="false"/>
          <w:bCs w:val="false"/>
          <w:i/>
          <w:iCs/>
          <w:sz w:val="22"/>
          <w:szCs w:val="22"/>
        </w:rPr>
        <w:t>Telehealth</w:t>
      </w:r>
      <w:r>
        <w:rPr>
          <w:rFonts w:eastAsia="Cambria" w:cs="Cambria"/>
          <w:b w:val="false"/>
          <w:bCs w:val="false"/>
          <w:i w:val="false"/>
          <w:iCs w:val="false"/>
          <w:sz w:val="22"/>
          <w:szCs w:val="22"/>
        </w:rPr>
        <w:t>) als günstigen Erstkontakt.</w:t>
      </w:r>
    </w:p>
    <w:tbl>
      <w:tblPr>
        <w:tblW w:w="6480" w:type="dxa"/>
        <w:jc w:val="left"/>
        <w:tblInd w:w="0" w:type="dxa"/>
        <w:tblLayout w:type="fixed"/>
        <w:tblCellMar>
          <w:top w:w="50" w:type="dxa"/>
          <w:left w:w="80" w:type="dxa"/>
          <w:bottom w:w="50" w:type="dxa"/>
          <w:right w:w="80" w:type="dxa"/>
        </w:tblCellMar>
      </w:tblPr>
      <w:tblGrid>
        <w:gridCol w:w="2593"/>
        <w:gridCol w:w="1530"/>
        <w:gridCol w:w="2357"/>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Wohin</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Preisrahmen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Lebensbedrohlich: Brustschmerz, Atemnot, Schlaganfallzeichen, starke Blutung</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911 anrufen, Notaufnahme (</w:t>
            </w:r>
            <w:r>
              <w:rPr>
                <w:rFonts w:eastAsia="Cambria" w:cs="Cambria"/>
                <w:b w:val="false"/>
                <w:bCs w:val="false"/>
                <w:i/>
                <w:iCs/>
                <w:sz w:val="18"/>
                <w:szCs w:val="18"/>
              </w:rPr>
              <w:t>Emergency Room</w:t>
            </w:r>
            <w:r>
              <w:rPr>
                <w:rFonts w:eastAsia="Cambria" w:cs="Cambria"/>
                <w:b w:val="false"/>
                <w:bCs w:val="false"/>
                <w:i w:val="false"/>
                <w:iCs w:val="false"/>
                <w:sz w:val="18"/>
                <w:szCs w:val="18"/>
              </w:rPr>
              <w:t>, 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Durchschnittlicher vereinbarter Preis 2021: 1.317 $ (nur Arzt) bis 2.909 $ (mit Nebenleistungen)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Akut, nicht lebensbedrohlich: Fieber, Verstauchung, kleine Wunde, Harnwegsinfekt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ohne Termin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 2022: 220 $; Eigenanteil meist wie beim Hausarzt (Beispiele 9–83 $)</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Rezept, leichter 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oder Telemedizin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 im Schnitt 27 $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stammen vom Health Care Cost Institute (Daten kommerziell Versicherter) und sind nicht dein Eigenanteil. Ohne Versicherung nennen Verbraucherportale für die Notaufnahme grob 1.500–3.000 $, für Urgent Care 125–300 $. Im Netzwerk deckelt das Out-of-Pocket-Maximum dein Risiko; ohne Versicherung fehlt dieser Deckel, dann helfen Preisverhandlung, Zahlungsplan und Kostenübernahme (siehe unten).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Krankenwagen ist die Lücke im System. Der No Surprises Act schützt bei Boden-Rettungswagen nicht: 2018 enthielten 51 % der Notfallfahrten in Großarbeitgeberplänen einen Out-of-Network-Anteil. Verbraucherportale nennen meist mehrere Hundert bis über 1.000 $ je Fahrt plus Meilenzuschlag. Über 20 Staaten haben eigene Schutzgesetze (Stand Februar 2026), die nicht für alle Arbeitgeberpläne gelten. Bei Lebensgefahr wählst du trotzdem 911; die Rechnung lässt sich später prüfen und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Rezepte und Apotheken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Medikamente kaufst du in der </w:t>
      </w:r>
      <w:r>
        <w:rPr>
          <w:rFonts w:eastAsia="Cambria" w:cs="Cambria"/>
          <w:b w:val="false"/>
          <w:bCs w:val="false"/>
          <w:i/>
          <w:iCs/>
          <w:sz w:val="22"/>
          <w:szCs w:val="22"/>
        </w:rPr>
        <w:t>Pharmacy</w:t>
      </w:r>
      <w:r>
        <w:rPr>
          <w:rFonts w:eastAsia="Cambria" w:cs="Cambria"/>
          <w:b w:val="false"/>
          <w:bCs w:val="false"/>
          <w:i w:val="false"/>
          <w:iCs w:val="false"/>
          <w:sz w:val="22"/>
          <w:szCs w:val="22"/>
        </w:rPr>
        <w:t xml:space="preserve"> (Apotheke), die oft in Drogerie- und Supermarktketten steckt. Ein deutsches Rezept löst sie nicht ein; du brauchst eine Verschreibung eines in den USA zugelassenen Arztes (Vorrat und Arztbrief: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Wirkstoffnamen helfen: Paracetamol heißt in den USA </w:t>
      </w:r>
      <w:r>
        <w:rPr>
          <w:rFonts w:eastAsia="Cambria" w:cs="Cambria"/>
          <w:b w:val="false"/>
          <w:bCs w:val="false"/>
          <w:i/>
          <w:iCs/>
          <w:sz w:val="22"/>
          <w:szCs w:val="22"/>
        </w:rPr>
        <w:t>Acetaminophen</w:t>
      </w:r>
      <w:r>
        <w:rPr>
          <w:rFonts w:eastAsia="Cambria" w:cs="Cambria"/>
          <w:b w:val="false"/>
          <w:bCs w:val="false"/>
          <w:i w:val="false"/>
          <w:iCs w:val="false"/>
          <w:sz w:val="22"/>
          <w:szCs w:val="22"/>
        </w:rPr>
        <w:t>. Frei verkäufliche Mittel (</w:t>
      </w:r>
      <w:r>
        <w:rPr>
          <w:rFonts w:eastAsia="Cambria" w:cs="Cambria"/>
          <w:b w:val="false"/>
          <w:bCs w:val="false"/>
          <w:i/>
          <w:iCs/>
          <w:sz w:val="22"/>
          <w:szCs w:val="22"/>
        </w:rPr>
        <w:t>Over-the-Counter</w:t>
      </w:r>
      <w:r>
        <w:rPr>
          <w:rFonts w:eastAsia="Cambria" w:cs="Cambria"/>
          <w:b w:val="false"/>
          <w:bCs w:val="false"/>
          <w:i w:val="false"/>
          <w:iCs w:val="false"/>
          <w:sz w:val="22"/>
          <w:szCs w:val="22"/>
        </w:rPr>
        <w:t>, OTC) gibt es in großer Auswahl.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Pläne führen eine Arzneimittelliste (</w:t>
      </w:r>
      <w:r>
        <w:rPr>
          <w:rFonts w:eastAsia="Cambria" w:cs="Cambria"/>
          <w:b w:val="false"/>
          <w:bCs w:val="false"/>
          <w:i/>
          <w:iCs/>
          <w:sz w:val="22"/>
          <w:szCs w:val="22"/>
        </w:rPr>
        <w:t>Formulary</w:t>
      </w:r>
      <w:r>
        <w:rPr>
          <w:rFonts w:eastAsia="Cambria" w:cs="Cambria"/>
          <w:b w:val="false"/>
          <w:bCs w:val="false"/>
          <w:i w:val="false"/>
          <w:iCs w:val="false"/>
          <w:sz w:val="22"/>
          <w:szCs w:val="22"/>
        </w:rPr>
        <w:t>) mit Preisstufen. Im Schnitt zahlst du bei Plänen mit mindestens drei Stufen 12 $ Copay für Generika, 40 $ für bevorzugte Markenpräparate und 71 $ für nicht bevorzugte (KFF 2025). Generika sind wirkstoffgleich und billiger: Laut der Arzneimittelbehörde FDA sinkt der Preis mit einem Wettbewerber um etwa 30 %, mit fünf um etwa 85 %.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rFonts w:eastAsia="Cambria" w:cs="Cambria"/>
                <w:b w:val="false"/>
                <w:bCs w:val="false"/>
                <w:i/>
                <w:iCs/>
                <w:sz w:val="20"/>
                <w:szCs w:val="20"/>
              </w:rPr>
              <w:t>Mail Order</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und Augen: getrennte 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Zahn- und Augenleistungen für Erwachsene sind in der Krankenversicherung meist nicht enthalten. Dafür gibt es eigene Pläne (</w:t>
      </w:r>
      <w:r>
        <w:rPr>
          <w:rFonts w:eastAsia="Cambria" w:cs="Cambria"/>
          <w:b w:val="false"/>
          <w:bCs w:val="false"/>
          <w:i/>
          <w:iCs/>
          <w:sz w:val="22"/>
          <w:szCs w:val="22"/>
        </w:rPr>
        <w:t>Dental</w:t>
      </w:r>
      <w:r>
        <w:rPr>
          <w:rFonts w:eastAsia="Cambria" w:cs="Cambria"/>
          <w:b w:val="false"/>
          <w:bCs w:val="false"/>
          <w:i w:val="false"/>
          <w:iCs w:val="false"/>
          <w:sz w:val="22"/>
          <w:szCs w:val="22"/>
        </w:rPr>
        <w:t xml:space="preserve"> und </w:t>
      </w:r>
      <w:r>
        <w:rPr>
          <w:rFonts w:eastAsia="Cambria" w:cs="Cambria"/>
          <w:b w:val="false"/>
          <w:bCs w:val="false"/>
          <w:i/>
          <w:iCs/>
          <w:sz w:val="22"/>
          <w:szCs w:val="22"/>
        </w:rPr>
        <w:t>Vision</w:t>
      </w:r>
      <w:r>
        <w:rPr>
          <w:rFonts w:eastAsia="Cambria" w:cs="Cambria"/>
          <w:b w:val="false"/>
          <w:bCs w:val="false"/>
          <w:i w:val="false"/>
          <w:iCs w:val="false"/>
          <w:sz w:val="22"/>
          <w:szCs w:val="22"/>
        </w:rPr>
        <w:t>), oft über den Arbeitgeber gegen einen kleinen Zusatzbeitrag. Dental-Pläne haben eine Jahreshöchstleistung (</w:t>
      </w:r>
      <w:r>
        <w:rPr>
          <w:rFonts w:eastAsia="Cambria" w:cs="Cambria"/>
          <w:b w:val="false"/>
          <w:bCs w:val="false"/>
          <w:i/>
          <w:iCs/>
          <w:sz w:val="22"/>
          <w:szCs w:val="22"/>
        </w:rPr>
        <w:t>Annual Maximum</w:t>
      </w:r>
      <w:r>
        <w:rPr>
          <w:rFonts w:eastAsia="Cambria" w:cs="Cambria"/>
          <w:b w:val="false"/>
          <w:bCs w:val="false"/>
          <w:i w:val="false"/>
          <w:iCs w:val="false"/>
          <w:sz w:val="22"/>
          <w:szCs w:val="22"/>
        </w:rPr>
        <w:t>) von meist 1.000–2.000 $; darüber zahlst du selbst. Kontrolle und Reinigung werden häufig voll erstattet, Füllungen und Kronen zu einem geringeren Anteil; bei Einzelverträgen gelten für größere Leistungen oft sechs bis zwölf Monate Wartefrist (Arbeitgeberpläne meist ohne). Kieferorthopädie hat meist ein Lebenszeit-Maximum von 1.000–3.000 $ und wird oft zur Hälfte erstattet.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Versicherung liegen die Preise so (Spannen laut Verbraucherportalen 2026, regional stark schwankend):</w:t>
      </w:r>
    </w:p>
    <w:tbl>
      <w:tblPr>
        <w:tblW w:w="6480" w:type="dxa"/>
        <w:jc w:val="left"/>
        <w:tblInd w:w="0" w:type="dxa"/>
        <w:tblLayout w:type="fixed"/>
        <w:tblCellMar>
          <w:top w:w="50" w:type="dxa"/>
          <w:left w:w="80" w:type="dxa"/>
          <w:bottom w:w="50" w:type="dxa"/>
          <w:right w:w="80" w:type="dxa"/>
        </w:tblCellMar>
      </w:tblPr>
      <w:tblGrid>
        <w:gridCol w:w="3418"/>
        <w:gridCol w:w="3061"/>
      </w:tblGrid>
      <w:tr>
        <w:trPr>
          <w:tblHeader w:val="true"/>
          <w:cantSplit w:val="true"/>
        </w:trPr>
        <w:tc>
          <w:tcPr>
            <w:tcW w:w="34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3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 ohne Versicherung</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mit Röntgen und Reinigung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150–350 $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Füllung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teils bis 600 $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Krone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800–1.700 $, Vollkeramik oder Gold bis 3.000 $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Augenuntersuchung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70–110 $ (Ketten), 120–250 $ (Optiker)</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Brille (Gestell und Gläser)</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180–400 $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Zahnarztschulen der Universitäten und Gesundheitszentren (</w:t>
            </w:r>
            <w:r>
              <w:rPr>
                <w:rFonts w:eastAsia="Cambria" w:cs="Cambria"/>
                <w:b w:val="false"/>
                <w:bCs w:val="false"/>
                <w:i/>
                <w:iCs/>
                <w:sz w:val="20"/>
                <w:szCs w:val="20"/>
              </w:rPr>
              <w:t>Community Health Centers</w:t>
            </w:r>
            <w:r>
              <w:rPr>
                <w:rFonts w:eastAsia="Cambria" w:cs="Cambria"/>
                <w:b w:val="false"/>
                <w:bCs w:val="false"/>
                <w:i w:val="false"/>
                <w:iCs w:val="false"/>
                <w:sz w:val="20"/>
                <w:szCs w:val="20"/>
              </w:rPr>
              <w:t>) behandeln oft deutlich günstiger. Praxen bieten Unversicherten teils Jahresmitgliedschaften (200–400 $) mit Rabatt an; frage nach einem Selbstzahler-Nachlass. Aufwendige Zahnbehandlungen und die Brille erledigst du besser noch in Deutschland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Impfungen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meldest du über den Familientarif an. Vorsorgetermine beim Kinderarzt (</w:t>
      </w:r>
      <w:r>
        <w:rPr>
          <w:rFonts w:eastAsia="Cambria" w:cs="Cambria"/>
          <w:b w:val="false"/>
          <w:bCs w:val="false"/>
          <w:i/>
          <w:iCs/>
          <w:sz w:val="22"/>
          <w:szCs w:val="22"/>
        </w:rPr>
        <w:t>Well-Child Visits</w:t>
      </w:r>
      <w:r>
        <w:rPr>
          <w:rFonts w:eastAsia="Cambria" w:cs="Cambria"/>
          <w:b w:val="false"/>
          <w:bCs w:val="false"/>
          <w:i w:val="false"/>
          <w:iCs w:val="false"/>
          <w:sz w:val="22"/>
          <w:szCs w:val="22"/>
        </w:rPr>
        <w:t xml:space="preserve">) und empfohlene Impfungen sind im Netzwerk meist ohne Zuzahlung. Suche den </w:t>
      </w:r>
      <w:r>
        <w:rPr>
          <w:rFonts w:eastAsia="Cambria" w:cs="Cambria"/>
          <w:b w:val="false"/>
          <w:bCs w:val="false"/>
          <w:i/>
          <w:iCs/>
          <w:sz w:val="22"/>
          <w:szCs w:val="22"/>
        </w:rPr>
        <w:t>Pediatrician</w:t>
      </w:r>
      <w:r>
        <w:rPr>
          <w:rFonts w:eastAsia="Cambria" w:cs="Cambria"/>
          <w:b w:val="false"/>
          <w:bCs w:val="false"/>
          <w:i w:val="false"/>
          <w:iCs w:val="false"/>
          <w:sz w:val="22"/>
          <w:szCs w:val="22"/>
        </w:rPr>
        <w:t xml:space="preserve"> früh und bringe Impfpass, Vorsorgeheft und Befunde in englischer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Ein Neugeborenes meldest du im Arbeitgeberplan binnen 30 Tagen an, die Deckung gilt rückwirkend ab Geburt; beim Marktplatz gelten 60 Tage. Eine Geburt kostet im Arbeitgeberplan im Schnitt 20.416 $, der Eigenanteil liegt bei 2.743 $ (Peterson-KFF, Daten 2021–2023). Schwangerschaft, Geburt und Elternzeit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Überbrückungspläne schließen sie oft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Psychotherapie und Krisenhilfe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Psychotherapie läuft über frei praktizierende Therapeuten, die nicht immer mit Versicherern abrechnen. Eine Sitzung kostet ohne Versicherung etwa 80–200 $; das gemeinnützige Open Path Collective vermittelt Sitzungen für 40–70 $ (einmalig 65 $ Mitgliedsgebühr), im Netzwerk zahlst du meist nur einen Copay. Der Zugang ist nicht überall leicht: Nur 70 % der Arbeitgeber glauben, dass ihr größter Plan zeitnah psychische Hilfe bietet (beim Hausarzt 92 %).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Arbeitgeber haben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akuten Krisen erreichst du die </w:t>
      </w:r>
      <w:r>
        <w:rPr>
          <w:rFonts w:eastAsia="Cambria" w:cs="Cambria"/>
          <w:b w:val="false"/>
          <w:bCs w:val="false"/>
          <w:i/>
          <w:iCs/>
          <w:sz w:val="22"/>
          <w:szCs w:val="22"/>
        </w:rPr>
        <w:t>988 Suicide &amp; Crisis Lifeline</w:t>
      </w:r>
      <w:r>
        <w:rPr>
          <w:rFonts w:eastAsia="Cambria" w:cs="Cambria"/>
          <w:b w:val="false"/>
          <w:bCs w:val="false"/>
          <w:i w:val="false"/>
          <w:iCs w:val="false"/>
          <w:sz w:val="22"/>
          <w:szCs w:val="22"/>
        </w:rPr>
        <w:t xml:space="preserve"> rund um die Uhr per Anruf, SMS oder Chat, kostenlos, mit Dolmetschern in über 240 Sprachen. Bei Lebensgefahr wählst du 911. Heimweh, Kulturschock und Paare unter Stress: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Rechnungen lesen, prüfen und verhandeln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einem Arztbesuch kommt zuerst die EOB, sie zeigt, was die Praxis berechnet hat (</w:t>
      </w:r>
      <w:r>
        <w:rPr>
          <w:rFonts w:eastAsia="Cambria" w:cs="Cambria"/>
          <w:b w:val="false"/>
          <w:bCs w:val="false"/>
          <w:i/>
          <w:iCs/>
          <w:sz w:val="22"/>
          <w:szCs w:val="22"/>
        </w:rPr>
        <w:t>Billed</w:t>
      </w:r>
      <w:r>
        <w:rPr>
          <w:rFonts w:eastAsia="Cambria" w:cs="Cambria"/>
          <w:b w:val="false"/>
          <w:bCs w:val="false"/>
          <w:i w:val="false"/>
          <w:iCs w:val="false"/>
          <w:sz w:val="22"/>
          <w:szCs w:val="22"/>
        </w:rPr>
        <w:t>), den mit dem Netzwerk vereinbarten Preis (</w:t>
      </w:r>
      <w:r>
        <w:rPr>
          <w:rFonts w:eastAsia="Cambria" w:cs="Cambria"/>
          <w:b w:val="false"/>
          <w:bCs w:val="false"/>
          <w:i/>
          <w:iCs/>
          <w:sz w:val="22"/>
          <w:szCs w:val="22"/>
        </w:rPr>
        <w:t>Allowed Amount</w:t>
      </w:r>
      <w:r>
        <w:rPr>
          <w:rFonts w:eastAsia="Cambria" w:cs="Cambria"/>
          <w:b w:val="false"/>
          <w:bCs w:val="false"/>
          <w:i w:val="false"/>
          <w:iCs w:val="false"/>
          <w:sz w:val="22"/>
          <w:szCs w:val="22"/>
        </w:rPr>
        <w:t>), was der Plan zahlt und was du schuldest. Erst danach folgt die Rechnung, oft in mehreren Teilen — Klinik, Arzt, Labor, Radiologie und Anästhesie schicken getrennt.</w:t>
      </w:r>
    </w:p>
    <w:p>
      <w:pPr>
        <w:pStyle w:val="ListParagraph"/>
        <w:numPr>
          <w:ilvl w:val="0"/>
          <w:numId w:val="154"/>
        </w:numPr>
        <w:spacing w:lineRule="exact" w:line="288" w:before="0" w:after="60"/>
        <w:rPr/>
      </w:pPr>
      <w:r>
        <w:rPr>
          <w:rFonts w:eastAsia="Cambria" w:cs="Cambria"/>
          <w:b w:val="false"/>
          <w:bCs w:val="false"/>
          <w:i w:val="false"/>
          <w:iCs w:val="false"/>
          <w:sz w:val="22"/>
          <w:szCs w:val="22"/>
        </w:rPr>
        <w:t>Warte auf die EOB und gleiche sie mit jeder Rechnung ab. Zahle nur den Betrag, den die EOB als deinen Anteil ausweist.</w:t>
      </w:r>
    </w:p>
    <w:p>
      <w:pPr>
        <w:pStyle w:val="ListParagraph"/>
        <w:numPr>
          <w:ilvl w:val="0"/>
          <w:numId w:val="155"/>
        </w:numPr>
        <w:spacing w:lineRule="exact" w:line="288" w:before="0" w:after="60"/>
        <w:rPr/>
      </w:pPr>
      <w:r>
        <w:rPr>
          <w:rFonts w:eastAsia="Cambria" w:cs="Cambria"/>
          <w:b w:val="false"/>
          <w:bCs w:val="false"/>
          <w:i w:val="false"/>
          <w:iCs w:val="false"/>
          <w:sz w:val="22"/>
          <w:szCs w:val="22"/>
        </w:rPr>
        <w:t>Fordere bei Unklarheiten eine Einzelaufstellung (</w:t>
      </w:r>
      <w:r>
        <w:rPr>
          <w:rFonts w:eastAsia="Cambria" w:cs="Cambria"/>
          <w:b w:val="false"/>
          <w:bCs w:val="false"/>
          <w:i/>
          <w:iCs/>
          <w:sz w:val="22"/>
          <w:szCs w:val="22"/>
        </w:rPr>
        <w:t>Itemized Bill</w:t>
      </w:r>
      <w:r>
        <w:rPr>
          <w:rFonts w:eastAsia="Cambria" w:cs="Cambria"/>
          <w:b w:val="false"/>
          <w:bCs w:val="false"/>
          <w:i w:val="false"/>
          <w:iCs w:val="false"/>
          <w:sz w:val="22"/>
          <w:szCs w:val="22"/>
        </w:rPr>
        <w:t>) an und prüfe sie auf doppelte Posten und falsche Leistungen.</w:t>
      </w:r>
    </w:p>
    <w:p>
      <w:pPr>
        <w:pStyle w:val="ListParagraph"/>
        <w:numPr>
          <w:ilvl w:val="0"/>
          <w:numId w:val="156"/>
        </w:numPr>
        <w:spacing w:lineRule="exact" w:line="288" w:before="0" w:after="60"/>
        <w:rPr/>
      </w:pPr>
      <w:r>
        <w:rPr>
          <w:rFonts w:eastAsia="Cambria" w:cs="Cambria"/>
          <w:b w:val="false"/>
          <w:bCs w:val="false"/>
          <w:i w:val="false"/>
          <w:iCs w:val="false"/>
          <w:sz w:val="22"/>
          <w:szCs w:val="22"/>
        </w:rPr>
        <w:t>Widersprich Fehlern schriftlich beim Versicherer (</w:t>
      </w:r>
      <w:r>
        <w:rPr>
          <w:rFonts w:eastAsia="Cambria" w:cs="Cambria"/>
          <w:b w:val="false"/>
          <w:bCs w:val="false"/>
          <w:i/>
          <w:iCs/>
          <w:sz w:val="22"/>
          <w:szCs w:val="22"/>
        </w:rPr>
        <w:t>Appeal</w:t>
      </w:r>
      <w:r>
        <w:rPr>
          <w:rFonts w:eastAsia="Cambria" w:cs="Cambria"/>
          <w:b w:val="false"/>
          <w:bCs w:val="false"/>
          <w:i w:val="false"/>
          <w:iCs w:val="false"/>
          <w:sz w:val="22"/>
          <w:szCs w:val="22"/>
        </w:rPr>
        <w:t>). Notiere bei jedem Anruf Datum, Name und Referenznummer.</w:t>
      </w:r>
    </w:p>
    <w:p>
      <w:pPr>
        <w:pStyle w:val="ListParagraph"/>
        <w:numPr>
          <w:ilvl w:val="0"/>
          <w:numId w:val="157"/>
        </w:numPr>
        <w:spacing w:lineRule="exact" w:line="288" w:before="0" w:after="60"/>
        <w:rPr/>
      </w:pPr>
      <w:r>
        <w:rPr>
          <w:rFonts w:eastAsia="Cambria" w:cs="Cambria"/>
          <w:b w:val="false"/>
          <w:bCs w:val="false"/>
          <w:i w:val="false"/>
          <w:iCs w:val="false"/>
          <w:sz w:val="22"/>
          <w:szCs w:val="22"/>
        </w:rPr>
        <w:t>Verhandle: Frage nach zinslosem Zahlungsplan, Selbstzahler-Rabatt oder Nachlass bei Sofortzahlung.</w:t>
      </w:r>
    </w:p>
    <w:p>
      <w:pPr>
        <w:pStyle w:val="ListParagraph"/>
        <w:numPr>
          <w:ilvl w:val="0"/>
          <w:numId w:val="158"/>
        </w:numPr>
        <w:spacing w:lineRule="exact" w:line="288" w:before="0" w:after="60"/>
        <w:rPr/>
      </w:pPr>
      <w:r>
        <w:rPr>
          <w:rFonts w:eastAsia="Cambria" w:cs="Cambria"/>
          <w:b w:val="false"/>
          <w:bCs w:val="false"/>
          <w:i w:val="false"/>
          <w:iCs w:val="false"/>
          <w:sz w:val="22"/>
          <w:szCs w:val="22"/>
        </w:rPr>
        <w:t xml:space="preserve">Beantrage bei gemeinnützigen Krankenhäusern </w:t>
      </w:r>
      <w:r>
        <w:rPr>
          <w:rFonts w:eastAsia="Cambria" w:cs="Cambria"/>
          <w:b w:val="false"/>
          <w:bCs w:val="false"/>
          <w:i/>
          <w:iCs/>
          <w:sz w:val="22"/>
          <w:szCs w:val="22"/>
        </w:rPr>
        <w:t>Financial Assistance</w:t>
      </w:r>
      <w:r>
        <w:rPr>
          <w:rFonts w:eastAsia="Cambria" w:cs="Cambria"/>
          <w:b w:val="false"/>
          <w:bCs w:val="false"/>
          <w:i w:val="false"/>
          <w:iCs w:val="false"/>
          <w:sz w:val="22"/>
          <w:szCs w:val="22"/>
        </w:rPr>
        <w:t xml:space="preserve"> (Kostenübernahme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Rechnungen nie: Unbezahlte Beträge gehen an Inkasso. Eine Bundesregel, die Medical Debt aus Kreditberichten verbannt hätte, wurde am 11. Juli 2025 gerichtlich aufgehoben. Die drei großen Auskunfteien melden freiwillig keine bezahlten Forderungen und keine unter 500 $, und 15 Staaten haben eigene Gesetze. Zur Kreditwürdigkeit siehe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(seit 1. Januar 2022) verbietet überraschende Zusatzrechnungen (</w:t>
      </w:r>
      <w:r>
        <w:rPr>
          <w:rFonts w:eastAsia="Cambria" w:cs="Cambria"/>
          <w:b w:val="false"/>
          <w:bCs w:val="false"/>
          <w:i/>
          <w:iCs/>
          <w:sz w:val="22"/>
          <w:szCs w:val="22"/>
        </w:rPr>
        <w:t>Balance Billing</w:t>
      </w:r>
      <w:r>
        <w:rPr>
          <w:rFonts w:eastAsia="Cambria" w:cs="Cambria"/>
          <w:b w:val="false"/>
          <w:bCs w:val="false"/>
          <w:i w:val="false"/>
          <w:iCs w:val="false"/>
          <w:sz w:val="22"/>
          <w:szCs w:val="22"/>
        </w:rPr>
        <w:t>) in drei Fällen: bei Notfallbehandlung, auch außerhalb des Netzwerks; bei Ärzten außerhalb des Netzwerks in einem Netzwerk-Krankenhaus oder einer Netzwerk-Ambulanz; und bei Luftrettung — dann zahlst du nur den Netzwerk-Anteil. Bei planbaren Leistungen kann dir ein Anbieter ein Formular zum Verzicht auf den Schutz vorlegen; unterschreibe es nicht unter Zeitdruck. Als Selbstzahler hast du bei Terminen ab drei Werktagen Vorlauf Anspruch auf einen Kostenvoranschlag (</w:t>
      </w:r>
      <w:r>
        <w:rPr>
          <w:rFonts w:eastAsia="Cambria" w:cs="Cambria"/>
          <w:b w:val="false"/>
          <w:bCs w:val="false"/>
          <w:i/>
          <w:iCs/>
          <w:sz w:val="22"/>
          <w:szCs w:val="22"/>
        </w:rPr>
        <w:t>Good Faith Estimate</w:t>
      </w:r>
      <w:r>
        <w:rPr>
          <w:rFonts w:eastAsia="Cambria" w:cs="Cambria"/>
          <w:b w:val="false"/>
          <w:bCs w:val="false"/>
          <w:i w:val="false"/>
          <w:iCs w:val="false"/>
          <w:sz w:val="22"/>
          <w:szCs w:val="22"/>
        </w:rPr>
        <w:t>); liegt die Rechnung um 400 $ oder mehr darüber, kannst du ein Streitverfahren einleiten. Beschwerden: CMS-Hotline 1-800-985-3059.</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Deductible 1.500 $ pro Person. Im November bricht sich Lena (9) beim Schulsport das Handgelenk: Urgent Care, Röntgen, Schiene – stolz hält sie zu Hause ihren pinken Gips hoch, als wäre er ein Souvenir. Zwei Wochen später kommen zwei EOBs und zwei Rechnungen. Die Urgent Care berechnet 1.180 $, vereinbart sind 640 $. Die Radiologiepraxis, die das Bild befundet hat, berechnet 210 $, vereinbart sind 85 $. Weil Lenas Deductible noch offen ist, schuldet die Familie 640 $ plus 85 $, also 725 $, und nicht 1.390 $. Markus gleicht EOBs und Rechnungen ab, zahlt die vereinbarten Beträge und legt die Belege in einen Ordner. Von Lenas Deductible bleiben 775 $.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Jobverlust: COBRA und Marktplatz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Endet der Job, endet meist auch die Arbeitgeberdeckung, je nach Firma am letzten Arbeitstag oder zum Monatsende. Es bleiben drei Wege:</w:t>
      </w:r>
    </w:p>
    <w:p>
      <w:pPr>
        <w:pStyle w:val="ListParagraph"/>
        <w:numPr>
          <w:ilvl w:val="0"/>
          <w:numId w:val="1"/>
        </w:numPr>
        <w:spacing w:lineRule="exact" w:line="288" w:before="0" w:after="60"/>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Du führst den bisherigen Plan fort, bei Kündigung oder Stundenkürzung 18 Monate, bei Folgeereignissen wie Scheidung oder Tod des Versicherten bis zu 36 Monate. Das gilt bei Arbeitgebern ab 20 Beschäftigten. Du zahlst die volle Prämie (Arbeitgeber- und Arbeitnehmeranteil) plus 2 %: rechnerisch aus dem KFF-Durchschnitt ca. 790 $ im Monat für die Einzelperson und ca. 2.290 $ für die Familie.</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Der Verlust der Arbeitgeberdeckung löst ein Sonderfenster aus (60 Tage vor bis 60 Tage nach dem Verlust). Ab 2027 für Visa-Inhaber ohne Zuschuss.</w:t>
      </w:r>
    </w:p>
    <w:p>
      <w:pPr>
        <w:pStyle w:val="ListParagraph"/>
        <w:numPr>
          <w:ilvl w:val="0"/>
          <w:numId w:val="1"/>
        </w:numPr>
        <w:spacing w:lineRule="exact" w:line="288" w:before="0" w:after="60"/>
        <w:rPr/>
      </w:pPr>
      <w:r>
        <w:rPr>
          <w:rFonts w:eastAsia="Cambria" w:cs="Cambria"/>
          <w:b/>
          <w:bCs/>
          <w:i w:val="false"/>
          <w:iCs w:val="false"/>
          <w:sz w:val="22"/>
          <w:szCs w:val="22"/>
        </w:rPr>
        <w:t>Partnerplan:</w:t>
      </w:r>
      <w:r>
        <w:rPr>
          <w:rFonts w:eastAsia="Cambria" w:cs="Cambria"/>
          <w:b w:val="false"/>
          <w:bCs w:val="false"/>
          <w:i w:val="false"/>
          <w:iCs w:val="false"/>
          <w:sz w:val="22"/>
          <w:szCs w:val="22"/>
        </w:rPr>
        <w:t xml:space="preserve"> Hat dein Partner einen eigenen Arbeitgeberplan, kannst du dort einsteigen; auch das ist ein Sonderfenster.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Aufenthaltsstatus läuft nach einer Kündigung nur begrenzt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die Versicherungsfristen und die Statusfristen sind zwei getrennte Uhren.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Marktplatz und Zuschüsse: der Stand für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Marktplatz (</w:t>
      </w:r>
      <w:r>
        <w:rPr>
          <w:rFonts w:eastAsia="Cambria" w:cs="Cambria"/>
          <w:b w:val="false"/>
          <w:bCs w:val="false"/>
          <w:i/>
          <w:iCs/>
          <w:sz w:val="22"/>
          <w:szCs w:val="22"/>
        </w:rPr>
        <w:t>Marketplace</w:t>
      </w:r>
      <w:r>
        <w:rPr>
          <w:rFonts w:eastAsia="Cambria" w:cs="Cambria"/>
          <w:b w:val="false"/>
          <w:bCs w:val="false"/>
          <w:i w:val="false"/>
          <w:iCs w:val="false"/>
          <w:sz w:val="22"/>
          <w:szCs w:val="22"/>
        </w:rPr>
        <w:t>, über healthcare.gov oder das Portal deines Staates) verkauft Pläne in vier Stufen: Bronze, Silber, Gold und Platin, die im Schnitt etwa 60, 70, 80 und 90 % der Kosten übernehmen. Kaufen dürfen auch rechtmäßig Anwesende (</w:t>
      </w:r>
      <w:r>
        <w:rPr>
          <w:rFonts w:eastAsia="Cambria" w:cs="Cambria"/>
          <w:b w:val="false"/>
          <w:bCs w:val="false"/>
          <w:i/>
          <w:iCs/>
          <w:sz w:val="22"/>
          <w:szCs w:val="22"/>
        </w:rPr>
        <w:t>Lawfully Present</w:t>
      </w:r>
      <w:r>
        <w:rPr>
          <w:rFonts w:eastAsia="Cambria" w:cs="Cambria"/>
          <w:b w:val="false"/>
          <w:bCs w:val="false"/>
          <w:i w:val="false"/>
          <w:iCs w:val="false"/>
          <w:sz w:val="22"/>
          <w:szCs w:val="22"/>
        </w:rPr>
        <w:t>), darunter Inhaber von Arbeits- und Studentenvisa. Die Einschreibung für 2027 läuft vom 1. November 2026 bis 15. Januar 2027; Deckung ab 1. Januar gibt es bei Wahl bis 15. Dezember, sonst ab 1. Februar.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bezuschusst Prämien (</w:t>
      </w:r>
      <w:r>
        <w:rPr>
          <w:rFonts w:eastAsia="Cambria" w:cs="Cambria"/>
          <w:b w:val="false"/>
          <w:bCs w:val="false"/>
          <w:i/>
          <w:iCs/>
          <w:sz w:val="22"/>
          <w:szCs w:val="22"/>
        </w:rPr>
        <w:t>Premium Tax Credit</w:t>
      </w:r>
      <w:r>
        <w:rPr>
          <w:rFonts w:eastAsia="Cambria" w:cs="Cambria"/>
          <w:b w:val="false"/>
          <w:bCs w:val="false"/>
          <w:i w:val="false"/>
          <w:iCs w:val="false"/>
          <w:sz w:val="22"/>
          <w:szCs w:val="22"/>
        </w:rPr>
        <w:t>) für Haushalte bis 400 % der Armutsgrenze. Stand September 2026: Die erhöhten Zuschüsse sind Ende 2025 ausgelaufen und bisher nicht wiederhergestellt, die 400-%-Grenze gilt wieder (für 2027 nach den Richtwerten von 2026 gerechnet rund 63.840 $ für eine Person und 132.000 $ für eine vierköpfige Familie). Die Prämien stiegen 2026 stark (Benchmark-Plan +26 %); für 2027 beantragen Versicherer im Median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gilt nach dem Gesetz „One Big Beautiful Bill Act“ (Juli 2025): Ab 1. Januar 2027 erhalten nur noch Green-Card-Inhaber und wenige andere Gruppen (kubanische und haitianische Einreisende, Bürger pazifischer Assoziierungsstaaten, COFA) Marktplatz-Zuschüsse. Inhaber von Arbeits- und Studentenvisa (H-1B, L-1, F-1, J-1 u. a.) verlieren sie, dürfen aber weiter zum Vollpreis kaufen. Überzahlte Vorschuss-Zuschüsse musst du ab dem Steuerjahr 2026 vollständig zurückzahlen.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Medicaid und CHIP (staatliche, einkommensabhängige Programme) sind ab 1. Oktober 2026 bundesfinanziert nur noch für Green-Card-Inhaber nach fünfjähriger Wartezeit und wenige andere Gruppen; Kinder und Schwangere sind in vielen Staaten über Sonderoptionen weiter abgedeckt. Für Arbeitsvisum-Familien spielt Medicaid wegen des Einkommens selten eine Rolle. Wer später eine Green Card beantragt, klärt den Bezug staatlicher Leistungen vorher mit dem Einwanderungsanwalt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F-1 und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J-1-Austauschbesucher und J-2-Angehörige schreibt die Bundesregel 22 CFR 62.14 eine Versicherung für das gesamte Programm vor: mindestens 100.000 $ je Unfall oder Krankheit, 25.000 $ für Repatriierung, 50.000 $ für Evakuierung, Selbstbehalt höchstens 500 $, Coinsurance höchstens 25 %. Für F-1-Studierende gibt es keine Bundespflicht, doch die meisten Hochschulen verlangen den Uni-Plan (</w:t>
      </w:r>
      <w:r>
        <w:rPr>
          <w:rFonts w:eastAsia="Cambria" w:cs="Cambria"/>
          <w:b w:val="false"/>
          <w:bCs w:val="false"/>
          <w:i/>
          <w:iCs/>
          <w:sz w:val="22"/>
          <w:szCs w:val="22"/>
        </w:rPr>
        <w:t>Student Health Insurance Plan</w:t>
      </w:r>
      <w:r>
        <w:rPr>
          <w:rFonts w:eastAsia="Cambria" w:cs="Cambria"/>
          <w:b w:val="false"/>
          <w:bCs w:val="false"/>
          <w:i w:val="false"/>
          <w:iCs w:val="false"/>
          <w:sz w:val="22"/>
          <w:szCs w:val="22"/>
        </w:rPr>
        <w:t>, SHIP) oder den Nachweis eines gleichwertigen Plans (</w:t>
      </w:r>
      <w:r>
        <w:rPr>
          <w:rFonts w:eastAsia="Cambria" w:cs="Cambria"/>
          <w:b w:val="false"/>
          <w:bCs w:val="false"/>
          <w:i/>
          <w:iCs/>
          <w:sz w:val="22"/>
          <w:szCs w:val="22"/>
        </w:rPr>
        <w:t>Waiver</w:t>
      </w:r>
      <w:r>
        <w:rPr>
          <w:rFonts w:eastAsia="Cambria" w:cs="Cambria"/>
          <w:b w:val="false"/>
          <w:bCs w:val="false"/>
          <w:i w:val="false"/>
          <w:iCs w:val="false"/>
          <w:sz w:val="22"/>
          <w:szCs w:val="22"/>
        </w:rPr>
        <w:t>). Veröffentlichte Tarife mehrerer Hochschulen für 2026/27 liegen bei etwa 1.900–3.900 $ pro Jahr; Angehörige kosten meist extra. Marktplatz-Zuschüsse entfallen für F-1 und J-1 ab 2027; prüfe das Enddatum deines Plans vor dem Abschluss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tragen im Schnitt ca. 84 % (Einzelperson) bzw. ca. 74 % (Familie) der Prämie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COBRA kostet rechnerisch ca. 790 $ im Monat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Out-of-Pocket-Maximum begrenzt das Jahresrisiko im Netzwerk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Lücke zwischen Ankunft und Deckungsbeginn von bis zu drei oder vier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und empfohlene Impfungen meist ohne Zuzahlung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und Telemedizin decken Alltagsfälle ohne Notaufnahmepreis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Netzwerkgrenzen, Vorabgenehmigungen, mehrere Rechnungen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steuerbegünstigtes Gesundheitskonto, das dir gehört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und Augen getrennt, mit Jahreshöchstleistung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PPO Facharzt ohne Überweisung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Boden-Rettungswagen nicht durch den No Surprises Act geschützt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 zwischen mehreren Plänen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Plan-Jahr oft ab 1. Januar: Der Selbstbehalt beginnt von vorn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Zusage beim HR schriftlich klären: Deckungsbeginn, Wartefrist, Einschreibefrist, Familienprämie, HSA-Beitrag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Überbrückung für die Lücke bis zum Deckungsbeginn organisieren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ersten Arbeitstag die Einschreibefrist notieren und die ganze Familie fristgerecht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wählen: teuerstes Jahr (12 × Prämie + Out-of-Pocket-Maximum) ausrechnen,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 und Kinderarzt suchen, „in-network“ telefonisch bestätigen lassen, Termin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Nächste Urgent Care, Telemedizin-Zugang und Notaufnahme im Netzwerk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Befunde in englischer Übersetzung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Dental- und Vision-Plan gesondert prüfen und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 Rechnung erst nach Abgleich mit der EOB zahlen; Belege und Gesprächsnotizen abheften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Fristen für den Jobverlust notieren: COBRA-Wahl 60 Tage, Marktplatz-Sonderfenster, Statusfristen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41">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Marktplatz, Plantypen, Sonderfenster, Einwanderungsstatus</w:t>
      </w:r>
    </w:p>
    <w:p>
      <w:pPr>
        <w:pStyle w:val="ListParagraph"/>
        <w:numPr>
          <w:ilvl w:val="0"/>
          <w:numId w:val="1"/>
        </w:numPr>
        <w:spacing w:lineRule="exact" w:line="288" w:before="0" w:after="60"/>
        <w:rPr/>
      </w:pPr>
      <w:hyperlink r:id="rId242">
        <w:r>
          <w:rPr>
            <w:rStyle w:val="ListLabel113"/>
            <w:rFonts w:eastAsia="Cambria" w:cs="Cambria"/>
            <w:b w:val="false"/>
            <w:bCs w:val="false"/>
            <w:i w:val="false"/>
            <w:iCs w:val="false"/>
            <w:color w:val="0563C1"/>
            <w:sz w:val="22"/>
            <w:szCs w:val="22"/>
            <w:u w:val="single"/>
          </w:rPr>
          <w:t>cms.gov/nosurprises/consumers</w:t>
        </w:r>
      </w:hyperlink>
      <w:r>
        <w:rPr>
          <w:rFonts w:eastAsia="Cambria" w:cs="Cambria"/>
          <w:b w:val="false"/>
          <w:bCs w:val="false"/>
          <w:i w:val="false"/>
          <w:iCs w:val="false"/>
          <w:sz w:val="22"/>
          <w:szCs w:val="22"/>
        </w:rPr>
        <w:t xml:space="preserve"> — No Surprises Act, Kostenvoranschlag, Beschwerdestelle</w:t>
      </w:r>
    </w:p>
    <w:p>
      <w:pPr>
        <w:pStyle w:val="ListParagraph"/>
        <w:numPr>
          <w:ilvl w:val="0"/>
          <w:numId w:val="1"/>
        </w:numPr>
        <w:spacing w:lineRule="exact" w:line="288" w:before="0" w:after="60"/>
        <w:rPr/>
      </w:pPr>
      <w:hyperlink r:id="rId243">
        <w:r>
          <w:rPr>
            <w:rStyle w:val="ListLabel113"/>
            <w:rFonts w:eastAsia="Cambria" w:cs="Cambria"/>
            <w:b w:val="false"/>
            <w:bCs w:val="false"/>
            <w:i w:val="false"/>
            <w:iCs w:val="false"/>
            <w:color w:val="0563C1"/>
            <w:sz w:val="22"/>
            <w:szCs w:val="22"/>
            <w:u w:val="single"/>
          </w:rPr>
          <w:t>dol.gov/agencies/ebsa</w:t>
        </w:r>
      </w:hyperlink>
      <w:r>
        <w:rPr>
          <w:rFonts w:eastAsia="Cambria" w:cs="Cambria"/>
          <w:b w:val="false"/>
          <w:bCs w:val="false"/>
          <w:i w:val="false"/>
          <w:iCs w:val="false"/>
          <w:sz w:val="22"/>
          <w:szCs w:val="22"/>
        </w:rPr>
        <w:t xml:space="preserve"> — COBRA, Wartefristen, Newborns’ Act</w:t>
      </w:r>
    </w:p>
    <w:p>
      <w:pPr>
        <w:pStyle w:val="ListParagraph"/>
        <w:numPr>
          <w:ilvl w:val="0"/>
          <w:numId w:val="1"/>
        </w:numPr>
        <w:spacing w:lineRule="exact" w:line="288" w:before="0" w:after="60"/>
        <w:rPr/>
      </w:pPr>
      <w:hyperlink r:id="rId244">
        <w:r>
          <w:rPr>
            <w:rStyle w:val="ListLabel113"/>
            <w:rFonts w:eastAsia="Cambria" w:cs="Cambria"/>
            <w:b w:val="false"/>
            <w:bCs w:val="false"/>
            <w:i w:val="false"/>
            <w:iCs w:val="false"/>
            <w:color w:val="0563C1"/>
            <w:sz w:val="22"/>
            <w:szCs w:val="22"/>
            <w:u w:val="single"/>
          </w:rPr>
          <w:t>irs.gov/publications/p969</w:t>
        </w:r>
      </w:hyperlink>
      <w:r>
        <w:rPr>
          <w:rFonts w:eastAsia="Cambria" w:cs="Cambria"/>
          <w:b w:val="false"/>
          <w:bCs w:val="false"/>
          <w:i w:val="false"/>
          <w:iCs w:val="false"/>
          <w:sz w:val="22"/>
          <w:szCs w:val="22"/>
        </w:rPr>
        <w:t xml:space="preserve"> — HSA und HDHP, jährliche Grenzwerte</w:t>
      </w:r>
    </w:p>
    <w:p>
      <w:pPr>
        <w:pStyle w:val="ListParagraph"/>
        <w:numPr>
          <w:ilvl w:val="0"/>
          <w:numId w:val="1"/>
        </w:numPr>
        <w:spacing w:lineRule="exact" w:line="288" w:before="0" w:after="60"/>
        <w:rPr/>
      </w:pPr>
      <w:hyperlink r:id="rId245">
        <w:r>
          <w:rPr>
            <w:rStyle w:val="ListLabel113"/>
            <w:rFonts w:eastAsia="Cambria" w:cs="Cambria"/>
            <w:b w:val="false"/>
            <w:bCs w:val="false"/>
            <w:i w:val="false"/>
            <w:iCs w:val="false"/>
            <w:color w:val="0563C1"/>
            <w:sz w:val="22"/>
            <w:szCs w:val="22"/>
            <w:u w:val="single"/>
          </w:rPr>
          <w:t>kff.org/health-costs/2025-employer-health-benefits-survey</w:t>
        </w:r>
      </w:hyperlink>
      <w:r>
        <w:rPr>
          <w:rFonts w:eastAsia="Cambria" w:cs="Cambria"/>
          <w:b w:val="false"/>
          <w:bCs w:val="false"/>
          <w:i w:val="false"/>
          <w:iCs w:val="false"/>
          <w:sz w:val="22"/>
          <w:szCs w:val="22"/>
        </w:rPr>
        <w:t xml:space="preserve"> — Prämien, Selbstbehalte, Wartefristen</w:t>
      </w:r>
    </w:p>
    <w:p>
      <w:pPr>
        <w:pStyle w:val="ListParagraph"/>
        <w:numPr>
          <w:ilvl w:val="0"/>
          <w:numId w:val="1"/>
        </w:numPr>
        <w:spacing w:lineRule="exact" w:line="288" w:before="0" w:after="60"/>
        <w:rPr/>
      </w:pPr>
      <w:hyperlink r:id="rId246">
        <w:r>
          <w:rPr>
            <w:rStyle w:val="ListLabel113"/>
            <w:rFonts w:eastAsia="Cambria" w:cs="Cambria"/>
            <w:b w:val="false"/>
            <w:bCs w:val="false"/>
            <w:i w:val="false"/>
            <w:iCs w:val="false"/>
            <w:color w:val="0563C1"/>
            <w:sz w:val="22"/>
            <w:szCs w:val="22"/>
            <w:u w:val="single"/>
          </w:rPr>
          <w:t>census.gov/library/publications/2026/demo/p60-291.html</w:t>
        </w:r>
      </w:hyperlink>
      <w:r>
        <w:rPr>
          <w:rFonts w:eastAsia="Cambria" w:cs="Cambria"/>
          <w:b w:val="false"/>
          <w:bCs w:val="false"/>
          <w:i w:val="false"/>
          <w:iCs w:val="false"/>
          <w:sz w:val="22"/>
          <w:szCs w:val="22"/>
        </w:rPr>
        <w:t xml:space="preserve"> — Versichertenstatistik 2025</w:t>
      </w:r>
    </w:p>
    <w:p>
      <w:pPr>
        <w:pStyle w:val="ListParagraph"/>
        <w:numPr>
          <w:ilvl w:val="0"/>
          <w:numId w:val="1"/>
        </w:numPr>
        <w:spacing w:lineRule="exact" w:line="288" w:before="0" w:after="60"/>
        <w:rPr/>
      </w:pPr>
      <w:hyperlink r:id="rId247">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 xml:space="preserve"> — Krisenhilfe rund um die Uhr</w:t>
      </w:r>
    </w:p>
    <w:p>
      <w:pPr>
        <w:pStyle w:val="ListParagraph"/>
        <w:numPr>
          <w:ilvl w:val="0"/>
          <w:numId w:val="1"/>
        </w:numPr>
        <w:spacing w:lineRule="exact" w:line="288" w:before="0" w:after="60"/>
        <w:rPr/>
      </w:pPr>
      <w:hyperlink r:id="rId24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 xml:space="preserve"> — Therapeutensuche der Bundesbehörde SAMHSA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Marktplatz-Zuschüsse und Statusprüfung ab 1. Januar 2027, Medicaid- und CHIP-Regeln ab 1. Oktober 2026, die endgültigen Prämien für 2027 (Herbst 2026), HSA- und Out-of-Pocket-Grenzwerte, Kurzzeitpläne sowie der CDC-Impfplan mit den laufenden Gerichtsverfahren. Kostenangaben sind Durchschnitte aus 2025 und 2026 (KFF, HCCI, Verbraucherportale); dein Plan kann stark abweichen. Prüfe vor jeder Entscheidung healthcare.gov und die Unterlagen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7" w:name="__RefHeading___Toc56490_3457424410"/>
      <w:bookmarkStart w:id="68" w:name="k27"/>
      <w:bookmarkEnd w:id="67"/>
      <w:r>
        <w:rPr>
          <w:rFonts w:eastAsia="Amazon Ember" w:cs="Amazon Ember" w:ascii="Amazon Ember" w:hAnsi="Amazon Ember"/>
          <w:b/>
          <w:bCs/>
          <w:color w:val="0000FF"/>
          <w:sz w:val="36"/>
          <w:szCs w:val="36"/>
        </w:rPr>
        <w:t>Kapitel 27: Führerschein, Auto und Mobilität</w:t>
      </w:r>
      <w:bookmarkEnd w:id="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Besucher darfst du meist bis zu 90 Tage mit dem deutschen Führerschein fahren. Sobald du Einwohner bist, gilt die Frist deines Bundesstaates: zehn Tage in Kalifornien, 30 in Washington, 90 in Texas.</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Prüfungen ablegen musst, entscheidet der Staat. Laut Quellen tauschen u. a. Texas, Washington, Arizona, Colorado, Michigan, Illinois, Massachusetts und Virginia ohne Prüfung; Kalifornien und New York verlangen sie.</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Reihenfolge lautet: SSN, Führerschein, Versicherung, Kauf, Zulassung.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Neuwagen kosteten im August 2026 im Schnitt 50.089 $, </w:t>
            </w:r>
            <w:r>
              <w:rPr>
                <w:rFonts w:eastAsia="Cambria" w:cs="Cambria"/>
                <w:b w:val="false"/>
                <w:bCs w:val="false"/>
                <w:i/>
                <w:iCs/>
                <w:sz w:val="20"/>
                <w:szCs w:val="20"/>
              </w:rPr>
              <w:t>Full Coverage</w:t>
            </w:r>
            <w:r>
              <w:rPr>
                <w:rFonts w:eastAsia="Cambria" w:cs="Cambria"/>
                <w:b w:val="false"/>
                <w:bCs w:val="false"/>
                <w:i w:val="false"/>
                <w:iCs w:val="false"/>
                <w:sz w:val="20"/>
                <w:szCs w:val="20"/>
              </w:rPr>
              <w:t xml:space="preserve"> (Haftpflicht plus Kasko) 2.241–2.922 $ im Jahr. Die deutsche SF-Klasse zählt meist nicht, und ohne Kredithistorie sind die Zinsen hoch.</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US-Grenze liegt bei 0,08 % BAC (Blutalkoholkonzentration), das sind 0,8 Promille. Ein </w:t>
            </w:r>
            <w:r>
              <w:rPr>
                <w:rFonts w:eastAsia="Cambria" w:cs="Cambria"/>
                <w:b w:val="false"/>
                <w:bCs w:val="false"/>
                <w:i/>
                <w:iCs/>
                <w:sz w:val="20"/>
                <w:szCs w:val="20"/>
              </w:rPr>
              <w:t>DUI</w:t>
            </w:r>
            <w:r>
              <w:rPr>
                <w:rFonts w:eastAsia="Cambria" w:cs="Cambria"/>
                <w:b w:val="false"/>
                <w:bCs w:val="false"/>
                <w:i w:val="false"/>
                <w:iCs w:val="false"/>
                <w:sz w:val="20"/>
                <w:szCs w:val="20"/>
              </w:rPr>
              <w:t xml:space="preserve"> (Fahren unter Alkoholeinfluss) kann deinen Aufenthaltsstatus gefährden.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Auto aus Deutschland mitzubringen lohnt fast nie.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dein deutscher Führerschein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in der Regel 90 Tage, unter Bedingungen bis zu einem Jahr. Danach brauchst du die Lizenz des Staates, in dem du wohnst.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Internationale Führerschein</w:t>
      </w:r>
      <w:r>
        <w:rPr>
          <w:rFonts w:eastAsia="Cambria" w:cs="Cambria"/>
          <w:b w:val="false"/>
          <w:bCs w:val="false"/>
          <w:i w:val="false"/>
          <w:iCs w:val="false"/>
          <w:sz w:val="22"/>
          <w:szCs w:val="22"/>
        </w:rPr>
        <w:t xml:space="preserve"> (</w:t>
      </w:r>
      <w:r>
        <w:rPr>
          <w:rFonts w:eastAsia="Cambria" w:cs="Cambria"/>
          <w:b w:val="false"/>
          <w:bCs w:val="false"/>
          <w:i/>
          <w:iCs/>
          <w:sz w:val="22"/>
          <w:szCs w:val="22"/>
        </w:rPr>
        <w:t>International Driving Permit</w:t>
      </w:r>
      <w:r>
        <w:rPr>
          <w:rFonts w:eastAsia="Cambria" w:cs="Cambria"/>
          <w:b w:val="false"/>
          <w:bCs w:val="false"/>
          <w:i w:val="false"/>
          <w:iCs w:val="false"/>
          <w:sz w:val="22"/>
          <w:szCs w:val="22"/>
        </w:rPr>
        <w: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90 Tage ist die Frist für neue Einwohner, sie beginnt nicht mit der Landung, sondern mit der Wohnsitznahme, die jeder Staat selbst definiert — im Zweifel zählt der Tag, an dem du dort deinen Wohnsitz begründest.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Kalifornien gibt neuen Einwohnern nur zehn Tage. Wer die Frist seines Staates verpasst, fährt ohne gültige Lizenz und riskiert Bußgelder und Ärger mit dem Versicherer. Prüfe die Frist, bevor du fliegst,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Umschreiben oder Prüfung: Die Lage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Hat ein Staat ein Abkommen (</w:t>
      </w:r>
      <w:r>
        <w:rPr>
          <w:rFonts w:eastAsia="Cambria" w:cs="Cambria"/>
          <w:b w:val="false"/>
          <w:bCs w:val="false"/>
          <w:i/>
          <w:iCs/>
          <w:sz w:val="22"/>
          <w:szCs w:val="22"/>
        </w:rPr>
        <w:t>Reciprocity</w:t>
      </w:r>
      <w:r>
        <w:rPr>
          <w:rFonts w:eastAsia="Cambria" w:cs="Cambria"/>
          <w:b w:val="false"/>
          <w:bCs w:val="false"/>
          <w:i w:val="false"/>
          <w:iCs w:val="false"/>
          <w:sz w:val="22"/>
          <w:szCs w:val="22"/>
        </w:rPr>
        <w:t>) mit Deutschland, tauschst du den deutschen Führerschein gegen eine US-Lizenz, ohne Wissens- und Fahrprüfung abzulegen. Ohne Abkommen musst du beide Prüfungen bestehen. Die Tabelle fasst zusammen, was Behörden, Konsulate und Ratgeber nennen (Stand September 2026).</w:t>
      </w:r>
    </w:p>
    <w:tbl>
      <w:tblPr>
        <w:tblW w:w="6480" w:type="dxa"/>
        <w:jc w:val="left"/>
        <w:tblInd w:w="0" w:type="dxa"/>
        <w:tblLayout w:type="fixed"/>
        <w:tblCellMar>
          <w:top w:w="50" w:type="dxa"/>
          <w:left w:w="80" w:type="dxa"/>
          <w:bottom w:w="50" w:type="dxa"/>
          <w:right w:w="80" w:type="dxa"/>
        </w:tblCellMar>
      </w:tblPr>
      <w:tblGrid>
        <w:gridCol w:w="1798"/>
        <w:gridCol w:w="2883"/>
        <w:gridCol w:w="1799"/>
      </w:tblGrid>
      <w:tr>
        <w:trPr>
          <w:tblHeader w:val="true"/>
          <w:cantSplit w:val="true"/>
        </w:trPr>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Führerschein</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ab Wohnsitznahme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Colorado</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 mit Konsulatsbescheinigung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Prüfungen, evtl. Übersetzung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Virginia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Oregon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entfällt, Fahrprüfung nur unter Bedingungen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 und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Fahrprüfung, 5-Stunden-Kurs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Utah</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Georgia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zu erwarten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Verzicht nur für US-Lizenzen genannt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ermittelt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Maryland nennen Ratgeber ebenfalls den Umtausch ohne Prüfung. Für alle übrigen Staaten und jede Abweichung gilt: Suche auf der Behördenseite nach </w:t>
      </w:r>
      <w:r>
        <w:rPr>
          <w:rFonts w:eastAsia="Cambria" w:cs="Cambria"/>
          <w:b w:val="false"/>
          <w:bCs w:val="false"/>
          <w:i/>
          <w:iCs/>
          <w:sz w:val="22"/>
          <w:szCs w:val="22"/>
        </w:rPr>
        <w:t>foreign license</w:t>
      </w:r>
      <w:r>
        <w:rPr>
          <w:rFonts w:eastAsia="Cambria" w:cs="Cambria"/>
          <w:b w:val="false"/>
          <w:bCs w:val="false"/>
          <w:i w:val="false"/>
          <w:iCs w:val="false"/>
          <w:sz w:val="22"/>
          <w:szCs w:val="22"/>
        </w:rPr>
        <w:t xml:space="preserve">, </w:t>
      </w:r>
      <w:r>
        <w:rPr>
          <w:rFonts w:eastAsia="Cambria" w:cs="Cambria"/>
          <w:b w:val="false"/>
          <w:bCs w:val="false"/>
          <w:i/>
          <w:iCs/>
          <w:sz w:val="22"/>
          <w:szCs w:val="22"/>
        </w:rPr>
        <w:t>out-of-country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reciprocity</w:t>
      </w:r>
      <w:r>
        <w:rPr>
          <w:rFonts w:eastAsia="Cambria" w:cs="Cambria"/>
          <w:b w:val="false"/>
          <w:bCs w:val="false"/>
          <w:i w:val="false"/>
          <w:iCs w:val="false"/>
          <w:sz w:val="22"/>
          <w:szCs w:val="22"/>
        </w:rPr>
        <w:t xml:space="preserve"> und frage vor dem Termin nach — die Listen ändern sich. Die Behörde heißt nicht überall </w:t>
      </w:r>
      <w:r>
        <w:rPr>
          <w:rFonts w:eastAsia="Cambria" w:cs="Cambria"/>
          <w:b w:val="false"/>
          <w:bCs w:val="false"/>
          <w:i/>
          <w:iCs/>
          <w:sz w:val="22"/>
          <w:szCs w:val="22"/>
        </w:rPr>
        <w:t>DMV</w:t>
      </w:r>
      <w:r>
        <w:rPr>
          <w:rFonts w:eastAsia="Cambria" w:cs="Cambria"/>
          <w:b w:val="false"/>
          <w:bCs w:val="false"/>
          <w:i w:val="false"/>
          <w:iCs w:val="false"/>
          <w:sz w:val="22"/>
          <w:szCs w:val="22"/>
        </w:rPr>
        <w:t xml:space="preserve"> (</w:t>
      </w:r>
      <w:r>
        <w:rPr>
          <w:rFonts w:eastAsia="Cambria" w:cs="Cambria"/>
          <w:b w:val="false"/>
          <w:bCs w:val="false"/>
          <w:i/>
          <w:iCs/>
          <w:sz w:val="22"/>
          <w:szCs w:val="22"/>
        </w:rPr>
        <w:t>Department of Motor Vehicles</w:t>
      </w:r>
      <w:r>
        <w:rPr>
          <w:rFonts w:eastAsia="Cambria" w:cs="Cambria"/>
          <w:b w:val="false"/>
          <w:bCs w:val="false"/>
          <w:i w:val="false"/>
          <w:iCs w:val="false"/>
          <w:sz w:val="22"/>
          <w:szCs w:val="22"/>
        </w:rPr>
        <w:t xml:space="preserve">, die Kfz- und Führerscheinbehörde): In Texas ist es die DPS, in Washington die DOL, in Massachusetts die RMV, in Michigan und Illinois das Büro des </w:t>
      </w:r>
      <w:r>
        <w:rPr>
          <w:rFonts w:eastAsia="Cambria" w:cs="Cambria"/>
          <w:b w:val="false"/>
          <w:bCs w:val="false"/>
          <w:i/>
          <w:iCs/>
          <w:sz w:val="22"/>
          <w:szCs w:val="22"/>
        </w:rPr>
        <w:t>Secretary of State</w:t>
      </w:r>
      <w:r>
        <w:rPr>
          <w:rFonts w:eastAsia="Cambria" w:cs="Cambria"/>
          <w:b w:val="false"/>
          <w:bCs w:val="false"/>
          <w:i w:val="false"/>
          <w:iCs w:val="false"/>
          <w:sz w:val="22"/>
          <w:szCs w:val="22"/>
        </w:rPr>
        <w:t>. Im Buch steht „DMV“ für sie alle.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 US-Lizenz Schritt für Schritt</w:t>
      </w:r>
    </w:p>
    <w:p>
      <w:pPr>
        <w:pStyle w:val="ListParagraph"/>
        <w:numPr>
          <w:ilvl w:val="0"/>
          <w:numId w:val="159"/>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Fast alle Behörden vergeben Termine online, oft mit mehreren Wochen Vorlauf. Buche in der ersten Woche.</w:t>
      </w:r>
    </w:p>
    <w:p>
      <w:pPr>
        <w:pStyle w:val="ListParagraph"/>
        <w:numPr>
          <w:ilvl w:val="0"/>
          <w:numId w:val="160"/>
        </w:numPr>
        <w:spacing w:lineRule="exact" w:line="288" w:before="0" w:after="60"/>
        <w:rPr/>
      </w:pPr>
      <w:r>
        <w:rPr>
          <w:rFonts w:eastAsia="Cambria" w:cs="Cambria"/>
          <w:b/>
          <w:bCs/>
          <w:i w:val="false"/>
          <w:iCs w:val="false"/>
          <w:sz w:val="22"/>
          <w:szCs w:val="22"/>
        </w:rPr>
        <w:t>SSN klären:</w:t>
      </w:r>
      <w:r>
        <w:rPr>
          <w:rFonts w:eastAsia="Cambria" w:cs="Cambria"/>
          <w:b w:val="false"/>
          <w:bCs w:val="false"/>
          <w:i w:val="false"/>
          <w:iCs w:val="false"/>
          <w:sz w:val="22"/>
          <w:szCs w:val="22"/>
        </w:rPr>
        <w:t xml:space="preserve"> Viele Staaten verlangen die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oder den Nachweis, dass du keine bekommst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161"/>
        </w:numPr>
        <w:spacing w:lineRule="exact" w:line="288" w:before="0" w:after="60"/>
        <w:rPr/>
      </w:pPr>
      <w:r>
        <w:rPr>
          <w:rFonts w:eastAsia="Cambria" w:cs="Cambria"/>
          <w:b/>
          <w:bCs/>
          <w:i w:val="false"/>
          <w:iCs w:val="false"/>
          <w:sz w:val="22"/>
          <w:szCs w:val="22"/>
        </w:rPr>
        <w:t>Unterlagen:</w:t>
      </w:r>
      <w:r>
        <w:rPr>
          <w:rFonts w:eastAsia="Cambria" w:cs="Cambria"/>
          <w:b w:val="false"/>
          <w:bCs w:val="false"/>
          <w:i w:val="false"/>
          <w:iCs w:val="false"/>
          <w:sz w:val="22"/>
          <w:szCs w:val="22"/>
        </w:rPr>
        <w:t xml:space="preserve"> Reisepass, Nachweis des legalen Aufenthalts (Visum und I-94 oder Green Card), Wohnsitznachweise, der deutsche Führerschein (er sollte noch mindestens 60 Tage gültig sein) und die Gebühr, die je Staat verschieden ist.</w:t>
      </w:r>
    </w:p>
    <w:p>
      <w:pPr>
        <w:pStyle w:val="ListParagraph"/>
        <w:numPr>
          <w:ilvl w:val="0"/>
          <w:numId w:val="162"/>
        </w:numPr>
        <w:spacing w:lineRule="exact" w:line="288" w:before="0" w:after="60"/>
        <w:rPr/>
      </w:pPr>
      <w:r>
        <w:rPr>
          <w:rFonts w:eastAsia="Cambria" w:cs="Cambria"/>
          <w:b/>
          <w:bCs/>
          <w:i w:val="false"/>
          <w:iCs w:val="false"/>
          <w:sz w:val="22"/>
          <w:szCs w:val="22"/>
        </w:rPr>
        <w:t>Vor Ort:</w:t>
      </w:r>
      <w:r>
        <w:rPr>
          <w:rFonts w:eastAsia="Cambria" w:cs="Cambria"/>
          <w:b w:val="false"/>
          <w:bCs w:val="false"/>
          <w:i w:val="false"/>
          <w:iCs w:val="false"/>
          <w:sz w:val="22"/>
          <w:szCs w:val="22"/>
        </w:rPr>
        <w:t xml:space="preserve"> Sehtest und gegebenenfalls Wissens- und Fahrprüfung. Für die Fahrprüfung brauchst du ein versichertes Auto und eine Begleitperson mit Führerschein.</w:t>
      </w:r>
    </w:p>
    <w:p>
      <w:pPr>
        <w:pStyle w:val="ListParagraph"/>
        <w:numPr>
          <w:ilvl w:val="0"/>
          <w:numId w:val="163"/>
        </w:numPr>
        <w:spacing w:lineRule="exact" w:line="288" w:before="0" w:after="60"/>
        <w:rPr/>
      </w:pPr>
      <w:r>
        <w:rPr>
          <w:rFonts w:eastAsia="Cambria" w:cs="Cambria"/>
          <w:b/>
          <w:bCs/>
          <w:i w:val="false"/>
          <w:iCs w:val="false"/>
          <w:sz w:val="22"/>
          <w:szCs w:val="22"/>
        </w:rPr>
        <w:t>Ergebnis:</w:t>
      </w:r>
      <w:r>
        <w:rPr>
          <w:rFonts w:eastAsia="Cambria" w:cs="Cambria"/>
          <w:b w:val="false"/>
          <w:bCs w:val="false"/>
          <w:i w:val="false"/>
          <w:iCs w:val="false"/>
          <w:sz w:val="22"/>
          <w:szCs w:val="22"/>
        </w:rPr>
        <w:t xml:space="preserve"> Die Lizenz von Nichtbürgern ist meist auf die Dauer des Aufenthalts befristet (</w:t>
      </w:r>
      <w:r>
        <w:rPr>
          <w:rFonts w:eastAsia="Cambria" w:cs="Cambria"/>
          <w:b w:val="false"/>
          <w:bCs w:val="false"/>
          <w:i/>
          <w:iCs/>
          <w:sz w:val="22"/>
          <w:szCs w:val="22"/>
        </w:rPr>
        <w:t>Limited Term</w:t>
      </w:r>
      <w:r>
        <w:rPr>
          <w:rFonts w:eastAsia="Cambria" w:cs="Cambria"/>
          <w:b w:val="false"/>
          <w:bCs w:val="false"/>
          <w:i w:val="false"/>
          <w:iCs w:val="false"/>
          <w:sz w:val="22"/>
          <w:szCs w:val="22"/>
        </w:rPr>
        <w:t>), etwa bis zum Ende deines H-1B-Zeitraums.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Einige Staaten verlangen bei vorübergehendem Aufenthalt zusätzlich eine </w:t>
      </w:r>
      <w:r>
        <w:rPr>
          <w:rFonts w:eastAsia="Cambria" w:cs="Cambria"/>
          <w:b w:val="false"/>
          <w:bCs w:val="false"/>
          <w:i/>
          <w:iCs/>
          <w:sz w:val="22"/>
          <w:szCs w:val="22"/>
        </w:rPr>
        <w:t>Konsularische Führerscheinbescheinigung</w:t>
      </w:r>
      <w:r>
        <w:rPr>
          <w:rFonts w:eastAsia="Cambria" w:cs="Cambria"/>
          <w:b w:val="false"/>
          <w:bCs w:val="false"/>
          <w:i w:val="false"/>
          <w:iCs w:val="false"/>
          <w:sz w:val="22"/>
          <w:szCs w:val="22"/>
        </w:rPr>
        <w:t xml:space="preserve">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Sabine Keller (fiktiv) landet Anfang März in Seattle. Ihre Wohnung liegt nahe einer Haltestelle der Stadtbahn, ein Auto braucht sie zunächst nicht. Die Frist in Washington beträgt 30 Tage, also bucht sie in der ersten Woche einen Termin für Tag 24: Termine sind knapp, und bis dahin muss die SSN vorliegen. Beim </w:t>
            </w:r>
            <w:r>
              <w:rPr>
                <w:rFonts w:eastAsia="Cambria" w:cs="Cambria"/>
                <w:b w:val="false"/>
                <w:bCs w:val="false"/>
                <w:i/>
                <w:iCs/>
                <w:sz w:val="20"/>
                <w:szCs w:val="20"/>
              </w:rPr>
              <w:t>Department of Licensing</w:t>
            </w:r>
            <w:r>
              <w:rPr>
                <w:rFonts w:eastAsia="Cambria" w:cs="Cambria"/>
                <w:b w:val="false"/>
                <w:bCs w:val="false"/>
                <w:i w:val="false"/>
                <w:iCs w:val="false"/>
                <w:sz w:val="20"/>
                <w:szCs w:val="20"/>
              </w:rPr>
              <w:t xml:space="preserve"> legt sie den deutschen Führerschein vor, besteht den Sehtest und legt laut DOL keine Prüfung ab. Ihre neue Karte ist auf die Dauer ihres H-1B-Status befristet.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 ID und Inlandsflüge</w:t>
      </w:r>
    </w:p>
    <w:p>
      <w:pPr>
        <w:pStyle w:val="Normal"/>
        <w:keepNext w:val="false"/>
        <w:keepLines w:val="false"/>
        <w:spacing w:lineRule="exact" w:line="288" w:before="0" w:after="140"/>
        <w:jc w:val="left"/>
        <w:rPr/>
      </w:pPr>
      <w:r>
        <w:rPr>
          <w:rFonts w:eastAsia="Cambria" w:cs="Cambria"/>
          <w:b w:val="false"/>
          <w:bCs w:val="false"/>
          <w:i/>
          <w:iCs/>
          <w:sz w:val="22"/>
          <w:szCs w:val="22"/>
        </w:rPr>
        <w:t>REAL ID</w:t>
      </w:r>
      <w:r>
        <w:rPr>
          <w:rFonts w:eastAsia="Cambria" w:cs="Cambria"/>
          <w:b w:val="false"/>
          <w:bCs w:val="false"/>
          <w:i w:val="false"/>
          <w:iCs w:val="false"/>
          <w:sz w:val="22"/>
          <w:szCs w:val="22"/>
        </w:rP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rFonts w:eastAsia="Cambria" w:cs="Cambria"/>
          <w:b w:val="false"/>
          <w:bCs w:val="false"/>
          <w:i/>
          <w:iCs/>
          <w:sz w:val="22"/>
          <w:szCs w:val="22"/>
        </w:rPr>
        <w:t>TSA ConfirmID</w:t>
      </w:r>
      <w:r>
        <w:rPr>
          <w:rFonts w:eastAsia="Cambria" w:cs="Cambria"/>
          <w:b w:val="false"/>
          <w:bCs w:val="false"/>
          <w:i w:val="false"/>
          <w:iCs w:val="false"/>
          <w:sz w:val="22"/>
          <w:szCs w:val="22"/>
        </w:rPr>
        <w:t xml:space="preserve"> seit 1. Februar 2026 45 $ und Zeit. Frage beim DMV-Termin nach einer REAL-ID-konformen Karte.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Preis, Steuer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Neuwagen kostete im August 2026 im Schnitt 50.089 $ (Kelley Blue Book, erstmals über 50.000 $): ein Kompaktwagen (</w:t>
      </w:r>
      <w:r>
        <w:rPr>
          <w:rFonts w:eastAsia="Cambria" w:cs="Cambria"/>
          <w:b w:val="false"/>
          <w:bCs w:val="false"/>
          <w:i/>
          <w:iCs/>
          <w:sz w:val="22"/>
          <w:szCs w:val="22"/>
        </w:rPr>
        <w:t>Compact Car</w:t>
      </w:r>
      <w:r>
        <w:rPr>
          <w:rFonts w:eastAsia="Cambria" w:cs="Cambria"/>
          <w:b w:val="false"/>
          <w:bCs w:val="false"/>
          <w:i w:val="false"/>
          <w:iCs w:val="false"/>
          <w:sz w:val="22"/>
          <w:szCs w:val="22"/>
        </w:rPr>
        <w:t>) 27.997 $, ein kompakter SUV 37.722 $, ein großer Pickup 67.446 $. Gebrauchtwagen stehen im Schnitt für rund 27.000 $ im Inserat. Der ausgeschriebene Preis ist selten der Endpreis:</w:t>
      </w:r>
    </w:p>
    <w:tbl>
      <w:tblPr>
        <w:tblW w:w="6480" w:type="dxa"/>
        <w:jc w:val="left"/>
        <w:tblInd w:w="0" w:type="dxa"/>
        <w:tblLayout w:type="fixed"/>
        <w:tblCellMar>
          <w:top w:w="50" w:type="dxa"/>
          <w:left w:w="80" w:type="dxa"/>
          <w:bottom w:w="50" w:type="dxa"/>
          <w:right w:w="80" w:type="dxa"/>
        </w:tblCellMar>
      </w:tblPr>
      <w:tblGrid>
        <w:gridCol w:w="1918"/>
        <w:gridCol w:w="2763"/>
        <w:gridCol w:w="179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dahintersteckt</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Größenordnung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Sales Tax</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des Staates plus lokale Zuschläge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bis ca. 10 %; keine allgemeine Sales Tax in Oregon, Montana, New Hampshire</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Doc Fee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Bearbeitungsgebühr des Händlers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Staaten mit Deckel (Kalifornien 85 $, New York 175 $, Texas 225 $ als Richtwert, Illinois 377,63 $), sonst oft 500–999 $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Title</w:t>
            </w:r>
            <w:r>
              <w:rPr>
                <w:rFonts w:eastAsia="Cambria" w:cs="Cambria"/>
                <w:b w:val="false"/>
                <w:bCs w:val="false"/>
                <w:i w:val="false"/>
                <w:iCs w:val="false"/>
                <w:sz w:val="18"/>
                <w:szCs w:val="18"/>
              </w:rPr>
              <w:t xml:space="preserve">, </w:t>
            </w:r>
            <w:r>
              <w:rPr>
                <w:rFonts w:eastAsia="Cambria" w:cs="Cambria"/>
                <w:b w:val="false"/>
                <w:bCs w:val="false"/>
                <w:i/>
                <w:iCs/>
                <w:sz w:val="18"/>
                <w:szCs w:val="18"/>
              </w:rPr>
              <w:t>Registration</w:t>
            </w:r>
            <w:r>
              <w:rPr>
                <w:rFonts w:eastAsia="Cambria" w:cs="Cambria"/>
                <w:b w:val="false"/>
                <w:bCs w:val="false"/>
                <w:i w:val="false"/>
                <w:iCs w:val="false"/>
                <w:sz w:val="18"/>
                <w:szCs w:val="18"/>
              </w:rPr>
              <w:t>, Kennzeichen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verschieden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Zusatzprodukte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Garantieverlängerung, Schutzpakete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verzichtbar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kompakter SUV für 37.722 $ kostet mit 7 % Sales Tax und 400 $ Doc Fee rund 40.800 $, bevor die Zulassung dazukommt (eigene Rechnung). Verhandle deshalb den </w:t>
      </w:r>
      <w:r>
        <w:rPr>
          <w:rFonts w:eastAsia="Cambria" w:cs="Cambria"/>
          <w:b w:val="false"/>
          <w:bCs w:val="false"/>
          <w:i/>
          <w:iCs/>
          <w:sz w:val="22"/>
          <w:szCs w:val="22"/>
        </w:rPr>
        <w:t>Out-the-Door-Preis</w:t>
      </w:r>
      <w:r>
        <w:rPr>
          <w:rFonts w:eastAsia="Cambria" w:cs="Cambria"/>
          <w:b w:val="false"/>
          <w:bCs w:val="false"/>
          <w:i w:val="false"/>
          <w:iCs w:val="false"/>
          <w:sz w:val="22"/>
          <w:szCs w:val="22"/>
        </w:rPr>
        <w:t xml:space="preserve">, den Endpreis mit allen Steuern und Gebühren, und lass ihn schriftlich bestätigen. Bei Gebrauchten prüfst du die Fahrzeughistorie (z. B. </w:t>
      </w:r>
      <w:r>
        <w:rPr>
          <w:rFonts w:eastAsia="Cambria" w:cs="Cambria"/>
          <w:b w:val="false"/>
          <w:bCs w:val="false"/>
          <w:i/>
          <w:iCs/>
          <w:sz w:val="22"/>
          <w:szCs w:val="22"/>
        </w:rPr>
        <w:t>Carfax</w:t>
      </w:r>
      <w:r>
        <w:rPr>
          <w:rFonts w:eastAsia="Cambria" w:cs="Cambria"/>
          <w:b w:val="false"/>
          <w:bCs w:val="false"/>
          <w:i w:val="false"/>
          <w:iCs w:val="false"/>
          <w:sz w:val="22"/>
          <w:szCs w:val="22"/>
        </w:rPr>
        <w:t>) auf Vorschäden und lässt das Auto vor dem Kauf von einer unabhängigen Werkstatt ansehen.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Händler fragen gern zuerst: „Welche Monatsrate darf es sein?“ Damit lassen sich Preis, Laufzeit und Zins verstecken. Nenne keine Wunschrate, sondern verhandle zuerst den Out-the-Door-Preis und danach getrennt die Finanzierung.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Erst SSN und Führerschein, dann Versicherung, dann Kauf, dann Zulassung. Händler und Kreditgeber verlangen vor der Übergabe fast immer einen Versicherungsnachweis, die Zulassung braucht ihn ebenfalls.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ohne Kredithistorie und Leasing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hast du keine Kreditwürdigkeit im US-Sinn (</w:t>
      </w:r>
      <w:r>
        <w:rPr>
          <w:rFonts w:eastAsia="Cambria" w:cs="Cambria"/>
          <w:b w:val="false"/>
          <w:bCs w:val="false"/>
          <w:i/>
          <w:iCs/>
          <w:sz w:val="22"/>
          <w:szCs w:val="22"/>
        </w:rPr>
        <w:t>Credit Score</w:t>
      </w:r>
      <w:r>
        <w:rPr>
          <w:rFonts w:eastAsia="Cambria" w:cs="Cambria"/>
          <w:b w:val="false"/>
          <w:bCs w:val="false"/>
          <w:i w:val="false"/>
          <w:iCs w:val="false"/>
          <w:sz w:val="22"/>
          <w:szCs w:val="22"/>
        </w:rPr>
        <w:t>; wie du sie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Kreditgeber stufen dich deshalb oft niedrig ein; die Zinsen zeigen, was das kostet. Nach Experian (erstes Quartal 2026) lag der Durchschnittszins für Neuwagen bei 6,39 %:</w:t>
      </w:r>
    </w:p>
    <w:tbl>
      <w:tblPr>
        <w:tblW w:w="6480" w:type="dxa"/>
        <w:jc w:val="left"/>
        <w:tblInd w:w="0" w:type="dxa"/>
        <w:tblLayout w:type="fixed"/>
        <w:tblCellMar>
          <w:top w:w="50" w:type="dxa"/>
          <w:left w:w="80" w:type="dxa"/>
          <w:bottom w:w="50" w:type="dxa"/>
          <w:right w:w="80" w:type="dxa"/>
        </w:tblCellMar>
      </w:tblPr>
      <w:tblGrid>
        <w:gridCol w:w="3786"/>
        <w:gridCol w:w="2693"/>
      </w:tblGrid>
      <w:tr>
        <w:trPr>
          <w:tblHeader w:val="true"/>
          <w:cantSplit w:val="true"/>
        </w:trPr>
        <w:tc>
          <w:tcPr>
            <w:tcW w:w="37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Bonitätsgruppe</w:t>
            </w:r>
          </w:p>
        </w:tc>
        <w:tc>
          <w:tcPr>
            <w:tcW w:w="26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Zins Neuwagen</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6,23 %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Near-Prime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9,67 %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Deep 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Gebrauchtwagen lagen im Schnitt bei 11,43 %, in einer Spanne von 6,30 % bis 21,77 %. Bei 35.000 $ Kredit über 60 Monate ohne Anzahlung zahlst du bei 4,55 % rund 653 $ im Monat, bei 13,44 % rund 804 $: über die Laufzeit gut 9.000 $ mehr Zinsen (eigene Rechnung). Diese Ausgangslage lässt sich verbessern:</w:t>
      </w:r>
    </w:p>
    <w:p>
      <w:pPr>
        <w:pStyle w:val="ListParagraph"/>
        <w:numPr>
          <w:ilvl w:val="0"/>
          <w:numId w:val="1"/>
        </w:numPr>
        <w:spacing w:lineRule="exact" w:line="288" w:before="0" w:after="60"/>
        <w:rPr/>
      </w:pPr>
      <w:r>
        <w:rPr>
          <w:rFonts w:eastAsia="Cambria" w:cs="Cambria"/>
          <w:b/>
          <w:bCs/>
          <w:i w:val="false"/>
          <w:iCs w:val="false"/>
          <w:sz w:val="22"/>
          <w:szCs w:val="22"/>
        </w:rPr>
        <w:t>Anzahlung:</w:t>
      </w:r>
      <w:r>
        <w:rPr>
          <w:rFonts w:eastAsia="Cambria" w:cs="Cambria"/>
          <w:b w:val="false"/>
          <w:bCs w:val="false"/>
          <w:i w:val="false"/>
          <w:iCs w:val="false"/>
          <w:sz w:val="22"/>
          <w:szCs w:val="22"/>
        </w:rPr>
        <w:t xml:space="preserve"> 10–20 % senken Rate und Zins. Wer bar zahlen kann, umgeht das Problem.</w:t>
      </w:r>
    </w:p>
    <w:p>
      <w:pPr>
        <w:pStyle w:val="ListParagraph"/>
        <w:numPr>
          <w:ilvl w:val="0"/>
          <w:numId w:val="1"/>
        </w:numPr>
        <w:spacing w:lineRule="exact" w:line="288" w:before="0" w:after="60"/>
        <w:rPr/>
      </w:pPr>
      <w:r>
        <w:rPr>
          <w:rFonts w:eastAsia="Cambria" w:cs="Cambria"/>
          <w:b/>
          <w:bCs/>
          <w:i w:val="false"/>
          <w:iCs w:val="false"/>
          <w:sz w:val="22"/>
          <w:szCs w:val="22"/>
        </w:rPr>
        <w:t>Kreditunion oder Bank mit Vorbeziehung:</w:t>
      </w:r>
      <w:r>
        <w:rPr>
          <w:rFonts w:eastAsia="Cambria" w:cs="Cambria"/>
          <w:b w:val="false"/>
          <w:bCs w:val="false"/>
          <w:i w:val="false"/>
          <w:iCs w:val="false"/>
          <w:sz w:val="22"/>
          <w:szCs w:val="22"/>
        </w:rPr>
        <w:t xml:space="preserve"> Bei der Bank, auf die dein Gehalt geht, holst du dir vor dem Händlerbesuch eine Vorabgenehmigung (</w:t>
      </w:r>
      <w:r>
        <w:rPr>
          <w:rFonts w:eastAsia="Cambria" w:cs="Cambria"/>
          <w:b w:val="false"/>
          <w:bCs w:val="false"/>
          <w:i/>
          <w:iCs/>
          <w:sz w:val="22"/>
          <w:szCs w:val="22"/>
        </w:rPr>
        <w:t>Pre-Approval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Bürge (</w:t>
      </w:r>
      <w:r>
        <w:rPr>
          <w:rFonts w:eastAsia="Cambria" w:cs="Cambria"/>
          <w:b/>
          <w:bCs/>
          <w:i/>
          <w:iCs/>
          <w:sz w:val="22"/>
          <w:szCs w:val="22"/>
        </w:rPr>
        <w:t>Co-Signer</w:t>
      </w:r>
      <w:r>
        <w:rPr>
          <w:rFonts w:eastAsia="Cambria" w:cs="Cambria"/>
          <w:b/>
          <w:bCs/>
          <w:i w:val="false"/>
          <w:iCs w:val="false"/>
          <w:sz w:val="22"/>
          <w:szCs w:val="22"/>
        </w:rPr>
        <w:t>):</w:t>
      </w:r>
      <w:r>
        <w:rPr>
          <w:rFonts w:eastAsia="Cambria" w:cs="Cambria"/>
          <w:b w:val="false"/>
          <w:bCs w:val="false"/>
          <w:i w:val="false"/>
          <w:iCs w:val="false"/>
          <w:sz w:val="22"/>
          <w:szCs w:val="22"/>
        </w:rPr>
        <w:t xml:space="preserve"> Eine Person mit US-Bonität haftet mit.</w:t>
      </w:r>
    </w:p>
    <w:p>
      <w:pPr>
        <w:pStyle w:val="ListParagraph"/>
        <w:numPr>
          <w:ilvl w:val="0"/>
          <w:numId w:val="1"/>
        </w:numPr>
        <w:spacing w:lineRule="exact" w:line="288" w:before="0" w:after="60"/>
        <w:rPr/>
      </w:pPr>
      <w:r>
        <w:rPr>
          <w:rFonts w:eastAsia="Cambria" w:cs="Cambria"/>
          <w:b/>
          <w:bCs/>
          <w:i w:val="false"/>
          <w:iCs w:val="false"/>
          <w:sz w:val="22"/>
          <w:szCs w:val="22"/>
        </w:rPr>
        <w:t>Spezialanbieter:</w:t>
      </w:r>
      <w:r>
        <w:rPr>
          <w:rFonts w:eastAsia="Cambria" w:cs="Cambria"/>
          <w:b w:val="false"/>
          <w:bCs w:val="false"/>
          <w:i w:val="false"/>
          <w:iCs w:val="false"/>
          <w:sz w:val="22"/>
          <w:szCs w:val="22"/>
        </w:rPr>
        <w:t xml:space="preserve"> Manche prüfen Einkommen und Kontoverlauf statt des Scores; vergleiche die Zinsen genau.</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hat in Michigan seinen deutschen Führerschein getauscht und findet einen zwei Jahre alten SUV für 27.000 $. Der Händler bietet ohne Kredithistorie 12,9 % über 60 Monate. Die Kreditunion, bei der sein Gehaltskonto liegt, bietet bei 20 % Anzahlung (5.400 $) 8,9 % auf die restlichen 21.600 $. Die Rate sinkt von rund 490 $ auf rund 447 $, die Zinsen über fünf Jahre um rund 2.580 $ (eigene Rechnung) – der Papierkram bei der Kreditunion dauert länger als der eigentliche Autokauf, aber die Ersparnis reicht locker für den nächsten Familienurlaub.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Autoversicherung: Preis, Kredit und die SF-Klasse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fast allen Staaten ist die Haftpflicht (</w:t>
      </w:r>
      <w:r>
        <w:rPr>
          <w:rFonts w:eastAsia="Cambria" w:cs="Cambria"/>
          <w:b w:val="false"/>
          <w:bCs w:val="false"/>
          <w:i/>
          <w:iCs/>
          <w:sz w:val="22"/>
          <w:szCs w:val="22"/>
        </w:rPr>
        <w:t>Liability</w:t>
      </w:r>
      <w:r>
        <w:rPr>
          <w:rFonts w:eastAsia="Cambria" w:cs="Cambria"/>
          <w:b w:val="false"/>
          <w:bCs w:val="false"/>
          <w:i w:val="false"/>
          <w:iCs w:val="false"/>
          <w:sz w:val="22"/>
          <w:szCs w:val="22"/>
        </w:rPr>
        <w:t>) Pflicht, und ohne Versicherungsnachweis gibt es keine Zulassung. Der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xml:space="preserve">) besteht aus Haftpflicht, </w:t>
      </w:r>
      <w:r>
        <w:rPr>
          <w:rFonts w:eastAsia="Cambria" w:cs="Cambria"/>
          <w:b w:val="false"/>
          <w:bCs w:val="false"/>
          <w:i/>
          <w:iCs/>
          <w:sz w:val="22"/>
          <w:szCs w:val="22"/>
        </w:rPr>
        <w:t>Collision</w:t>
      </w:r>
      <w:r>
        <w:rPr>
          <w:rFonts w:eastAsia="Cambria" w:cs="Cambria"/>
          <w:b w:val="false"/>
          <w:bCs w:val="false"/>
          <w:i w:val="false"/>
          <w:iCs w:val="false"/>
          <w:sz w:val="22"/>
          <w:szCs w:val="22"/>
        </w:rPr>
        <w:t xml:space="preserve"> (Schäden am eigenen Auto nach einem Unfall) und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(Diebstahl, Hagel, Wildschaden), entspricht also Haftpflicht plus Voll- und Teilkasko. Dazu wählst du meist die </w:t>
      </w:r>
      <w:r>
        <w:rPr>
          <w:rFonts w:eastAsia="Cambria" w:cs="Cambria"/>
          <w:b w:val="false"/>
          <w:bCs w:val="false"/>
          <w:i/>
          <w:iCs/>
          <w:sz w:val="22"/>
          <w:szCs w:val="22"/>
        </w:rPr>
        <w:t>UM/UIM-Deckung</w:t>
      </w:r>
      <w:r>
        <w:rPr>
          <w:rFonts w:eastAsia="Cambria" w:cs="Cambria"/>
          <w:b w:val="false"/>
          <w:bCs w:val="false"/>
          <w:i w:val="false"/>
          <w:iCs w:val="false"/>
          <w:sz w:val="22"/>
          <w:szCs w:val="22"/>
        </w:rPr>
        <w:t xml:space="preserve"> (</w:t>
      </w:r>
      <w:r>
        <w:rPr>
          <w:rFonts w:eastAsia="Cambria" w:cs="Cambria"/>
          <w:b w:val="false"/>
          <w:bCs w:val="false"/>
          <w:i/>
          <w:iCs/>
          <w:sz w:val="22"/>
          <w:szCs w:val="22"/>
        </w:rPr>
        <w:t>Uninsured/Underinsured Motorist</w:t>
      </w:r>
      <w:r>
        <w:rPr>
          <w:rFonts w:eastAsia="Cambria" w:cs="Cambria"/>
          <w:b w:val="false"/>
          <w:bCs w:val="false"/>
          <w:i w:val="false"/>
          <w:iCs w:val="false"/>
          <w:sz w:val="22"/>
          <w:szCs w:val="22"/>
        </w:rPr>
        <w:t>), die greift, wenn der Unfallgegner nicht oder zu niedrig versichert ist. Die Mindesthaftpflicht ist je Staat verschieden und oft niedrig.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Full Coverage kostete 2026 im Schnitt 2.241 $ (Insurify), 2.575 $ (MoneyGeek) oder 2.922 $ (Experian) im Jahr, 11,3 % mehr als im Vorjahr. Wohnort, Fahrzeug und Fahrerhistorie wirken auf den Preis, in den meisten Staaten auch der Credit Score: Schlechte Bonität kann die Prämie laut Bankrate um bis zu 105 % erhöhen. Einige Staaten verbieten das, u. a. Kalifornien, Hawaii und Massachusetts.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Schadenfreiheitsklasse (SF-Klasse) zählt meist nicht: US-Versicherer sehen dich als neuen Fahrer ohne US-Historie, das DMV kann keine deutschen Akten abfragen. Einzelne Anbieter berücksichtigen Vorversicherungen aus dem Ausland, nach eigenen Angaben etwa State Farm. Lass dir deshalb vom deutschen Versicherer eine englische Bescheinigung über deine schadenfreien Jahre ausstellen (Kündigung und Abmeldung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frage jeden Anbieter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Angebote mit identischer Deckung ein, frage nach einem höheren Selbstbehalt (</w:t>
            </w:r>
            <w:r>
              <w:rPr>
                <w:rFonts w:eastAsia="Cambria" w:cs="Cambria"/>
                <w:b w:val="false"/>
                <w:bCs w:val="false"/>
                <w:i/>
                <w:iCs/>
                <w:sz w:val="20"/>
                <w:szCs w:val="20"/>
              </w:rPr>
              <w:t>Deductible</w:t>
            </w:r>
            <w:r>
              <w:rPr>
                <w:rFonts w:eastAsia="Cambria" w:cs="Cambria"/>
                <w:b w:val="false"/>
                <w:bCs w:val="false"/>
                <w:i w:val="false"/>
                <w:iCs w:val="false"/>
                <w:sz w:val="20"/>
                <w:szCs w:val="20"/>
              </w:rPr>
              <w:t>) und nach Rabatt für ein Paket mit der Mieterversicherung. Mehr zu Versicherungen im Alltag: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Zulassung: Title, Registration, 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Kaufst du beim Händler, erledigt er die Zulassung meist gegen Gebühr; beim Privatkauf gehst du selbst zum DMV. Der </w:t>
      </w:r>
      <w:r>
        <w:rPr>
          <w:rFonts w:eastAsia="Cambria" w:cs="Cambria"/>
          <w:b w:val="false"/>
          <w:bCs w:val="false"/>
          <w:i/>
          <w:iCs/>
          <w:sz w:val="22"/>
          <w:szCs w:val="22"/>
        </w:rPr>
        <w:t>Title</w:t>
      </w:r>
      <w:r>
        <w:rPr>
          <w:rFonts w:eastAsia="Cambria" w:cs="Cambria"/>
          <w:b w:val="false"/>
          <w:bCs w:val="false"/>
          <w:i w:val="false"/>
          <w:iCs w:val="false"/>
          <w:sz w:val="22"/>
          <w:szCs w:val="22"/>
        </w:rPr>
        <w:t xml:space="preserve"> ist die Eigentumsurkunde, die </w:t>
      </w:r>
      <w:r>
        <w:rPr>
          <w:rFonts w:eastAsia="Cambria" w:cs="Cambria"/>
          <w:b w:val="false"/>
          <w:bCs w:val="false"/>
          <w:i/>
          <w:iCs/>
          <w:sz w:val="22"/>
          <w:szCs w:val="22"/>
        </w:rPr>
        <w:t>Registration</w:t>
      </w:r>
      <w:r>
        <w:rPr>
          <w:rFonts w:eastAsia="Cambria" w:cs="Cambria"/>
          <w:b w:val="false"/>
          <w:bCs w:val="false"/>
          <w:i w:val="false"/>
          <w:iCs w:val="false"/>
          <w:sz w:val="22"/>
          <w:szCs w:val="22"/>
        </w:rPr>
        <w:t xml:space="preserve"> die Zulassung mit Kennzeichen (</w:t>
      </w:r>
      <w:r>
        <w:rPr>
          <w:rFonts w:eastAsia="Cambria" w:cs="Cambria"/>
          <w:b w:val="false"/>
          <w:bCs w:val="false"/>
          <w:i/>
          <w:iCs/>
          <w:sz w:val="22"/>
          <w:szCs w:val="22"/>
        </w:rPr>
        <w:t>License Plate</w:t>
      </w:r>
      <w:r>
        <w:rPr>
          <w:rFonts w:eastAsia="Cambria" w:cs="Cambria"/>
          <w:b w:val="false"/>
          <w:bCs w:val="false"/>
          <w:i w:val="false"/>
          <w:iCs w:val="false"/>
          <w:sz w:val="22"/>
          <w:szCs w:val="22"/>
        </w:rPr>
        <w:t>).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Deutsche überraschen</w:t>
      </w:r>
    </w:p>
    <w:tbl>
      <w:tblPr>
        <w:tblW w:w="6480" w:type="dxa"/>
        <w:jc w:val="left"/>
        <w:tblInd w:w="0" w:type="dxa"/>
        <w:tblLayout w:type="fixed"/>
        <w:tblCellMar>
          <w:top w:w="50" w:type="dxa"/>
          <w:left w:w="80" w:type="dxa"/>
          <w:bottom w:w="50" w:type="dxa"/>
          <w:right w:w="80" w:type="dxa"/>
        </w:tblCellMar>
      </w:tblPr>
      <w:tblGrid>
        <w:gridCol w:w="2118"/>
        <w:gridCol w:w="1992"/>
        <w:gridCol w:w="2370"/>
      </w:tblGrid>
      <w:tr>
        <w:trPr>
          <w:tblHeader w:val="true"/>
          <w:cantSplit w:val="true"/>
        </w:trPr>
        <w:tc>
          <w:tcPr>
            <w:tcW w:w="21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2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Rechtsabbiegen bei Rot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vollem Halt erlaubt, außer bei „No Turn on Red“; in New York City verboten, sofern nicht beschildert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Grünpfeil-Schild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Kreuzung mit vier Stoppschildern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zuerst hält, fährt zuerst; bei gleichzeitigem Halt hat rechts Vorfahrt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 vor links oder Vorfahrtsschilder</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Schulbus mit roten Blinklichtern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Halt in beide Richtungen; bei getrennten Fahrbahnen je Staat nur der Folgeverkehr</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direktes Gegenstück</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Einsatzfahrzeug am Seitenstreifen (</w:t>
            </w:r>
            <w:r>
              <w:rPr>
                <w:rFonts w:eastAsia="Cambria" w:cs="Cambria"/>
                <w:b w:val="false"/>
                <w:bCs w:val="false"/>
                <w:i/>
                <w:iCs/>
                <w:sz w:val="18"/>
                <w:szCs w:val="18"/>
              </w:rPr>
              <w:t>Move Over</w:t>
            </w:r>
            <w:r>
              <w:rPr>
                <w:rFonts w:eastAsia="Cambria" w:cs="Cambria"/>
                <w:b w:val="false"/>
                <w:bCs w:val="false"/>
                <w:i w:val="false"/>
                <w:iCs w:val="false"/>
                <w:sz w:val="18"/>
                <w:szCs w:val="18"/>
              </w:rPr>
              <w: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Spur wechseln oder Tempo stark senken; in allen Staaten Pflicht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Rettungsgasse im Stau</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Meilen pro Stunde; Highways meist 55–80 mph (ca. 89–129 km/h), teils bis 85 mph (ca. 137 km/h)</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Autobahn ohne allgemeines Limit</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0,08 % BAC = 0,8 Promille; unter 21 praktisch null</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 Promille; in der Probezeit 0,0</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Getriebe</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ist der Standard</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Schaltwagen noch häufig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Land ohne generelles Tempolimit kommt, gewöhnt sich überraschend schnell an 65 mph – der eigentliche Kulturschock kommt eher andersherum, beim ersten Deutschlandbesuch danach. Auf mehrspurigen Straßen wird oft rechts überholt. Das Handy am Steuer regelt jeder Staat selbst, in vielen ist nur Freisprechen erlaubt; bei einer Polizeikontrolle bleibst du im Auto und hältst die Hände sichtbar (mehr dazu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Kindersitze und Regeln für Jugendliche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einen haltenden Schulbus mit roten Blinklichtern und ausgeklapptem Stoppschild passiert, riskiert hohe Strafen. Der Fehler passiert Deutschen leicht, weil es hier keine Entsprechung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Verstöße und DUI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Verstöße kosten ein Bußgeld (</w:t>
      </w:r>
      <w:r>
        <w:rPr>
          <w:rFonts w:eastAsia="Cambria" w:cs="Cambria"/>
          <w:b w:val="false"/>
          <w:bCs w:val="false"/>
          <w:i/>
          <w:iCs/>
          <w:sz w:val="22"/>
          <w:szCs w:val="22"/>
        </w:rPr>
        <w:t>Fine</w:t>
      </w:r>
      <w:r>
        <w:rPr>
          <w:rFonts w:eastAsia="Cambria" w:cs="Cambria"/>
          <w:b w:val="false"/>
          <w:bCs w:val="false"/>
          <w:i w:val="false"/>
          <w:iCs w:val="false"/>
          <w:sz w:val="22"/>
          <w:szCs w:val="22"/>
        </w:rPr>
        <w:t>) und in den meisten Staaten Punkte im Führerscheinregister — genug Punkte führen zum Entzug der Lizenz. Einen Strafzettel (</w:t>
      </w:r>
      <w:r>
        <w:rPr>
          <w:rFonts w:eastAsia="Cambria" w:cs="Cambria"/>
          <w:b w:val="false"/>
          <w:bCs w:val="false"/>
          <w:i/>
          <w:iCs/>
          <w:sz w:val="22"/>
          <w:szCs w:val="22"/>
        </w:rPr>
        <w:t>Ticket</w:t>
      </w:r>
      <w:r>
        <w:rPr>
          <w:rFonts w:eastAsia="Cambria" w:cs="Cambria"/>
          <w:b w:val="false"/>
          <w:bCs w:val="false"/>
          <w:i w:val="false"/>
          <w:iCs w:val="false"/>
          <w:sz w:val="22"/>
          <w:szCs w:val="22"/>
        </w:rPr>
        <w:t>) ignorierst du nicht: Unbezahlte Strafen können weitere Folgen bis zur Sperre haben, und danach steigt meist auch die Versicherungsprämie.</w:t>
      </w:r>
    </w:p>
    <w:p>
      <w:pPr>
        <w:pStyle w:val="Normal"/>
        <w:keepNext w:val="false"/>
        <w:keepLines w:val="false"/>
        <w:spacing w:lineRule="exact" w:line="288" w:before="0" w:after="140"/>
        <w:jc w:val="left"/>
        <w:rPr/>
      </w:pPr>
      <w:r>
        <w:rPr>
          <w:rFonts w:eastAsia="Cambria" w:cs="Cambria"/>
          <w:b w:val="false"/>
          <w:bCs w:val="false"/>
          <w:i/>
          <w:iCs/>
          <w:sz w:val="22"/>
          <w:szCs w:val="22"/>
        </w:rPr>
        <w:t>DUI</w:t>
      </w:r>
      <w:r>
        <w:rPr>
          <w:rFonts w:eastAsia="Cambria" w:cs="Cambria"/>
          <w:b w:val="false"/>
          <w:bCs w:val="false"/>
          <w:i w:val="false"/>
          <w:iCs w:val="false"/>
          <w:sz w:val="22"/>
          <w:szCs w:val="22"/>
        </w:rPr>
        <w:t xml:space="preserve"> (</w:t>
      </w:r>
      <w:r>
        <w:rPr>
          <w:rFonts w:eastAsia="Cambria" w:cs="Cambria"/>
          <w:b w:val="false"/>
          <w:bCs w:val="false"/>
          <w:i/>
          <w:iCs/>
          <w:sz w:val="22"/>
          <w:szCs w:val="22"/>
        </w:rPr>
        <w:t>Driving Under the Influence</w:t>
      </w:r>
      <w:r>
        <w:rPr>
          <w:rFonts w:eastAsia="Cambria" w:cs="Cambria"/>
          <w:b w:val="false"/>
          <w:bCs w:val="false"/>
          <w:i w:val="false"/>
          <w:iCs w:val="false"/>
          <w:sz w:val="22"/>
          <w:szCs w:val="22"/>
        </w:rPr>
        <w:t>, in manchen Staaten DWI) ist das Fahren unter Alkohol- oder Drogeneinfluss; die Grenze liegt bei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DUI kann für Nichtbürger zusätzlich Folgen für Visum und Green Card haben, etwa eine Überprüfung oder einen Widerruf. Die Wirkung hängt von Delikt, Ausgang und Status ab und wird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 xml:space="preserve"> eingeordnet. Die sichere Regel: Trink nichts, wenn du fährst, und nimm ein Taxi oder einen Fahrdienst.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Tanken, Maut und Elektroautos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Energiebehörde EIA kostete eine Gallone (</w:t>
      </w:r>
      <w:r>
        <w:rPr>
          <w:rFonts w:eastAsia="Cambria" w:cs="Cambria"/>
          <w:b w:val="false"/>
          <w:bCs w:val="false"/>
          <w:i/>
          <w:iCs/>
          <w:sz w:val="22"/>
          <w:szCs w:val="22"/>
        </w:rPr>
        <w:t>Gallon</w:t>
      </w:r>
      <w:r>
        <w:rPr>
          <w:rFonts w:eastAsia="Cambria" w:cs="Cambria"/>
          <w:b w:val="false"/>
          <w:bCs w:val="false"/>
          <w:i w:val="false"/>
          <w:iCs w:val="false"/>
          <w:sz w:val="22"/>
          <w:szCs w:val="22"/>
        </w:rPr>
        <w:t>,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w:t>
      </w:r>
      <w:r>
        <w:rPr>
          <w:rFonts w:eastAsia="Cambria" w:cs="Cambria"/>
          <w:b w:val="false"/>
          <w:bCs w:val="false"/>
          <w:i/>
          <w:iCs/>
          <w:sz w:val="22"/>
          <w:szCs w:val="22"/>
        </w:rPr>
        <w:t>ZIP Code</w:t>
      </w:r>
      <w:r>
        <w:rPr>
          <w:rFonts w:eastAsia="Cambria" w:cs="Cambria"/>
          <w:b w:val="false"/>
          <w:bCs w:val="false"/>
          <w:i w:val="false"/>
          <w:iCs w:val="false"/>
          <w:sz w:val="22"/>
          <w:szCs w:val="22"/>
        </w:rPr>
        <w:t>) — mit einer deutschen Karte scheitert das, und du stehst ratlos vor dem Kartenleser, bis dir jemand am Nachbarzapfhahn zuruft, dass du drinnen an der Kasse vorab bezahlen musst.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Mautstraßen (</w:t>
      </w:r>
      <w:r>
        <w:rPr>
          <w:rFonts w:eastAsia="Cambria" w:cs="Cambria"/>
          <w:b w:val="false"/>
          <w:bCs w:val="false"/>
          <w:i/>
          <w:iCs/>
          <w:sz w:val="22"/>
          <w:szCs w:val="22"/>
        </w:rPr>
        <w:t>Toll Roads</w:t>
      </w:r>
      <w:r>
        <w:rPr>
          <w:rFonts w:eastAsia="Cambria" w:cs="Cambria"/>
          <w:b w:val="false"/>
          <w:bCs w:val="false"/>
          <w:i w:val="false"/>
          <w:iCs w:val="false"/>
          <w:sz w:val="22"/>
          <w:szCs w:val="22"/>
        </w:rPr>
        <w:t>)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ÖPNV: Brauchst du ein Auto?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ein Auto brauchst, entscheidet die Stadt und mehr noch das Viertel. Prüfe den Nahverkehr, bevor du eine Wohnung mietest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1"/>
        <w:gridCol w:w="2944"/>
        <w:gridCol w:w="1775"/>
      </w:tblGrid>
      <w:tr>
        <w:trPr>
          <w:tblHeader w:val="true"/>
          <w:cantSplit w:val="true"/>
        </w:trPr>
        <w:tc>
          <w:tcPr>
            <w:tcW w:w="17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Beispiele</w:t>
            </w:r>
          </w:p>
        </w:tc>
        <w:tc>
          <w:tcPr>
            <w:tcW w:w="17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Alltag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Autofrei realistisch</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(U-Bahn rund um die Uhr), Boston, Washington, Chicago, Bay Area, Philadelphia, Seattle, Portland</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Kernstadt ohne Auto möglich; für Ausflüge Mietwagen oder Carsharing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meist nötig</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 Sun-Belt-Metropolen wie Phoenix und Atlanta, die meisten Vorstädte</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Schule und Einkauf nur mit Auto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Auto lohnt sich die Lizenz oder die staatliche ID-Card, denn im Alltag ist sie der Standardausweis.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aus Deutschland mitbringen: Lohnt fast 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Einfuhr brauchst du die Formulare </w:t>
      </w:r>
      <w:r>
        <w:rPr>
          <w:rFonts w:eastAsia="Cambria" w:cs="Cambria"/>
          <w:b w:val="false"/>
          <w:bCs w:val="false"/>
          <w:i/>
          <w:iCs/>
          <w:sz w:val="22"/>
          <w:szCs w:val="22"/>
        </w:rPr>
        <w:t>EPA 3520-1</w:t>
      </w:r>
      <w:r>
        <w:rPr>
          <w:rFonts w:eastAsia="Cambria" w:cs="Cambria"/>
          <w:b w:val="false"/>
          <w:bCs w:val="false"/>
          <w:i w:val="false"/>
          <w:iCs w:val="false"/>
          <w:sz w:val="22"/>
          <w:szCs w:val="22"/>
        </w:rPr>
        <w:t xml:space="preserve"> (Abgas) und </w:t>
      </w:r>
      <w:r>
        <w:rPr>
          <w:rFonts w:eastAsia="Cambria" w:cs="Cambria"/>
          <w:b w:val="false"/>
          <w:bCs w:val="false"/>
          <w:i/>
          <w:iCs/>
          <w:sz w:val="22"/>
          <w:szCs w:val="22"/>
        </w:rPr>
        <w:t>DOT HS-7</w:t>
      </w:r>
      <w:r>
        <w:rPr>
          <w:rFonts w:eastAsia="Cambria" w:cs="Cambria"/>
          <w:b w:val="false"/>
          <w:bCs w:val="false"/>
          <w:i w:val="false"/>
          <w:iCs w:val="false"/>
          <w:sz w:val="22"/>
          <w:szCs w:val="22"/>
        </w:rPr>
        <w:t xml:space="preserve"> (Sicherheit); auf Pkw fallen 2,5 % Zoll an (auf Trucks 25 %). Erfüllt das Fahrzeug die US-Normen nicht, und das gilt für viele europäische Modelle, geht es nur über zugelassene Umrüster (</w:t>
      </w:r>
      <w:r>
        <w:rPr>
          <w:rFonts w:eastAsia="Cambria" w:cs="Cambria"/>
          <w:b w:val="false"/>
          <w:bCs w:val="false"/>
          <w:i/>
          <w:iCs/>
          <w:sz w:val="22"/>
          <w:szCs w:val="22"/>
        </w:rPr>
        <w:t>Independent Commercial Importer</w:t>
      </w:r>
      <w:r>
        <w:rPr>
          <w:rFonts w:eastAsia="Cambria" w:cs="Cambria"/>
          <w:b w:val="false"/>
          <w:bCs w:val="false"/>
          <w:i w:val="false"/>
          <w:iCs w:val="false"/>
          <w:sz w:val="22"/>
          <w:szCs w:val="22"/>
        </w:rPr>
        <w:t xml:space="preserve"> für die EPA, </w:t>
      </w:r>
      <w:r>
        <w:rPr>
          <w:rFonts w:eastAsia="Cambria" w:cs="Cambria"/>
          <w:b w:val="false"/>
          <w:bCs w:val="false"/>
          <w:i/>
          <w:iCs/>
          <w:sz w:val="22"/>
          <w:szCs w:val="22"/>
        </w:rPr>
        <w:t>Registered Importer</w:t>
      </w:r>
      <w:r>
        <w:rPr>
          <w:rFonts w:eastAsia="Cambria" w:cs="Cambria"/>
          <w:b w:val="false"/>
          <w:bCs w:val="false"/>
          <w:i w:val="false"/>
          <w:iCs w:val="false"/>
          <w:sz w:val="22"/>
          <w:szCs w:val="22"/>
        </w:rPr>
        <w:t xml:space="preserve"> für die DOT), mit Bond und Umbaukosten. Ausnahmen gibt es für die DOT ab 25 Jahren (Stand September 2026: Baujahr bis 09/2001) und für die EPA ab 21 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1.300–3.000 € für die Verschiffung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in den USA kaufst du vor Ort.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Lizenzen: Angeln, Jagen, Amateurfunk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abseits vom Auto gilt: Fast jede Freizeit-Lizenz regelt der Bundesstaat, nicht Washington, und die Logik ist oft das Gegenteil der deutschen.</w:t>
      </w:r>
    </w:p>
    <w:p>
      <w:pPr>
        <w:pStyle w:val="Normal"/>
        <w:keepNext w:val="false"/>
        <w:keepLines w:val="false"/>
        <w:spacing w:lineRule="exact" w:line="288" w:before="0" w:after="140"/>
        <w:jc w:val="left"/>
        <w:rPr/>
      </w:pPr>
      <w:r>
        <w:rPr>
          <w:rFonts w:eastAsia="Cambria" w:cs="Cambria"/>
          <w:b/>
          <w:bCs/>
          <w:i w:val="false"/>
          <w:iCs w:val="false"/>
          <w:sz w:val="22"/>
          <w:szCs w:val="22"/>
        </w:rPr>
        <w:t>Angeln.</w:t>
      </w:r>
      <w:r>
        <w:rPr>
          <w:rFonts w:eastAsia="Cambria" w:cs="Cambria"/>
          <w:b w:val="false"/>
          <w:bCs w:val="false"/>
          <w:i w:val="false"/>
          <w:iCs w:val="false"/>
          <w:sz w:val="22"/>
          <w:szCs w:val="22"/>
        </w:rPr>
        <w:t xml:space="preserve"> Eine Prüfung wie den deutschen Fischereischein gibt es praktisch nirgends. Die </w:t>
      </w:r>
      <w:r>
        <w:rPr>
          <w:rFonts w:eastAsia="Cambria" w:cs="Cambria"/>
          <w:b w:val="false"/>
          <w:bCs w:val="false"/>
          <w:i/>
          <w:iCs/>
          <w:sz w:val="22"/>
          <w:szCs w:val="22"/>
        </w:rPr>
        <w:t>Fishing License</w:t>
      </w:r>
      <w:r>
        <w:rPr>
          <w:rFonts w:eastAsia="Cambria" w:cs="Cambria"/>
          <w:b w:val="false"/>
          <w:bCs w:val="false"/>
          <w:i w:val="false"/>
          <w:iCs w:val="false"/>
          <w:sz w:val="22"/>
          <w:szCs w:val="22"/>
        </w:rPr>
        <w:t xml:space="preserve"> ist eine reine Gebühren-Sache – Alter und Wohnsitz angeben, online oder beim </w:t>
      </w:r>
      <w:r>
        <w:rPr>
          <w:rFonts w:eastAsia="Cambria" w:cs="Cambria"/>
          <w:b w:val="false"/>
          <w:bCs w:val="false"/>
          <w:i/>
          <w:iCs/>
          <w:sz w:val="22"/>
          <w:szCs w:val="22"/>
        </w:rPr>
        <w:t>Department of Fish and Wildlife</w:t>
      </w:r>
      <w:r>
        <w:rPr>
          <w:rFonts w:eastAsia="Cambria" w:cs="Cambria"/>
          <w:b w:val="false"/>
          <w:bCs w:val="false"/>
          <w:i w:val="false"/>
          <w:iCs w:val="false"/>
          <w:sz w:val="22"/>
          <w:szCs w:val="22"/>
        </w:rPr>
        <w:t xml:space="preserve"> des Staates bezahlen, oft für einen einzelnen Tag, eine Woche oder ein Jahr, fertig.</w:t>
      </w:r>
    </w:p>
    <w:p>
      <w:pPr>
        <w:pStyle w:val="Normal"/>
        <w:keepNext w:val="false"/>
        <w:keepLines w:val="false"/>
        <w:spacing w:lineRule="exact" w:line="288" w:before="0" w:after="140"/>
        <w:jc w:val="left"/>
        <w:rPr/>
      </w:pPr>
      <w:r>
        <w:rPr>
          <w:rFonts w:eastAsia="Cambria" w:cs="Cambria"/>
          <w:b/>
          <w:bCs/>
          <w:i w:val="false"/>
          <w:iCs w:val="false"/>
          <w:sz w:val="22"/>
          <w:szCs w:val="22"/>
        </w:rPr>
        <w:t>Jagen.</w:t>
      </w:r>
      <w:r>
        <w:rPr>
          <w:rFonts w:eastAsia="Cambria" w:cs="Cambria"/>
          <w:b w:val="false"/>
          <w:bCs w:val="false"/>
          <w:i w:val="false"/>
          <w:iCs w:val="false"/>
          <w:sz w:val="22"/>
          <w:szCs w:val="22"/>
        </w:rPr>
        <w:t xml:space="preserve"> Hier ist es umgekehrt strenger: Fast jeder Staat verlangt vor der ersten Jagdlizenz einen </w:t>
      </w:r>
      <w:r>
        <w:rPr>
          <w:rFonts w:eastAsia="Cambria" w:cs="Cambria"/>
          <w:b w:val="false"/>
          <w:bCs w:val="false"/>
          <w:i/>
          <w:iCs/>
          <w:sz w:val="22"/>
          <w:szCs w:val="22"/>
        </w:rPr>
        <w:t>Hunter Education</w:t>
      </w:r>
      <w:r>
        <w:rPr>
          <w:rFonts w:eastAsia="Cambria" w:cs="Cambria"/>
          <w:b w:val="false"/>
          <w:bCs w:val="false"/>
          <w:i w:val="false"/>
          <w:iCs w:val="false"/>
          <w:sz w:val="22"/>
          <w:szCs w:val="22"/>
        </w:rPr>
        <w:t>-Kurs mit Prüfung, Sicherheit und Ethik. Der deutsche Jagdschein zählt nicht automatisch; ob eine ausländische Ausbildung den Kurs ersetzt, legt jeder Staat für sich fest – frag vor der Anmeldung direkt bei der Wildtierbehörde (</w:t>
      </w:r>
      <w:r>
        <w:rPr>
          <w:rFonts w:eastAsia="Cambria" w:cs="Cambria"/>
          <w:b w:val="false"/>
          <w:bCs w:val="false"/>
          <w:i/>
          <w:iCs/>
          <w:sz w:val="22"/>
          <w:szCs w:val="22"/>
        </w:rPr>
        <w:t>Fish and Wildlife Agency</w:t>
      </w:r>
      <w:r>
        <w:rPr>
          <w:rFonts w:eastAsia="Cambria" w:cs="Cambria"/>
          <w:b w:val="false"/>
          <w:bCs w:val="false"/>
          <w:i w:val="false"/>
          <w:iCs w:val="false"/>
          <w:sz w:val="22"/>
          <w:szCs w:val="22"/>
        </w:rPr>
        <w:t>) des Zielstaats nach, nicht erst am Schalter.</w:t>
      </w:r>
    </w:p>
    <w:p>
      <w:pPr>
        <w:pStyle w:val="Normal"/>
        <w:keepNext w:val="false"/>
        <w:keepLines w:val="false"/>
        <w:spacing w:lineRule="exact" w:line="288" w:before="0" w:after="140"/>
        <w:jc w:val="left"/>
        <w:rPr/>
      </w:pPr>
      <w:r>
        <w:rPr>
          <w:rFonts w:eastAsia="Cambria" w:cs="Cambria"/>
          <w:b/>
          <w:bCs/>
          <w:i w:val="false"/>
          <w:iCs w:val="false"/>
          <w:sz w:val="22"/>
          <w:szCs w:val="22"/>
        </w:rPr>
        <w:t>Amateurfunk.</w:t>
      </w:r>
      <w:r>
        <w:rPr>
          <w:rFonts w:eastAsia="Cambria" w:cs="Cambria"/>
          <w:b w:val="false"/>
          <w:bCs w:val="false"/>
          <w:i w:val="false"/>
          <w:iCs w:val="false"/>
          <w:sz w:val="22"/>
          <w:szCs w:val="22"/>
        </w:rPr>
        <w:t xml:space="preserve"> Die deutsche Amateurfunkgenehmigung der Bundesnetzagentur gilt für Einwohner nicht weiter; das CEPT-Abkommen hilft nur kurzen touristischen Aufenthalten. Wer dauerhaft senden will, braucht eine eigene, von der FCC ausgestellte Lizenz. Die Prüfung (Klassen von </w:t>
      </w:r>
      <w:r>
        <w:rPr>
          <w:rFonts w:eastAsia="Cambria" w:cs="Cambria"/>
          <w:b w:val="false"/>
          <w:bCs w:val="false"/>
          <w:i/>
          <w:iCs/>
          <w:sz w:val="22"/>
          <w:szCs w:val="22"/>
        </w:rPr>
        <w:t>Technician</w:t>
      </w:r>
      <w:r>
        <w:rPr>
          <w:rFonts w:eastAsia="Cambria" w:cs="Cambria"/>
          <w:b w:val="false"/>
          <w:bCs w:val="false"/>
          <w:i w:val="false"/>
          <w:iCs w:val="false"/>
          <w:sz w:val="22"/>
          <w:szCs w:val="22"/>
        </w:rPr>
        <w:t xml:space="preserve"> bis </w:t>
      </w:r>
      <w:r>
        <w:rPr>
          <w:rFonts w:eastAsia="Cambria" w:cs="Cambria"/>
          <w:b w:val="false"/>
          <w:bCs w:val="false"/>
          <w:i/>
          <w:iCs/>
          <w:sz w:val="22"/>
          <w:szCs w:val="22"/>
        </w:rPr>
        <w:t>Extra</w:t>
      </w:r>
      <w:r>
        <w:rPr>
          <w:rFonts w:eastAsia="Cambria" w:cs="Cambria"/>
          <w:b w:val="false"/>
          <w:bCs w:val="false"/>
          <w:i w:val="false"/>
          <w:iCs w:val="false"/>
          <w:sz w:val="22"/>
          <w:szCs w:val="22"/>
        </w:rPr>
        <w:t xml:space="preserve">) läuft ohne Morsecode als Multiple-Choice-Test, Vorbereitungsfragen gibt es online, und lokale </w:t>
      </w:r>
      <w:r>
        <w:rPr>
          <w:rFonts w:eastAsia="Cambria" w:cs="Cambria"/>
          <w:b w:val="false"/>
          <w:bCs w:val="false"/>
          <w:i/>
          <w:iCs/>
          <w:sz w:val="22"/>
          <w:szCs w:val="22"/>
        </w:rPr>
        <w:t>Volunteer Examiner</w:t>
      </w:r>
      <w:r>
        <w:rPr>
          <w:rFonts w:eastAsia="Cambria" w:cs="Cambria"/>
          <w:b w:val="false"/>
          <w:bCs w:val="false"/>
          <w:i w:val="false"/>
          <w:iCs w:val="false"/>
          <w:sz w:val="22"/>
          <w:szCs w:val="22"/>
        </w:rPr>
        <w:t>-Teams nehmen sie 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vielen Staaten tauschst du den deutschen Führerschein ohne 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Kalifornien und New York musst du Wissens- und Fahrprüfung ablegen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breite Straßen und große Parkplätze machen das Fahren entspannt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Großstädte kommst du ohne Auto kaum durch den Alltag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Fahrzeughistorie und Marktpreise lassen sich online prüfen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Neuwagen im Schnitt über 50.000 $, ohne Kredithistorie hohe Zinsen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Großstädte mit gutem Nahverkehr erlauben ein autofreies Leben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Coverage im Schnitt 2.241–2.922 $ im Jahr, Tendenz steigend</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oder ID-Card dient als Standardausweis im Alltag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SF-Klasse zählt meist nicht, der Credit Score wirkt auf den Preis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 fällt vor allem regional an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am Steuer: Grenze 0,08 % BAC, harte Folgen bis zum Statusrisiko</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64"/>
        </w:numPr>
        <w:spacing w:lineRule="exact" w:line="288" w:before="0" w:after="60"/>
        <w:rPr/>
      </w:pPr>
      <w:r>
        <w:rPr>
          <w:rFonts w:eastAsia="Cambria" w:cs="Cambria"/>
          <w:b w:val="false"/>
          <w:bCs w:val="false"/>
          <w:i w:val="false"/>
          <w:iCs w:val="false"/>
          <w:sz w:val="22"/>
          <w:szCs w:val="22"/>
        </w:rPr>
        <w:t>Vor dem Abflug: Regel deines Staates prüfen, IDP beantragen, SF-Klassen-Bescheinigung anfordern.</w:t>
      </w:r>
    </w:p>
    <w:p>
      <w:pPr>
        <w:pStyle w:val="ListParagraph"/>
        <w:numPr>
          <w:ilvl w:val="0"/>
          <w:numId w:val="165"/>
        </w:numPr>
        <w:spacing w:lineRule="exact" w:line="288" w:before="0" w:after="60"/>
        <w:rPr/>
      </w:pPr>
      <w:r>
        <w:rPr>
          <w:rFonts w:eastAsia="Cambria" w:cs="Cambria"/>
          <w:b w:val="false"/>
          <w:bCs w:val="false"/>
          <w:i w:val="false"/>
          <w:iCs w:val="false"/>
          <w:sz w:val="22"/>
          <w:szCs w:val="22"/>
        </w:rPr>
        <w:t>In der ersten Woche: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DMV-Termin buchen.</w:t>
      </w:r>
    </w:p>
    <w:p>
      <w:pPr>
        <w:pStyle w:val="ListParagraph"/>
        <w:numPr>
          <w:ilvl w:val="0"/>
          <w:numId w:val="166"/>
        </w:numPr>
        <w:spacing w:lineRule="exact" w:line="288" w:before="0" w:after="60"/>
        <w:rPr/>
      </w:pPr>
      <w:r>
        <w:rPr>
          <w:rFonts w:eastAsia="Cambria" w:cs="Cambria"/>
          <w:b w:val="false"/>
          <w:bCs w:val="false"/>
          <w:i w:val="false"/>
          <w:iCs w:val="false"/>
          <w:sz w:val="22"/>
          <w:szCs w:val="22"/>
        </w:rPr>
        <w:t>Vor dem Autokauf: Konto bei einer Kreditunion eröffnen, Versicherungsangebote vergleichen und den Out-the-Door-Preis schriftlich verlangen.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und Prüfungspflicht deines Bundesstaates auf der DMV-Seite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Internationalen Führerschein vor der Abmeldung in Deutschland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Führerschein (noch mindestens 60 Tage gültig) und Kopien 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verlangt: KBA-Auskünfte (FAER, ZFER, höchstens vier Wochen alt) und Konsulatsbescheinigung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Bescheinigung der schadenfreien Jahre vom deutschen Kfz-Versicherer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DMV-Termin gebucht, Unterlagen zusammengestellt (Pass, Visum oder I-94, Wohnsitznachweise, SSN)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REAL-ID-konforme Karte beantragt oder Reisepass für Inlandsflüge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 per Vorabgenehmigung bei einer Kreditunion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Zulassungsfrist (10–30 Tage je 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Nahverkehrsanbindung vor der Wohnungswahl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Angel-, Jagd- oder Amateurfunklizenz bei der zuständigen Bundesstaats- bzw. FCC-Stelle erfragt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Generalkonsulate und Auswärtiges Amt — Führerschein in den USA (</w:t>
      </w:r>
      <w:hyperlink r:id="rId249">
        <w:r>
          <w:rPr>
            <w:rStyle w:val="ListLabel113"/>
            <w:rFonts w:eastAsia="Cambria" w:cs="Cambria"/>
            <w:b w:val="false"/>
            <w:bCs w:val="false"/>
            <w:i w:val="false"/>
            <w:iCs w:val="false"/>
            <w:color w:val="0563C1"/>
            <w:sz w:val="22"/>
            <w:szCs w:val="22"/>
            <w:u w:val="single"/>
          </w:rPr>
          <w:t>germany.info/us-de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Führerscheinbehörden der Staaten — Regeln für ausländische Lizenzen (</w:t>
      </w:r>
      <w:hyperlink r:id="rId250">
        <w:r>
          <w:rPr>
            <w:rStyle w:val="ListLabel113"/>
            <w:rFonts w:eastAsia="Cambria" w:cs="Cambria"/>
            <w:b w:val="false"/>
            <w:bCs w:val="false"/>
            <w:i w:val="false"/>
            <w:iCs w:val="false"/>
            <w:color w:val="0563C1"/>
            <w:sz w:val="22"/>
            <w:szCs w:val="22"/>
            <w:u w:val="single"/>
          </w:rPr>
          <w:t>dmv.ca.gov</w:t>
        </w:r>
      </w:hyperlink>
      <w:r>
        <w:rPr>
          <w:rFonts w:eastAsia="Cambria" w:cs="Cambria"/>
          <w:b w:val="false"/>
          <w:bCs w:val="false"/>
          <w:i w:val="false"/>
          <w:iCs w:val="false"/>
          <w:sz w:val="22"/>
          <w:szCs w:val="22"/>
        </w:rPr>
        <w:t xml:space="preserve">, </w:t>
      </w:r>
      <w:hyperlink r:id="rId251">
        <w:r>
          <w:rPr>
            <w:rStyle w:val="ListLabel113"/>
            <w:rFonts w:eastAsia="Cambria" w:cs="Cambria"/>
            <w:b w:val="false"/>
            <w:bCs w:val="false"/>
            <w:i w:val="false"/>
            <w:iCs w:val="false"/>
            <w:color w:val="0563C1"/>
            <w:sz w:val="22"/>
            <w:szCs w:val="22"/>
            <w:u w:val="single"/>
          </w:rPr>
          <w:t>dmv.ny.gov</w:t>
        </w:r>
      </w:hyperlink>
      <w:r>
        <w:rPr>
          <w:rFonts w:eastAsia="Cambria" w:cs="Cambria"/>
          <w:b w:val="false"/>
          <w:bCs w:val="false"/>
          <w:i w:val="false"/>
          <w:iCs w:val="false"/>
          <w:sz w:val="22"/>
          <w:szCs w:val="22"/>
        </w:rPr>
        <w:t xml:space="preserve">, </w:t>
      </w:r>
      <w:hyperlink r:id="rId252">
        <w:r>
          <w:rPr>
            <w:rStyle w:val="ListLabel113"/>
            <w:rFonts w:eastAsia="Cambria" w:cs="Cambria"/>
            <w:b w:val="false"/>
            <w:bCs w:val="false"/>
            <w:i w:val="false"/>
            <w:iCs w:val="false"/>
            <w:color w:val="0563C1"/>
            <w:sz w:val="22"/>
            <w:szCs w:val="22"/>
            <w:u w:val="single"/>
          </w:rPr>
          <w:t>dps.texas.gov</w:t>
        </w:r>
      </w:hyperlink>
      <w:r>
        <w:rPr>
          <w:rFonts w:eastAsia="Cambria" w:cs="Cambria"/>
          <w:b w:val="false"/>
          <w:bCs w:val="false"/>
          <w:i w:val="false"/>
          <w:iCs w:val="false"/>
          <w:sz w:val="22"/>
          <w:szCs w:val="22"/>
        </w:rPr>
        <w:t xml:space="preserve">, </w:t>
      </w:r>
      <w:hyperlink r:id="rId253">
        <w:r>
          <w:rPr>
            <w:rStyle w:val="ListLabel113"/>
            <w:rFonts w:eastAsia="Cambria" w:cs="Cambria"/>
            <w:b w:val="false"/>
            <w:bCs w:val="false"/>
            <w:i w:val="false"/>
            <w:iCs w:val="false"/>
            <w:color w:val="0563C1"/>
            <w:sz w:val="22"/>
            <w:szCs w:val="22"/>
            <w:u w:val="single"/>
          </w:rPr>
          <w:t>dol.wa.gov</w:t>
        </w:r>
      </w:hyperlink>
      <w:r>
        <w:rPr>
          <w:rFonts w:eastAsia="Cambria" w:cs="Cambria"/>
          <w:b w:val="false"/>
          <w:bCs w:val="false"/>
          <w:i w:val="false"/>
          <w:iCs w:val="false"/>
          <w:sz w:val="22"/>
          <w:szCs w:val="22"/>
        </w:rPr>
        <w:t xml:space="preserve">, </w:t>
      </w:r>
      <w:hyperlink r:id="rId254">
        <w:r>
          <w:rPr>
            <w:rStyle w:val="ListLabel113"/>
            <w:rFonts w:eastAsia="Cambria" w:cs="Cambria"/>
            <w:b w:val="false"/>
            <w:bCs w:val="false"/>
            <w:i w:val="false"/>
            <w:iCs w:val="false"/>
            <w:color w:val="0563C1"/>
            <w:sz w:val="22"/>
            <w:szCs w:val="22"/>
            <w:u w:val="single"/>
          </w:rPr>
          <w:t>dmv.colorado.gov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Weitere Staaten — </w:t>
      </w:r>
      <w:hyperlink r:id="rId255">
        <w:r>
          <w:rPr>
            <w:rStyle w:val="ListLabel113"/>
            <w:rFonts w:eastAsia="Cambria" w:cs="Cambria"/>
            <w:b w:val="false"/>
            <w:bCs w:val="false"/>
            <w:i w:val="false"/>
            <w:iCs w:val="false"/>
            <w:color w:val="0563C1"/>
            <w:sz w:val="22"/>
            <w:szCs w:val="22"/>
            <w:u w:val="single"/>
          </w:rPr>
          <w:t>ncdot.gov/dmv</w:t>
        </w:r>
      </w:hyperlink>
      <w:r>
        <w:rPr>
          <w:rFonts w:eastAsia="Cambria" w:cs="Cambria"/>
          <w:b w:val="false"/>
          <w:bCs w:val="false"/>
          <w:i w:val="false"/>
          <w:iCs w:val="false"/>
          <w:sz w:val="22"/>
          <w:szCs w:val="22"/>
        </w:rPr>
        <w:t xml:space="preserve">, </w:t>
      </w:r>
      <w:hyperlink r:id="rId256">
        <w:r>
          <w:rPr>
            <w:rStyle w:val="ListLabel113"/>
            <w:rFonts w:eastAsia="Cambria" w:cs="Cambria"/>
            <w:b w:val="false"/>
            <w:bCs w:val="false"/>
            <w:i w:val="false"/>
            <w:iCs w:val="false"/>
            <w:color w:val="0563C1"/>
            <w:sz w:val="22"/>
            <w:szCs w:val="22"/>
            <w:u w:val="single"/>
          </w:rPr>
          <w:t>flhsmv.gov</w:t>
        </w:r>
      </w:hyperlink>
      <w:r>
        <w:rPr>
          <w:rFonts w:eastAsia="Cambria" w:cs="Cambria"/>
          <w:b w:val="false"/>
          <w:bCs w:val="false"/>
          <w:i w:val="false"/>
          <w:iCs w:val="false"/>
          <w:sz w:val="22"/>
          <w:szCs w:val="22"/>
        </w:rPr>
        <w:t xml:space="preserve">, </w:t>
      </w:r>
      <w:hyperlink r:id="rId257">
        <w:r>
          <w:rPr>
            <w:rStyle w:val="ListLabel113"/>
            <w:rFonts w:eastAsia="Cambria" w:cs="Cambria"/>
            <w:b w:val="false"/>
            <w:bCs w:val="false"/>
            <w:i w:val="false"/>
            <w:iCs w:val="false"/>
            <w:color w:val="0563C1"/>
            <w:sz w:val="22"/>
            <w:szCs w:val="22"/>
            <w:u w:val="single"/>
          </w:rPr>
          <w:t>oregon.gov/odot/dmv</w:t>
        </w:r>
      </w:hyperlink>
      <w:r>
        <w:rPr>
          <w:rFonts w:eastAsia="Cambria" w:cs="Cambria"/>
          <w:b w:val="false"/>
          <w:bCs w:val="false"/>
          <w:i w:val="false"/>
          <w:iCs w:val="false"/>
          <w:sz w:val="22"/>
          <w:szCs w:val="22"/>
        </w:rPr>
        <w:t xml:space="preserve">, </w:t>
      </w:r>
      <w:hyperlink r:id="rId258">
        <w:r>
          <w:rPr>
            <w:rStyle w:val="ListLabel113"/>
            <w:rFonts w:eastAsia="Cambria" w:cs="Cambria"/>
            <w:b w:val="false"/>
            <w:bCs w:val="false"/>
            <w:i w:val="false"/>
            <w:iCs w:val="false"/>
            <w:color w:val="0563C1"/>
            <w:sz w:val="22"/>
            <w:szCs w:val="22"/>
            <w:u w:val="single"/>
          </w:rPr>
          <w:t>dld.utah.gov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Flughafensicherheit TSA — REAL ID und ConfirmID (</w:t>
      </w:r>
      <w:hyperlink r:id="rId259">
        <w:r>
          <w:rPr>
            <w:rStyle w:val="ListLabel113"/>
            <w:rFonts w:eastAsia="Cambria" w:cs="Cambria"/>
            <w:b w:val="false"/>
            <w:bCs w:val="false"/>
            <w:i w:val="false"/>
            <w:iCs w:val="false"/>
            <w:color w:val="0563C1"/>
            <w:sz w:val="22"/>
            <w:szCs w:val="22"/>
            <w:u w:val="single"/>
          </w:rPr>
          <w:t>tsa.gov/real-id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und Grenzschutzbehörde CBP — Fahrzeuge einführen (</w:t>
      </w:r>
      <w:hyperlink r:id="rId260">
        <w:r>
          <w:rPr>
            <w:rStyle w:val="ListLabel113"/>
            <w:rFonts w:eastAsia="Cambria" w:cs="Cambria"/>
            <w:b w:val="false"/>
            <w:bCs w:val="false"/>
            <w:i w:val="false"/>
            <w:iCs w:val="false"/>
            <w:color w:val="0563C1"/>
            <w:sz w:val="22"/>
            <w:szCs w:val="22"/>
            <w:u w:val="single"/>
          </w:rPr>
          <w:t>cbp.gov/trade/basic-import-export/importing-car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Energiebehörde EIA — Benzinpreise (</w:t>
      </w:r>
      <w:hyperlink r:id="rId261">
        <w:r>
          <w:rPr>
            <w:rStyle w:val="ListLabel113"/>
            <w:rFonts w:eastAsia="Cambria" w:cs="Cambria"/>
            <w:b w:val="false"/>
            <w:bCs w:val="false"/>
            <w:i w:val="false"/>
            <w:iCs w:val="false"/>
            <w:color w:val="0563C1"/>
            <w:sz w:val="22"/>
            <w:szCs w:val="22"/>
            <w:u w:val="single"/>
          </w:rPr>
          <w:t>eia.gov/petroleum/gasdiesel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Reziprozitätslisten, Fristen und Gebühren der Bundesstaaten, TSA-Regeln, Auto- und Benzinpreise, Kreditzinsen, Versicherungsprämien, die Zölle auf Fahrzeuge und die Förderung von Elektroautos in den Staaten. Prüfe vor jeder Entscheidung die Seite deiner DMV.</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9" w:name="__RefHeading___Toc56492_3457424410"/>
      <w:bookmarkStart w:id="70" w:name="k28"/>
      <w:bookmarkEnd w:id="69"/>
      <w:r>
        <w:rPr>
          <w:rFonts w:eastAsia="Amazon Ember" w:cs="Amazon Ember" w:ascii="Amazon Ember" w:hAnsi="Amazon Ember"/>
          <w:b/>
          <w:bCs/>
          <w:color w:val="0000FF"/>
          <w:sz w:val="36"/>
          <w:szCs w:val="36"/>
        </w:rPr>
        <w:t>Kapitel 28: Steuern in den USA verständlich erklärt</w:t>
      </w:r>
      <w:bookmarkEnd w:id="7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und musst deutsche Konten melden, auch wenn darauf kaum Zinsen anfallen. Dieses Kapitel ordnet das System, rechnet ein Beispiel durch und zeigt die teuren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Steuern erheben der Bund (Einkommensteuer, Sozialabgaben), der Bundesstaat (Einkommen- und Verkaufssteuer) und die Kommune (vor allem Grundsteuer). Steuerjahr ist das Kalenderjahr; die Erklärung für 2026 ist am 15. April 2027 fällig.</w:t>
            </w:r>
          </w:p>
          <w:p>
            <w:pPr>
              <w:pStyle w:val="ListParagraph"/>
              <w:numPr>
                <w:ilvl w:val="0"/>
                <w:numId w:val="1"/>
              </w:numPr>
              <w:spacing w:lineRule="exact" w:line="264" w:before="0" w:after="50"/>
              <w:rPr/>
            </w:pPr>
            <w:r>
              <w:rPr>
                <w:rFonts w:eastAsia="Cambria" w:cs="Cambria"/>
                <w:b w:val="false"/>
                <w:bCs w:val="false"/>
                <w:i w:val="false"/>
                <w:iCs w:val="false"/>
                <w:sz w:val="20"/>
                <w:szCs w:val="20"/>
              </w:rPr>
              <w:t>Bund 2026: Standardabzug 16.100 $ (Einzelperson) bzw. 32.200 $ (Ehepaar), Sätze von 10 bis 37 %. Statt Kindergeld gibt es eine Gutschrift von 2.200 $ je Kind; sie setzt eine Sozialversicherungsnummer (</w:t>
            </w:r>
            <w:r>
              <w:rPr>
                <w:rFonts w:eastAsia="Cambria" w:cs="Cambria"/>
                <w:b w:val="false"/>
                <w:bCs w:val="false"/>
                <w:i/>
                <w:iCs/>
                <w:sz w:val="20"/>
                <w:szCs w:val="20"/>
              </w:rPr>
              <w:t>Social Security Number</w:t>
            </w:r>
            <w:r>
              <w:rPr>
                <w:rFonts w:eastAsia="Cambria" w:cs="Cambria"/>
                <w:b w:val="false"/>
                <w:bCs w:val="false"/>
                <w:i w:val="false"/>
                <w:iCs w:val="false"/>
                <w:sz w:val="20"/>
                <w:szCs w:val="20"/>
              </w:rPr>
              <w:t>, SSN) mit Arbeitserlaubnis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Steuerlich ansässig wirst du durch die Green Card oder den Tage-Test (</w:t>
            </w:r>
            <w:r>
              <w:rPr>
                <w:rFonts w:eastAsia="Cambria" w:cs="Cambria"/>
                <w:b w:val="false"/>
                <w:bCs w:val="false"/>
                <w:i/>
                <w:iCs/>
                <w:sz w:val="20"/>
                <w:szCs w:val="20"/>
              </w:rPr>
              <w:t>Substantial Presence Test</w:t>
            </w:r>
            <w:r>
              <w:rPr>
                <w:rFonts w:eastAsia="Cambria" w:cs="Cambria"/>
                <w:b w:val="false"/>
                <w:bCs w:val="false"/>
                <w:i w:val="false"/>
                <w:iCs w:val="false"/>
                <w:sz w:val="20"/>
                <w:szCs w:val="20"/>
              </w:rPr>
              <w:t>), nicht durch das Visum. Dann gilt dein weltweites 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großen Fallen sind Meldepflichten: Auslandskonten über 10.000 $ (FBAR), Auslandsvermögen (Form 8938) und deutsche Fonds (PFIC). Die Strafen reichen bis in den sechsstelligen Bereich.</w:t>
            </w:r>
          </w:p>
          <w:p>
            <w:pPr>
              <w:pStyle w:val="ListParagraph"/>
              <w:numPr>
                <w:ilvl w:val="0"/>
                <w:numId w:val="1"/>
              </w:numPr>
              <w:spacing w:lineRule="exact" w:line="264" w:before="0" w:after="50"/>
              <w:rPr/>
            </w:pPr>
            <w:r>
              <w:rPr>
                <w:rFonts w:eastAsia="Cambria" w:cs="Cambria"/>
                <w:b w:val="false"/>
                <w:bCs w:val="false"/>
                <w:i w:val="false"/>
                <w:iCs w:val="false"/>
                <w:sz w:val="20"/>
                <w:szCs w:val="20"/>
              </w:rPr>
              <w:t>Näherung 2026: Von 120.000 $ brutto bleiben einer Einzelperson in Texas etwa 78 %, in Kalifornien etwa 71 % (ohne Krankenversicherung und 401(k)).</w:t>
            </w:r>
          </w:p>
          <w:p>
            <w:pPr>
              <w:pStyle w:val="ListParagraph"/>
              <w:numPr>
                <w:ilvl w:val="0"/>
                <w:numId w:val="1"/>
              </w:numPr>
              <w:spacing w:lineRule="exact" w:line="264" w:before="0" w:after="50"/>
              <w:rPr/>
            </w:pPr>
            <w:r>
              <w:rPr>
                <w:rFonts w:eastAsia="Cambria" w:cs="Cambria"/>
                <w:b w:val="false"/>
                <w:bCs w:val="false"/>
                <w:i w:val="false"/>
                <w:iCs w:val="false"/>
                <w:sz w:val="20"/>
                <w:szCs w:val="20"/>
              </w:rPr>
              <w:t>Im Einreisejahr lohnt sich ein zugelassener Steuerexperte (</w:t>
            </w:r>
            <w:r>
              <w:rPr>
                <w:rFonts w:eastAsia="Cambria" w:cs="Cambria"/>
                <w:b w:val="false"/>
                <w:bCs w:val="false"/>
                <w:i/>
                <w:iCs/>
                <w:sz w:val="20"/>
                <w:szCs w:val="20"/>
              </w:rPr>
              <w:t>CPA</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das kostet meist 800–2.500 $.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Ebenen, eine Selbstveranlagung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erhebt die Einkommensteuer (</w:t>
      </w:r>
      <w:r>
        <w:rPr>
          <w:rFonts w:eastAsia="Cambria" w:cs="Cambria"/>
          <w:b w:val="false"/>
          <w:bCs w:val="false"/>
          <w:i/>
          <w:iCs/>
          <w:sz w:val="22"/>
          <w:szCs w:val="22"/>
        </w:rPr>
        <w:t>Federal Income Tax</w:t>
      </w:r>
      <w:r>
        <w:rPr>
          <w:rFonts w:eastAsia="Cambria" w:cs="Cambria"/>
          <w:b w:val="false"/>
          <w:bCs w:val="false"/>
          <w:i w:val="false"/>
          <w:iCs w:val="false"/>
          <w:sz w:val="22"/>
          <w:szCs w:val="22"/>
        </w:rPr>
        <w:t>)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einzelne auch eine Stadt-Einkommensteuer, dazu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anders als die deutsche Mehrwertsteuer nicht im Preis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ist überall gleich: Dein Arbeitgeber behält während des Jahres Steuern vom Gehalt ein (</w:t>
      </w:r>
      <w:r>
        <w:rPr>
          <w:rFonts w:eastAsia="Cambria" w:cs="Cambria"/>
          <w:b w:val="false"/>
          <w:bCs w:val="false"/>
          <w:i/>
          <w:iCs/>
          <w:sz w:val="22"/>
          <w:szCs w:val="22"/>
        </w:rPr>
        <w:t>Withholding</w:t>
      </w:r>
      <w:r>
        <w:rPr>
          <w:rFonts w:eastAsia="Cambria" w:cs="Cambria"/>
          <w:b w:val="false"/>
          <w:bCs w:val="false"/>
          <w:i w:val="false"/>
          <w:iCs w:val="false"/>
          <w:sz w:val="22"/>
          <w:szCs w:val="22"/>
        </w:rPr>
        <w:t xml:space="preserve">), maßgeblich ist das Formular </w:t>
      </w:r>
      <w:r>
        <w:rPr>
          <w:rFonts w:eastAsia="Cambria" w:cs="Cambria"/>
          <w:b w:val="false"/>
          <w:bCs w:val="false"/>
          <w:i/>
          <w:iCs/>
          <w:sz w:val="22"/>
          <w:szCs w:val="22"/>
        </w:rPr>
        <w:t>W-4</w:t>
      </w:r>
      <w:r>
        <w:rPr>
          <w:rFonts w:eastAsia="Cambria" w:cs="Cambria"/>
          <w:b w:val="false"/>
          <w:bCs w:val="false"/>
          <w:i w:val="false"/>
          <w:iCs w:val="false"/>
          <w:sz w:val="22"/>
          <w:szCs w:val="22"/>
        </w:rPr>
        <w:t xml:space="preserve">. Bis 31. Januar schickt er dir das Formular </w:t>
      </w:r>
      <w:r>
        <w:rPr>
          <w:rFonts w:eastAsia="Cambria" w:cs="Cambria"/>
          <w:b w:val="false"/>
          <w:bCs w:val="false"/>
          <w:i/>
          <w:iCs/>
          <w:sz w:val="22"/>
          <w:szCs w:val="22"/>
        </w:rPr>
        <w:t>W-2</w:t>
      </w:r>
      <w:r>
        <w:rPr>
          <w:rFonts w:eastAsia="Cambria" w:cs="Cambria"/>
          <w:b w:val="false"/>
          <w:bCs w:val="false"/>
          <w:i w:val="false"/>
          <w:iCs w:val="false"/>
          <w:sz w:val="22"/>
          <w:szCs w:val="22"/>
        </w:rPr>
        <w:t>, die Jahreslohnbescheinigung; damit erstellst du bis 15. April die Erklärung (</w:t>
      </w:r>
      <w:r>
        <w:rPr>
          <w:rFonts w:eastAsia="Cambria" w:cs="Cambria"/>
          <w:b w:val="false"/>
          <w:bCs w:val="false"/>
          <w:i/>
          <w:iCs/>
          <w:sz w:val="22"/>
          <w:szCs w:val="22"/>
        </w:rPr>
        <w:t>Tax Return</w:t>
      </w:r>
      <w:r>
        <w:rPr>
          <w:rFonts w:eastAsia="Cambria" w:cs="Cambria"/>
          <w:b w:val="false"/>
          <w:bCs w:val="false"/>
          <w:i w:val="false"/>
          <w:iCs w:val="false"/>
          <w:sz w:val="22"/>
          <w:szCs w:val="22"/>
        </w:rPr>
        <w:t>, Bundesformular 1040). Dann zeigt sich, ob du zu viel gezahlt hast (Erstattung, bei E-Filing mit Direktüberweisung meist nach wenigen Wochen) oder nachzahlen musst. Steuerklassen gibt es nicht; die Familiensituation wirkt über den Veranlagungsstatus (</w:t>
      </w:r>
      <w:r>
        <w:rPr>
          <w:rFonts w:eastAsia="Cambria" w:cs="Cambria"/>
          <w:b w:val="false"/>
          <w:bCs w:val="false"/>
          <w:i/>
          <w:iCs/>
          <w:sz w:val="22"/>
          <w:szCs w:val="22"/>
        </w:rPr>
        <w:t>Filing Status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Bundeseinkommensteuer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einfacher als in Deutschland. Vom Bruttoeinkommen ziehst du den Standardabzug (</w:t>
      </w:r>
      <w:r>
        <w:rPr>
          <w:rFonts w:eastAsia="Cambria" w:cs="Cambria"/>
          <w:b w:val="false"/>
          <w:bCs w:val="false"/>
          <w:i/>
          <w:iCs/>
          <w:sz w:val="22"/>
          <w:szCs w:val="22"/>
        </w:rPr>
        <w:t>Standard Deduction</w:t>
      </w:r>
      <w:r>
        <w:rPr>
          <w:rFonts w:eastAsia="Cambria" w:cs="Cambria"/>
          <w:b w:val="false"/>
          <w:bCs w:val="false"/>
          <w:i w:val="false"/>
          <w:iCs w:val="false"/>
          <w:sz w:val="22"/>
          <w:szCs w:val="22"/>
        </w:rPr>
        <w:t>) ab: 2026 sind das 16.100 $ für Einzelpersonen, 32.200 $ für Ehepaare und 24.150 $ für Alleinerziehende (</w:t>
      </w:r>
      <w:r>
        <w:rPr>
          <w:rFonts w:eastAsia="Cambria" w:cs="Cambria"/>
          <w:b w:val="false"/>
          <w:bCs w:val="false"/>
          <w:i/>
          <w:iCs/>
          <w:sz w:val="22"/>
          <w:szCs w:val="22"/>
        </w:rPr>
        <w:t>Head of Household</w:t>
      </w:r>
      <w:r>
        <w:rPr>
          <w:rFonts w:eastAsia="Cambria" w:cs="Cambria"/>
          <w:b w:val="false"/>
          <w:bCs w:val="false"/>
          <w:i w:val="false"/>
          <w:iCs w:val="false"/>
          <w:sz w:val="22"/>
          <w:szCs w:val="22"/>
        </w:rPr>
        <w:t>). Nur wenn deine Einzelabzüge (</w:t>
      </w:r>
      <w:r>
        <w:rPr>
          <w:rFonts w:eastAsia="Cambria" w:cs="Cambria"/>
          <w:b w:val="false"/>
          <w:bCs w:val="false"/>
          <w:i/>
          <w:iCs/>
          <w:sz w:val="22"/>
          <w:szCs w:val="22"/>
        </w:rPr>
        <w:t>Itemized Deductions</w:t>
      </w:r>
      <w:r>
        <w:rPr>
          <w:rFonts w:eastAsia="Cambria" w:cs="Cambria"/>
          <w:b w:val="false"/>
          <w:bCs w:val="false"/>
          <w:i w:val="false"/>
          <w:iCs w:val="false"/>
          <w:sz w:val="22"/>
          <w:szCs w:val="22"/>
        </w:rPr>
        <w:t>) höher ausfallen, etwa durch Hypothekenzinsen und Grundsteuer, lohnt sich der Einzelnachweis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Auf den Rest wendest du gestaffelte Sätze an; einen Freibetrag pro Kopf gibt es nicht. Ehepaare veranlagen sich meist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MFJ), auch bei nur einem Einkommen.</w:t>
      </w:r>
    </w:p>
    <w:tbl>
      <w:tblPr>
        <w:tblW w:w="6480" w:type="dxa"/>
        <w:jc w:val="left"/>
        <w:tblInd w:w="0" w:type="dxa"/>
        <w:tblLayout w:type="fixed"/>
        <w:tblCellMar>
          <w:top w:w="50" w:type="dxa"/>
          <w:left w:w="80" w:type="dxa"/>
          <w:bottom w:w="50" w:type="dxa"/>
          <w:right w:w="80" w:type="dxa"/>
        </w:tblCellMar>
      </w:tblPr>
      <w:tblGrid>
        <w:gridCol w:w="1417"/>
        <w:gridCol w:w="3181"/>
        <w:gridCol w:w="1882"/>
      </w:tblGrid>
      <w:tr>
        <w:trPr>
          <w:tblHeader w:val="true"/>
          <w:cantSplit w:val="true"/>
        </w:trPr>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Einzelperson: zu versteuerndes Einkommen bis (in $)</w:t>
            </w:r>
          </w:p>
        </w:tc>
        <w:tc>
          <w:tcPr>
            <w:tcW w:w="1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Ehepaar (MFJ): bis (in $)</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105.700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211.400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201.775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403.550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256.225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512.450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640.600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768.700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Satz gilt nur für den Teil des Einkommens innerhalb seiner Stufe: Wer 120.000 $ verdient, zahlt nicht 22 % auf alles. Gewinne aus Wertpapieren, die du länger als ein Jahr hältst, werden niedriger besteuert (Einzelperson: 0 % bis 49.450 $, 15 % bis 545.500 $, darüber 20 %).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gibt es die Kinder-Steuergutschrift (</w:t>
      </w:r>
      <w:r>
        <w:rPr>
          <w:rFonts w:eastAsia="Cambria" w:cs="Cambria"/>
          <w:b w:val="false"/>
          <w:bCs w:val="false"/>
          <w:i/>
          <w:iCs/>
          <w:sz w:val="22"/>
          <w:szCs w:val="22"/>
        </w:rPr>
        <w:t>Child Tax Credit</w:t>
      </w:r>
      <w:r>
        <w:rPr>
          <w:rFonts w:eastAsia="Cambria" w:cs="Cambria"/>
          <w:b w:val="false"/>
          <w:bCs w:val="false"/>
          <w:i w:val="false"/>
          <w:iCs w:val="false"/>
          <w:sz w:val="22"/>
          <w:szCs w:val="22"/>
        </w:rP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w:t>
            </w:r>
            <w:r>
              <w:rPr>
                <w:rFonts w:eastAsia="Cambria" w:cs="Cambria"/>
                <w:b w:val="false"/>
                <w:bCs w:val="false"/>
                <w:i/>
                <w:iCs/>
                <w:sz w:val="20"/>
                <w:szCs w:val="20"/>
              </w:rPr>
              <w:t>ITIN</w:t>
            </w:r>
            <w:r>
              <w:rPr>
                <w:rFonts w:eastAsia="Cambria" w:cs="Cambria"/>
                <w:b w:val="false"/>
                <w:bCs w:val="false"/>
                <w:i w:val="false"/>
                <w:iCs w:val="false"/>
                <w:sz w:val="20"/>
                <w:szCs w:val="20"/>
              </w:rPr>
              <w:t>, die Steuernummer für Ausländer ohne SSN. Für sie gibt es nur 500 $ (</w:t>
            </w:r>
            <w:r>
              <w:rPr>
                <w:rFonts w:eastAsia="Cambria" w:cs="Cambria"/>
                <w:b w:val="false"/>
                <w:bCs w:val="false"/>
                <w:i/>
                <w:iCs/>
                <w:sz w:val="20"/>
                <w:szCs w:val="20"/>
              </w:rPr>
              <w:t>Credit for Other Dependents</w:t>
            </w:r>
            <w:r>
              <w:rPr>
                <w:rFonts w:eastAsia="Cambria" w:cs="Cambria"/>
                <w:b w:val="false"/>
                <w:bCs w:val="false"/>
                <w:i w:val="false"/>
                <w:iCs w:val="false"/>
                <w:sz w:val="20"/>
                <w:szCs w:val="20"/>
              </w:rPr>
              <w:t>). Bei zwei Kindern fehlen 3.400 $ pro Jahr. Plane die Gutschrift erst ein, wenn die SSN feststeht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Gehaltsabrechnung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Abrechnung (</w:t>
      </w:r>
      <w:r>
        <w:rPr>
          <w:rFonts w:eastAsia="Cambria" w:cs="Cambria"/>
          <w:b w:val="false"/>
          <w:bCs w:val="false"/>
          <w:i/>
          <w:iCs/>
          <w:sz w:val="22"/>
          <w:szCs w:val="22"/>
        </w:rPr>
        <w:t>Pay Stub</w:t>
      </w:r>
      <w:r>
        <w:rPr>
          <w:rFonts w:eastAsia="Cambria" w:cs="Cambria"/>
          <w:b w:val="false"/>
          <w:bCs w:val="false"/>
          <w:i w:val="false"/>
          <w:iCs w:val="false"/>
          <w:sz w:val="22"/>
          <w:szCs w:val="22"/>
        </w:rPr>
        <w:t>) stehen vom Brutto (</w:t>
      </w:r>
      <w:r>
        <w:rPr>
          <w:rFonts w:eastAsia="Cambria" w:cs="Cambria"/>
          <w:b w:val="false"/>
          <w:bCs w:val="false"/>
          <w:i/>
          <w:iCs/>
          <w:sz w:val="22"/>
          <w:szCs w:val="22"/>
        </w:rPr>
        <w:t>Gross Pay</w:t>
      </w:r>
      <w:r>
        <w:rPr>
          <w:rFonts w:eastAsia="Cambria" w:cs="Cambria"/>
          <w:b w:val="false"/>
          <w:bCs w:val="false"/>
          <w:i w:val="false"/>
          <w:iCs w:val="false"/>
          <w:sz w:val="22"/>
          <w:szCs w:val="22"/>
        </w:rPr>
        <w:t>) bis zur Auszahlung (</w:t>
      </w:r>
      <w:r>
        <w:rPr>
          <w:rFonts w:eastAsia="Cambria" w:cs="Cambria"/>
          <w:b w:val="false"/>
          <w:bCs w:val="false"/>
          <w:i/>
          <w:iCs/>
          <w:sz w:val="22"/>
          <w:szCs w:val="22"/>
        </w:rPr>
        <w:t>Net Pay</w:t>
      </w:r>
      <w:r>
        <w:rPr>
          <w:rFonts w:eastAsia="Cambria" w:cs="Cambria"/>
          <w:b w:val="false"/>
          <w:bCs w:val="false"/>
          <w:i w:val="false"/>
          <w:iCs w:val="false"/>
          <w:sz w:val="22"/>
          <w:szCs w:val="22"/>
        </w:rPr>
        <w:t xml:space="preserve">) alle Abzüge. Die Sozialabgaben heißen </w:t>
      </w:r>
      <w:r>
        <w:rPr>
          <w:rFonts w:eastAsia="Cambria" w:cs="Cambria"/>
          <w:b w:val="false"/>
          <w:bCs w:val="false"/>
          <w:i/>
          <w:iCs/>
          <w:sz w:val="22"/>
          <w:szCs w:val="22"/>
        </w:rPr>
        <w:t>FICA</w:t>
      </w:r>
      <w:r>
        <w:rPr>
          <w:rFonts w:eastAsia="Cambria" w:cs="Cambria"/>
          <w:b w:val="false"/>
          <w:bCs w:val="false"/>
          <w:i w:val="false"/>
          <w:iCs w:val="false"/>
          <w:sz w:val="22"/>
          <w:szCs w:val="22"/>
        </w:rPr>
        <w:t xml:space="preserve"> (nach dem Gesetz </w:t>
      </w:r>
      <w:r>
        <w:rPr>
          <w:rFonts w:eastAsia="Cambria" w:cs="Cambria"/>
          <w:b w:val="false"/>
          <w:bCs w:val="false"/>
          <w:i/>
          <w:iCs/>
          <w:sz w:val="22"/>
          <w:szCs w:val="22"/>
        </w:rPr>
        <w:t>Federal Insurance Contributions Act</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5"/>
        <w:gridCol w:w="2594"/>
        <w:gridCol w:w="2121"/>
      </w:tblGrid>
      <w:tr>
        <w:trPr>
          <w:tblHeader w:val="true"/>
          <w:cantSplit w:val="true"/>
        </w:trPr>
        <w:tc>
          <w:tcPr>
            <w:tcW w:w="1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2026</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Pre-Tax Deductions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Abzüge vor der Steuer: 401(k), Krankenversicherung, HSA/FSA</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mindern das steuerpflichtige Gehalt</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Federal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Einbehalt nach deinem W-4</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Vorschuss auf die Jahressteuer</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Social Security</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6,2 % bis 184.500 $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Medicare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für Ältere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1,45 % ohne Grenze; ab 200.000 $ Lohn zusätzlich 0,9 %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State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des Staats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0 % bis rund 10 %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Staatsumlagen</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Kalifornien </w:t>
            </w:r>
            <w:r>
              <w:rPr>
                <w:rFonts w:eastAsia="Cambria" w:cs="Cambria"/>
                <w:b w:val="false"/>
                <w:bCs w:val="false"/>
                <w:i/>
                <w:iCs/>
                <w:sz w:val="18"/>
                <w:szCs w:val="18"/>
              </w:rPr>
              <w:t>SDI</w:t>
            </w:r>
            <w:r>
              <w:rPr>
                <w:rFonts w:eastAsia="Cambria" w:cs="Cambria"/>
                <w:b w:val="false"/>
                <w:bCs w:val="false"/>
                <w:i w:val="false"/>
                <w:iCs w:val="false"/>
                <w:sz w:val="18"/>
                <w:szCs w:val="18"/>
              </w:rPr>
              <w:t xml:space="preserve"> (Lohnersatz bei Krankheit); Washington </w:t>
            </w:r>
            <w:r>
              <w:rPr>
                <w:rFonts w:eastAsia="Cambria" w:cs="Cambria"/>
                <w:b w:val="false"/>
                <w:bCs w:val="false"/>
                <w:i/>
                <w:iCs/>
                <w:sz w:val="18"/>
                <w:szCs w:val="18"/>
              </w:rPr>
              <w:t>Paid Family &amp; Medical Leave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1,3 % ohne Deckel; WA 1,13 % bis 184.500 $, davon trägst du etwa 71 %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zahlt die FICA-Sätze noch einmal. Die Krankenversicherung steckt nicht in FICA, ihre Prämie steht als eigener Abzug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Die deutschen Sozialabgaben von rund 20–22 % (bis zur Bemessungsgrenze) enthalten dagegen Kranken-, Pflege-, Renten- und Arbeitslosenversicherung; in den USA zahlt die Arbeitslosenversicherung der Arbeitgeber. Wer von einem deutschen Arbeitgeber entsandt wird, kann über das Sozialversicherungsabkommen von der US-Sozialversicherung befreit sein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Stellen, an denen es Neulinge erwischt:</w:t>
      </w:r>
    </w:p>
    <w:p>
      <w:pPr>
        <w:pStyle w:val="ListParagraph"/>
        <w:numPr>
          <w:ilvl w:val="0"/>
          <w:numId w:val="1"/>
        </w:numPr>
        <w:spacing w:lineRule="exact" w:line="288" w:before="0" w:after="60"/>
        <w:rPr/>
      </w:pPr>
      <w:r>
        <w:rPr>
          <w:rFonts w:eastAsia="Cambria" w:cs="Cambria"/>
          <w:b/>
          <w:bCs/>
          <w:i w:val="false"/>
          <w:iCs w:val="false"/>
          <w:sz w:val="22"/>
          <w:szCs w:val="22"/>
        </w:rPr>
        <w:t>Einbehalt im ersten Jahr:</w:t>
      </w:r>
      <w:r>
        <w:rPr>
          <w:rFonts w:eastAsia="Cambria" w:cs="Cambria"/>
          <w:b w:val="false"/>
          <w:bCs w:val="false"/>
          <w:i w:val="false"/>
          <w:iCs w:val="false"/>
          <w:sz w:val="22"/>
          <w:szCs w:val="22"/>
        </w:rPr>
        <w:t xml:space="preserve"> Arbeitgeber wenden bei Zugezogenen mitunter die Regeln für Nichtansässige an. Prüfe deinen W-4 und die Sonderregeln dafür (IRS Notice 1392).</w:t>
      </w:r>
    </w:p>
    <w:p>
      <w:pPr>
        <w:pStyle w:val="ListParagraph"/>
        <w:numPr>
          <w:ilvl w:val="0"/>
          <w:numId w:val="1"/>
        </w:numPr>
        <w:spacing w:lineRule="exact" w:line="288" w:before="0" w:after="60"/>
        <w:rPr/>
      </w:pPr>
      <w:r>
        <w:rPr>
          <w:rFonts w:eastAsia="Cambria" w:cs="Cambria"/>
          <w:b/>
          <w:bCs/>
          <w:i w:val="false"/>
          <w:iCs w:val="false"/>
          <w:sz w:val="22"/>
          <w:szCs w:val="22"/>
        </w:rPr>
        <w:t>Bonus und RSUs:</w:t>
      </w:r>
      <w:r>
        <w:rPr>
          <w:rFonts w:eastAsia="Cambria" w:cs="Cambria"/>
          <w:b w:val="false"/>
          <w:bCs w:val="false"/>
          <w:i w:val="false"/>
          <w:iCs w:val="false"/>
          <w:sz w:val="22"/>
          <w:szCs w:val="22"/>
        </w:rP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Umzugskosten:</w:t>
      </w:r>
      <w:r>
        <w:rPr>
          <w:rFonts w:eastAsia="Cambria" w:cs="Cambria"/>
          <w:b w:val="false"/>
          <w:bCs w:val="false"/>
          <w:i w:val="false"/>
          <w:iCs w:val="false"/>
          <w:sz w:val="22"/>
          <w:szCs w:val="22"/>
        </w:rPr>
        <w:t xml:space="preserve"> Du kannst sie nicht abziehen. Erstattet der Arbeitgeber sie, ist das steuerpflichtiger Lohn, auch wenn er die Steuer darauf übernimmt (</w:t>
      </w:r>
      <w:r>
        <w:rPr>
          <w:rFonts w:eastAsia="Cambria" w:cs="Cambria"/>
          <w:b w:val="false"/>
          <w:bCs w:val="false"/>
          <w:i/>
          <w:iCs/>
          <w:sz w:val="22"/>
          <w:szCs w:val="22"/>
        </w:rPr>
        <w:t>Gross-up</w:t>
      </w:r>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Beiträge zum klassischen 401(k) (2026: bis 24.500 $) und zum HSA (4.400 $ Einzelperson, 8.750 $ Familie) mindern dein steuerpflichtiges Gehalt. Im 22-%-Bereich spart ein Beitrag von 10.000 $ rund 2.200 $ Bundessteuer, dazu kommt die Staatssteuer. Ein Arbeitgeberzuschuss (</w:t>
            </w:r>
            <w:r>
              <w:rPr>
                <w:rFonts w:eastAsia="Cambria" w:cs="Cambria"/>
                <w:b w:val="false"/>
                <w:bCs w:val="false"/>
                <w:i/>
                <w:iCs/>
                <w:sz w:val="20"/>
                <w:szCs w:val="20"/>
              </w:rPr>
              <w:t>Match</w:t>
            </w:r>
            <w:r>
              <w:rPr>
                <w:rFonts w:eastAsia="Cambria" w:cs="Cambria"/>
                <w:b w:val="false"/>
                <w:bCs w:val="false"/>
                <w:i w:val="false"/>
                <w:iCs w:val="false"/>
                <w:sz w:val="20"/>
                <w:szCs w:val="20"/>
              </w:rPr>
              <w:t>) ist zusätzliches Gehalt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Kalifornien und New Jersey besteuern HSA-Beiträge weiterhin auf Staatsebene. Die Konten im Detail: Kapitel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 die HSA-Regeln: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Wann du in den USA steuerpflichtig wirst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pPr>
        <w:pStyle w:val="ListParagraph"/>
        <w:numPr>
          <w:ilvl w:val="0"/>
          <w:numId w:val="1"/>
        </w:numPr>
        <w:spacing w:lineRule="exact" w:line="288" w:before="0" w:after="60"/>
        <w:rPr/>
      </w:pPr>
      <w:r>
        <w:rPr>
          <w:rFonts w:eastAsia="Cambria" w:cs="Cambria"/>
          <w:b/>
          <w:bCs/>
          <w:i w:val="false"/>
          <w:iCs w:val="false"/>
          <w:sz w:val="22"/>
          <w:szCs w:val="22"/>
        </w:rPr>
        <w: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Resident Alien</w:t>
      </w:r>
      <w:r>
        <w:rPr>
          <w:rFonts w:eastAsia="Cambria" w:cs="Cambria"/>
          <w:b w:val="false"/>
          <w:bCs w:val="false"/>
          <w:i w:val="false"/>
          <w:iCs w:val="false"/>
          <w:sz w:val="22"/>
          <w:szCs w:val="22"/>
        </w:rPr>
        <w:t>): weltweites Einkommen, Form 1040, Standardabzug, Frist 15. April.</w:t>
      </w:r>
    </w:p>
    <w:p>
      <w:pPr>
        <w:pStyle w:val="ListParagraph"/>
        <w:numPr>
          <w:ilvl w:val="0"/>
          <w:numId w:val="1"/>
        </w:numPr>
        <w:spacing w:lineRule="exact" w:line="288" w:before="0" w:after="60"/>
        <w:rPr/>
      </w:pPr>
      <w:r>
        <w:rPr>
          <w:rFonts w:eastAsia="Cambria" w:cs="Cambria"/>
          <w:b/>
          <w:bCs/>
          <w:i w:val="false"/>
          <w:iCs w:val="false"/>
          <w:sz w:val="22"/>
          <w:szCs w:val="22"/>
        </w:rPr>
        <w:t>Nichtansässig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Nonresident Alien</w:t>
      </w:r>
      <w:r>
        <w:rPr>
          <w:rFonts w:eastAsia="Cambria" w:cs="Cambria"/>
          <w:b w:val="false"/>
          <w:bCs w:val="false"/>
          <w:i w:val="false"/>
          <w:iCs w:val="false"/>
          <w:sz w:val="22"/>
          <w:szCs w:val="22"/>
        </w:rPr>
        <w:t>): nur US-Einkünfte, Form 1040-NR. Löhne werden zu den normalen Sätzen besteuert, Dividenden pauschal mit 30 % oder dem Vertragssatz. Frist: 15. April mit Lohn, 15. Juni ohne Lohn.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Ansässig bist du bei einer von zwei Bedingungen: Der Green-Card-Test macht dich ab dem ersten Tag als Green-Card-Inhaber (</w:t>
      </w:r>
      <w:r>
        <w:rPr>
          <w:rFonts w:eastAsia="Cambria" w:cs="Cambria"/>
          <w:b w:val="false"/>
          <w:bCs w:val="false"/>
          <w:i/>
          <w:iCs/>
          <w:sz w:val="22"/>
          <w:szCs w:val="22"/>
        </w:rPr>
        <w:t>LPR</w:t>
      </w:r>
      <w:r>
        <w:rPr>
          <w:rFonts w:eastAsia="Cambria" w:cs="Cambria"/>
          <w:b w:val="false"/>
          <w:bCs w:val="false"/>
          <w:i w:val="false"/>
          <w:iCs w:val="false"/>
          <w:sz w:val="22"/>
          <w:szCs w:val="22"/>
        </w:rPr>
        <w:t xml:space="preserve">)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Du warst mindestens 31 Tage im laufenden Jahr in den USA und erreichst mindestens 183 gewichtete Tage, nämlich laufendes Jahr × 1 + Vorjahr × ⅓ + Vorvorjahr × ⅙. Beispiele für das Einreisejahr (eigene Rechnung): Wer am 1. Juli 2026 einreist, kommt auf 184 Tage und ist ab 1. Juli ansässig. Wer am 1. Oktober 2026 einreist, kommt auf 92 Tage, ist 2026 nichtansässig und ab 2027 ansässig.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Jahr der Einreise ergibt sich häufig ein Doppelstatus (</w:t>
      </w:r>
      <w:r>
        <w:rPr>
          <w:rFonts w:eastAsia="Cambria" w:cs="Cambria"/>
          <w:b w:val="false"/>
          <w:bCs w:val="false"/>
          <w:i/>
          <w:iCs/>
          <w:sz w:val="22"/>
          <w:szCs w:val="22"/>
        </w:rPr>
        <w:t>Dual-Status</w:t>
      </w:r>
      <w:r>
        <w:rPr>
          <w:rFonts w:eastAsia="Cambria" w:cs="Cambria"/>
          <w:b w:val="false"/>
          <w:bCs w:val="false"/>
          <w:i w:val="false"/>
          <w:iCs w:val="false"/>
          <w:sz w:val="22"/>
          <w:szCs w:val="22"/>
        </w:rPr>
        <w:t>): ein Teil des Jahres nichtansässig, ein Teil ansässig. Dann gibt es keinen Standardabzug und meist keine gemeinsame Veranlagung. Unter Bedingungen kannst du wählen, schon ab Einreise als ansässig zu gelten (</w:t>
      </w:r>
      <w:r>
        <w:rPr>
          <w:rFonts w:eastAsia="Cambria" w:cs="Cambria"/>
          <w:b w:val="false"/>
          <w:bCs w:val="false"/>
          <w:i/>
          <w:iCs/>
          <w:sz w:val="22"/>
          <w:szCs w:val="22"/>
        </w:rPr>
        <w:t>First-Year Choice</w:t>
      </w:r>
      <w:r>
        <w:rPr>
          <w:rFonts w:eastAsia="Cambria" w:cs="Cambria"/>
          <w:b w:val="false"/>
          <w:bCs w:val="false"/>
          <w:i w:val="false"/>
          <w:iCs w:val="false"/>
          <w:sz w:val="22"/>
          <w:szCs w:val="22"/>
        </w:rPr>
        <w:t>); ob das nützt, rechnet ein Steuerexperte durch.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Steuerlich zählen Green Card und gezählte Tage, nicht das Visum. Wer ansässig ist, meldet Einkommen und Vermögen weltweit, auch wenn die Steuerlast klein ausfällt.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zieht am 1. Oktober 2026 für ihre H-1B-Stelle nach Seattle. Bis Jahresende ist sie 92 Tage in den USA, also unter 183. Für 2026 gilt sie als nichtansässig, erklärt nur ihr US-Gehalt mit Form 1040-NR und lässt das deutsche Gehalt bis September außen vor. Ab 2027 ist sie mit 365 Tagen ansässig. Dann zählt ihr weltweites Einkommen, und ihr Konto in München ist meldepflichtig – der Kalender mit allen Ein- und Ausreisen, den sie seit dem ersten Arbeitstag pflichtbewusst führt, zahlt sich hier zum ersten Mal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Green-Card-Inhaber bleiben steuerlich ansässig, bis sie den Status aufgeben oder verlieren, auch wenn sie wieder in Deutschland leben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Bundesstaaten haben eigene Ansässigkeitsregeln und verlangen bei Zu- oder Wegzug im Jahr oft Teiljahreserklärungen.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Weltweites Einkommen, Abkommen und Anrechnung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Ansässiger versteuerst du, was du weltweit verdienst: deutsche Mieten, Zinsen, Dividenden, Kapitalgewinne, Renten. Zwei Bausteine verhindern eine doppelte Belastung.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ist das Doppelbesteuerungsabkommen (DBA) Deutschland–USA von 1989 (Änderungsprotokoll 2006). Bei doppelter Ansässigkeit entscheidet es nach fester Reihenfolge (</w:t>
      </w:r>
      <w:r>
        <w:rPr>
          <w:rFonts w:eastAsia="Cambria" w:cs="Cambria"/>
          <w:b w:val="false"/>
          <w:bCs w:val="false"/>
          <w:i/>
          <w:iCs/>
          <w:sz w:val="22"/>
          <w:szCs w:val="22"/>
        </w:rPr>
        <w:t>Tie-Breaker</w:t>
      </w:r>
      <w:r>
        <w:rPr>
          <w:rFonts w:eastAsia="Cambria" w:cs="Cambria"/>
          <w:b w:val="false"/>
          <w:bCs w:val="false"/>
          <w:i w:val="false"/>
          <w:iCs w:val="false"/>
          <w:sz w:val="22"/>
          <w:szCs w:val="22"/>
        </w:rPr>
        <w:t xml:space="preserve">, Artikel 4): ständige Wohnstätte, Mittelpunkt der Lebensinteressen, gewöhnlicher Aufenthalt, Staatsangehörigkeit, zuletzt eine Verständigung der Behörden. Die </w:t>
      </w:r>
      <w:r>
        <w:rPr>
          <w:rFonts w:eastAsia="Cambria" w:cs="Cambria"/>
          <w:b w:val="false"/>
          <w:bCs w:val="false"/>
          <w:i/>
          <w:iCs/>
          <w:sz w:val="22"/>
          <w:szCs w:val="22"/>
        </w:rPr>
        <w:t>Saving Clause</w:t>
      </w:r>
      <w:r>
        <w:rPr>
          <w:rFonts w:eastAsia="Cambria" w:cs="Cambria"/>
          <w:b w:val="false"/>
          <w:bCs w:val="false"/>
          <w:i w:val="false"/>
          <w:iCs w:val="false"/>
          <w:sz w:val="22"/>
          <w:szCs w:val="22"/>
        </w:rPr>
        <w:t xml:space="preserv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Baustein ist die Anrechnung ausländischer Steuern (</w:t>
      </w:r>
      <w:r>
        <w:rPr>
          <w:rFonts w:eastAsia="Cambria" w:cs="Cambria"/>
          <w:b w:val="false"/>
          <w:bCs w:val="false"/>
          <w:i/>
          <w:iCs/>
          <w:sz w:val="22"/>
          <w:szCs w:val="22"/>
        </w:rPr>
        <w:t>Foreign Tax Credit</w:t>
      </w:r>
      <w:r>
        <w:rPr>
          <w:rFonts w:eastAsia="Cambria" w:cs="Cambria"/>
          <w:b w:val="false"/>
          <w:bCs w:val="false"/>
          <w:i w:val="false"/>
          <w:iCs w:val="false"/>
          <w:sz w:val="22"/>
          <w:szCs w:val="22"/>
        </w:rP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rFonts w:eastAsia="Cambria" w:cs="Cambria"/>
          <w:b w:val="false"/>
          <w:bCs w:val="false"/>
          <w:i/>
          <w:iCs/>
          <w:sz w:val="22"/>
          <w:szCs w:val="22"/>
        </w:rPr>
        <w:t>Schedule E</w:t>
      </w:r>
      <w:r>
        <w:rPr>
          <w:rFonts w:eastAsia="Cambria" w:cs="Cambria"/>
          <w:b w:val="false"/>
          <w:bCs w:val="false"/>
          <w:i w:val="false"/>
          <w:iCs w:val="false"/>
          <w:sz w:val="22"/>
          <w:szCs w:val="22"/>
        </w:rPr>
        <w:t>, mit Abschreibung), die deutsche Steuer wird angerechnet. Deutsche Kapitalertragsteuer über dem Abkommenssatz lässt sich beim Bundeszentralamt für Steuern (BZSt) zurückfordern. Wegzug, Kapitalerträge und Immobilien aus deutscher Sicht: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Meldepflichten für Auslandsvermögen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Steuer verlangen die USA Meldungen über Vermögen im Ausland, auch wenn darauf keine Steuer anfällt. Ein vergessenes Sparbuch aus Kindertagen mit ein paar hundert Euro Restguthaben zählt dabei genauso wie das Aktiendepot – die Regel fragt nicht nach der Höhe der Zinsen, sondern nach der bloßen Existenz des Kontos. Vier Meldungen betreffen typische Zuzügler.</w:t>
      </w:r>
    </w:p>
    <w:tbl>
      <w:tblPr>
        <w:tblW w:w="6480" w:type="dxa"/>
        <w:jc w:val="left"/>
        <w:tblInd w:w="0" w:type="dxa"/>
        <w:tblLayout w:type="fixed"/>
        <w:tblCellMar>
          <w:top w:w="50" w:type="dxa"/>
          <w:left w:w="80" w:type="dxa"/>
          <w:bottom w:w="50" w:type="dxa"/>
          <w:right w:w="80" w:type="dxa"/>
        </w:tblCellMar>
      </w:tblPr>
      <w:tblGrid>
        <w:gridCol w:w="1056"/>
        <w:gridCol w:w="1887"/>
        <w:gridCol w:w="2005"/>
        <w:gridCol w:w="1531"/>
      </w:tblGrid>
      <w:tr>
        <w:trPr>
          <w:tblHeader w:val="true"/>
          <w:cantSplit w:val="true"/>
        </w:trPr>
        <w:tc>
          <w:tcPr>
            <w:tcW w:w="10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Meldung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Schwelle</w:t>
            </w:r>
          </w:p>
        </w:tc>
        <w:tc>
          <w:tcPr>
            <w:tcW w:w="20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w:t>
            </w:r>
          </w:p>
        </w:tc>
        <w:tc>
          <w:tcPr>
            <w:tcW w:w="15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Strafe (Start)</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(FinCEN 114)</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Auslandskonten zusammen über 10.000 $ zu irgendeinem Zeitpunkt</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April, automatisch bis 15. Oktober</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vorsätzlich bis 16.536 $; vorsätzlich der höhere Betrag aus 165.353 $ und 50 % des Kontos</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8938 (FATCA)</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Einzelperson: über 50.000 $ am Jahresende oder 75.000 $ jederzeit; Ehepaar 100.000 $ bzw. 150.000 $</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 dazu bis 50.000 $</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8621 (PFIC)</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ausländische Fonds; entfällt bis 25.000 $ (Ehepaar 50.000 $) ohne Verkauf</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zum Höchstsatz plus Zinsen</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3520</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Erbschaft oder Schenkung von Ausländern über 100.000 $ im Jahr</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 je Monat, höchstens 25 %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FBAR-Beträge stammen von Januar 2025 und gelten nach einer Vorgabe des Weißen Hauses auch für 2026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w:t>
            </w:r>
            <w:r>
              <w:rPr>
                <w:rFonts w:eastAsia="Cambria" w:cs="Cambria"/>
                <w:b w:val="false"/>
                <w:bCs w:val="false"/>
                <w:i/>
                <w:iCs/>
                <w:sz w:val="20"/>
                <w:szCs w:val="20"/>
              </w:rPr>
              <w:t>Bittner v. United States</w:t>
            </w:r>
            <w:r>
              <w:rPr>
                <w:rFonts w:eastAsia="Cambria" w:cs="Cambria"/>
                <w:b w:val="false"/>
                <w:bCs w:val="false"/>
                <w:i w:val="false"/>
                <w:iCs w:val="false"/>
                <w:sz w:val="20"/>
                <w:szCs w:val="20"/>
              </w:rPr>
              <w:t xml:space="preserve"> (2023) gilt die Strafe für nicht vorsätzliche Fehler je Bericht, nicht je Konto. Wer Versäumnisse entdeckt, holt vor einer Nachmeldung Rat bei einem auf Auslandsfälle spezialisierten Steuerexperten oder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in der Regel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xml:space="preserve">, passive ausländische Kapitalgesellschaft). Im Standardregime werden Gewinne und Ausschüttungen auf die Haltejahre verteilt und ältere Jahre zum Höchstsatz plus Zinsen besteuert; der günstige Kapitalgewinnsatz entfällt. Die Alternativen (laufende Versteuerung per </w:t>
            </w:r>
            <w:r>
              <w:rPr>
                <w:rFonts w:eastAsia="Cambria" w:cs="Cambria"/>
                <w:b w:val="false"/>
                <w:bCs w:val="false"/>
                <w:i/>
                <w:iCs/>
                <w:sz w:val="20"/>
                <w:szCs w:val="20"/>
              </w:rPr>
              <w:t>QEF</w:t>
            </w:r>
            <w:r>
              <w:rPr>
                <w:rFonts w:eastAsia="Cambria" w:cs="Cambria"/>
                <w:b w:val="false"/>
                <w:bCs w:val="false"/>
                <w:i w:val="false"/>
                <w:iCs w:val="false"/>
                <w:sz w:val="20"/>
                <w:szCs w:val="20"/>
              </w:rPr>
              <w:t xml:space="preserve">-Wahl, jährliche Bewertung per </w:t>
            </w:r>
            <w:r>
              <w:rPr>
                <w:rFonts w:eastAsia="Cambria" w:cs="Cambria"/>
                <w:b w:val="false"/>
                <w:bCs w:val="false"/>
                <w:i/>
                <w:iCs/>
                <w:sz w:val="20"/>
                <w:szCs w:val="20"/>
              </w:rPr>
              <w:t>Mark-to-Market</w:t>
            </w:r>
            <w:r>
              <w:rPr>
                <w:rFonts w:eastAsia="Cambria" w:cs="Cambria"/>
                <w:b w:val="false"/>
                <w:bCs w:val="false"/>
                <w:i w:val="false"/>
                <w:iCs w:val="false"/>
                <w:sz w:val="20"/>
                <w:szCs w:val="20"/>
              </w:rPr>
              <w:t>) scheitern bei deutschen Fonds oft an fehlenden Unterlagen oder der Börsenzulassung. Kläre deshalb vor dem Zuzug, ob du Fonds verkaufst (deutsche Steuer vorher prüfen), und kaufe danach nur in den USA aufgelegte ETFs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und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 3520 fällt meist keine US-Steuer an; die Meldung ist trotzdem Pflicht. Für Riester, Rürup, Kapitallebensversicherung und Bausparvertrag gibt es keine eindeutige IRS-Leitlinie: Behandle sie als Einzelfall für einen Berater mit Auslandserfahrung.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und Kommunen: Was du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regelt jeder Bundesstaat selbst. Die Tabelle zeigt neun Beispiele (2026). Die Sales Tax ist der Durchschnitt aus Staats- und Ortssätzen (Stand 1. Juli 2026), die Grundsteuer der effektive Jahressatz in Prozent des Hauswerts (Spannen aus Census-Daten 2024).</w:t>
      </w:r>
    </w:p>
    <w:tbl>
      <w:tblPr>
        <w:tblW w:w="6480" w:type="dxa"/>
        <w:jc w:val="left"/>
        <w:tblInd w:w="0" w:type="dxa"/>
        <w:tblLayout w:type="fixed"/>
        <w:tblCellMar>
          <w:top w:w="50" w:type="dxa"/>
          <w:left w:w="80" w:type="dxa"/>
          <w:bottom w:w="50" w:type="dxa"/>
          <w:right w:w="80" w:type="dxa"/>
        </w:tblCellMar>
      </w:tblPr>
      <w:tblGrid>
        <w:gridCol w:w="1671"/>
        <w:gridCol w:w="2191"/>
        <w:gridCol w:w="946"/>
        <w:gridCol w:w="1671"/>
      </w:tblGrid>
      <w:tr>
        <w:trPr>
          <w:tblHeader w:val="true"/>
          <w:cantSplit w:val="true"/>
        </w:trPr>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1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Einkommensteuer</w:t>
            </w:r>
          </w:p>
        </w:tc>
        <w:tc>
          <w:tcPr>
            <w:tcW w:w="9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Sales Tax</w:t>
            </w:r>
          </w:p>
        </w:tc>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Grundsteuer</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1,2–1,5 %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auf Löhne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9,57 %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8,54 %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3,99 %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0,6 %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4,25 % flach, dazu Stadtsteuern</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1,1–1,2 %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10,75 %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1,7–1,9 %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1–12,3 % (+1 % ab 1 Mio. $), dazu SDI 1,3 %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9,03 %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Einkommensteuer heißt nicht steuerfrei. Texas gleicht das über hohe Grundsteuern aus. Washington hat eine der höchsten Verkaufssteuern, seit 1. Oktober 2025 auch auf viele Dienstleistungen, und besteuert Kapitalgewinne (7 %, über 1 Mio. $ Gewinn 9,9 %; Immobilien und Altersvorsorge ausgenommen). Eine Einkommensteuer von 9,9 % auf Einkommen über 1 Mio. $ ab 2028 ist beschlossen; eine Klage wird erwartet, der Ausgang ist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Sales Tax</w:t>
      </w:r>
      <w:r>
        <w:rPr>
          <w:rFonts w:eastAsia="Cambria" w:cs="Cambria"/>
          <w:b w:val="false"/>
          <w:bCs w:val="false"/>
          <w:i w:val="false"/>
          <w:iCs w:val="false"/>
          <w:sz w:val="22"/>
          <w:szCs w:val="22"/>
        </w:rP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oft mehr als langjährige Nachbarn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Ein Steuervorteil kann durch höhere Wohnkosten aufgezehrt werden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Beispielrechnung: Von brutto zu netto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eine Näherung für 2026. Annahmen: ein ganzes Jahr ansässig, nur Standardabzug, kein 401(k), kein HSA, keine Prämie für die Krankenversicherung, keine Miete, keine Kinderbetreuung.</w:t>
      </w:r>
    </w:p>
    <w:p>
      <w:pPr>
        <w:pStyle w:val="Normal"/>
        <w:keepNext w:val="false"/>
        <w:keepLines w:val="false"/>
        <w:spacing w:lineRule="exact" w:line="288" w:before="0" w:after="140"/>
        <w:jc w:val="left"/>
        <w:rPr/>
      </w:pPr>
      <w:r>
        <w:rPr>
          <w:rFonts w:eastAsia="Cambria" w:cs="Cambria"/>
          <w:b/>
          <w:bCs/>
          <w:i w:val="false"/>
          <w:iCs w:val="false"/>
          <w:sz w:val="22"/>
          <w:szCs w:val="22"/>
        </w:rPr>
        <w:t>Einzelperson mit 120.000 $.</w:t>
      </w:r>
      <w:r>
        <w:rPr>
          <w:rFonts w:eastAsia="Cambria" w:cs="Cambria"/>
          <w:b w:val="false"/>
          <w:bCs w:val="false"/>
          <w:i w:val="false"/>
          <w:iCs w:val="false"/>
          <w:sz w:val="22"/>
          <w:szCs w:val="22"/>
        </w:rPr>
        <w:t xml:space="preserve"> Bund: 120.000 − 16.100 = 103.900 $ zu versteuern. 10 % auf 12.400 $ (1.240 $) + 12 % auf 38.000 $ (4.560 $) + 22 % auf 53.500 $ (11.770 $) ergeben 17.570 $. FICA: 7,65 % = 9.180 $. Staat: Texas 0 $. Washington nur Umlagen: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696 $ + Family Leave 969 $. Michigan: (120.000 − 5.800 $ Freibetrag) × 4,25 % = 4.854 $. Kalifornien: 6.915 $ Steuer nach Abzügen plus 1.560 $ SDI.</w:t>
      </w:r>
    </w:p>
    <w:tbl>
      <w:tblPr>
        <w:tblW w:w="6480" w:type="dxa"/>
        <w:jc w:val="left"/>
        <w:tblInd w:w="0" w:type="dxa"/>
        <w:tblLayout w:type="fixed"/>
        <w:tblCellMar>
          <w:top w:w="50" w:type="dxa"/>
          <w:left w:w="80" w:type="dxa"/>
          <w:bottom w:w="50" w:type="dxa"/>
          <w:right w:w="80" w:type="dxa"/>
        </w:tblCellMar>
      </w:tblPr>
      <w:tblGrid>
        <w:gridCol w:w="2002"/>
        <w:gridCol w:w="1433"/>
        <w:gridCol w:w="1270"/>
        <w:gridCol w:w="1774"/>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4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 + FICA (in $)</w:t>
            </w:r>
          </w:p>
        </w:tc>
        <w:tc>
          <w:tcPr>
            <w:tcW w:w="12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 (in $)</w:t>
            </w:r>
          </w:p>
        </w:tc>
        <w:tc>
          <w:tcPr>
            <w:tcW w:w="17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(in $, Anteil)</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93.250 (77,7 %)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1.665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91.585 (76,3 %)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88.396 (73,7 %)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84.775 (70,6 %)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eines Nichteinwanderervisums wie H-1B sind seit 1. Januar 2026 von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in Washington bleiben ihnen dann 92.281 $ (76,9 %).</w:t>
      </w:r>
    </w:p>
    <w:p>
      <w:pPr>
        <w:pStyle w:val="Normal"/>
        <w:keepNext w:val="false"/>
        <w:keepLines w:val="false"/>
        <w:spacing w:lineRule="exact" w:line="288" w:before="0" w:after="140"/>
        <w:jc w:val="left"/>
        <w:rPr/>
      </w:pPr>
      <w:r>
        <w:rPr>
          <w:rFonts w:eastAsia="Cambria" w:cs="Cambria"/>
          <w:b/>
          <w:bCs/>
          <w:i w:val="false"/>
          <w:iCs w:val="false"/>
          <w:sz w:val="22"/>
          <w:szCs w:val="22"/>
        </w:rPr>
        <w:t>Ehepaar mit 150.000 $, ein Einkommen, zwei Kinder unter 17.</w:t>
      </w:r>
      <w:r>
        <w:rPr>
          <w:rFonts w:eastAsia="Cambria" w:cs="Cambria"/>
          <w:b w:val="false"/>
          <w:bCs w:val="false"/>
          <w:i w:val="false"/>
          <w:iCs w:val="false"/>
          <w:sz w:val="22"/>
          <w:szCs w:val="22"/>
        </w:rPr>
        <w:t xml:space="preserve"> Bund: 150.000 − 32.200 = 117.800 $. 10 % auf 24.800 $ (2.480 $) + 12 % auf 76.000 $ (9.120 $) + 22 % auf 17.000 $ (3.740 $) ergeben 15.340 $. Davon ziehst du die Gutschrift ab: 2 × 2.200 $ bei Kindern mit SSN (10.940 $) oder 2 × 500 $ bei Kindern mit ITIN (14.340 $). FICA: 11.475 $.</w:t>
      </w:r>
    </w:p>
    <w:tbl>
      <w:tblPr>
        <w:tblW w:w="6480" w:type="dxa"/>
        <w:jc w:val="left"/>
        <w:tblInd w:w="0" w:type="dxa"/>
        <w:tblLayout w:type="fixed"/>
        <w:tblCellMar>
          <w:top w:w="50" w:type="dxa"/>
          <w:left w:w="80" w:type="dxa"/>
          <w:bottom w:w="50" w:type="dxa"/>
          <w:right w:w="80" w:type="dxa"/>
        </w:tblCellMar>
      </w:tblPr>
      <w:tblGrid>
        <w:gridCol w:w="1588"/>
        <w:gridCol w:w="1714"/>
        <w:gridCol w:w="1465"/>
        <w:gridCol w:w="1712"/>
      </w:tblGrid>
      <w:tr>
        <w:trPr>
          <w:tblHeader w:val="true"/>
          <w:cantSplit w:val="true"/>
        </w:trPr>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7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Staatssteuer (in $)</w:t>
            </w:r>
          </w:p>
        </w:tc>
        <w:tc>
          <w:tcPr>
            <w:tcW w:w="1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mit Gutschrift (in $)</w:t>
            </w:r>
          </w:p>
        </w:tc>
        <w:tc>
          <w:tcPr>
            <w:tcW w:w="17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bei ITIN-Kindern (in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127.585 (85,1 %)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124.185 (82,8 %)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2.081</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125.504 (83,7 %)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122.104 (81,4 %)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122.196 (81,5 %)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(79,2 %)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121.036 (80,7 %)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117.636 (78,4 %)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zieht nach Michigan. Markus verdient 150.000 $, Anna arbeitet zunächst nicht. Lena (9) und Jonas (5) reisen mit H-4-Status ein und haben nur eine ITIN. Die Brandts hatten mit 2 × 2.200 $ Kindergutschrift geplant, bekommen aber 2 × 500 $: 3.400 $ weniger. Netto bleiben nach der Näherung rund 118.800 $ statt 122.200 $, jeweils ohne Krankenversicherung, 401(k) und mögliche Stadtsteuer. Die Familie streicht die Gutschrift aus dem Budget und klärt, ob die Kinder später eine SSN erhalten.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401(k), Einzelabzüge, Kinderbetreuung. In Washington ist die Family-Leave-Umlage mit dem Arbeitnehmeranteil von 71,43 % angesetzt.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Nichtansässig mit Form 8843</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mit F-1-, J-1-, M-1- oder Q-Visum studiert, hat eine Sonderregel: Die Anwesenheitstage zählen fünf Kalenderjahre lang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wobei jedes angefangene Kalenderjahr zählt. Für J- und Q-Lehrende und Forschende gilt die Ausnahme höchstens in zwei von sechs Jahren. In dieser Zeit bist du meist nichtansässig,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Erleichterungen gibt es: Nichtansässige Studierende mit erlaubter Arbeit sind von FICA befreit (Angehörige mit F-2 oder J-2 nicht), und das DBA (Artikel 20) stellt Unterhaltszahlungen aus Deutschland steuerfrei sowie bis zu vier Jahre lang Arbeitseinkommen bis 9.000 $ pro Jahr; das gilt nicht für US-Bürger und Green-Card-Inhaber. Gängige Software wie TurboTax kann kein Form 1040-NR; nutze Software für Nichtansässige wie Sprintax oder einen Steuerexperten.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Steuerexperten, Software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einfachen Fall (nur Lohn laut W-2, Standardabzug, keine Auslandskonten) genügt Software. Die IRS bietet kostenlose Software bis 89.000 $ Einkommen (Wert für 2025) und ausfüllbare Formulare für alle (</w:t>
      </w:r>
      <w:r>
        <w:rPr>
          <w:rFonts w:eastAsia="Cambria" w:cs="Cambria"/>
          <w:b w:val="false"/>
          <w:bCs w:val="false"/>
          <w:i/>
          <w:iCs/>
          <w:sz w:val="22"/>
          <w:szCs w:val="22"/>
        </w:rPr>
        <w:t>Free File</w:t>
      </w:r>
      <w:r>
        <w:rPr>
          <w:rFonts w:eastAsia="Cambria" w:cs="Cambria"/>
          <w:b w:val="false"/>
          <w:bCs w:val="false"/>
          <w:i w:val="false"/>
          <w:iCs w:val="false"/>
          <w:sz w:val="22"/>
          <w:szCs w:val="22"/>
        </w:rPr>
        <w:t xml:space="preserve">). Im Einreisejahr, bei Auslandsvermögen oder Aktienvergütung lohnt ein Profi. Ein </w:t>
      </w:r>
      <w:r>
        <w:rPr>
          <w:rFonts w:eastAsia="Cambria" w:cs="Cambria"/>
          <w:b w:val="false"/>
          <w:bCs w:val="false"/>
          <w:i/>
          <w:iCs/>
          <w:sz w:val="22"/>
          <w:szCs w:val="22"/>
        </w:rPr>
        <w:t>CPA</w:t>
      </w:r>
      <w:r>
        <w:rPr>
          <w:rFonts w:eastAsia="Cambria" w:cs="Cambria"/>
          <w:b w:val="false"/>
          <w:bCs w:val="false"/>
          <w:i w:val="false"/>
          <w:iCs w:val="false"/>
          <w:sz w:val="22"/>
          <w:szCs w:val="22"/>
        </w:rPr>
        <w:t xml:space="preserve">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ist ein staatlich zugelassener Wirtschafts- und Steuerexperte, ein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 von der IRS geprüfter Steuerspezialist. Einfache Steuerersteller (</w:t>
      </w:r>
      <w:r>
        <w:rPr>
          <w:rFonts w:eastAsia="Cambria" w:cs="Cambria"/>
          <w:b w:val="false"/>
          <w:bCs w:val="false"/>
          <w:i/>
          <w:iCs/>
          <w:sz w:val="22"/>
          <w:szCs w:val="22"/>
        </w:rPr>
        <w:t>Unenrolled Preparer</w:t>
      </w:r>
      <w:r>
        <w:rPr>
          <w:rFonts w:eastAsia="Cambria" w:cs="Cambria"/>
          <w:b w:val="false"/>
          <w:bCs w:val="false"/>
          <w:i w:val="false"/>
          <w:iCs w:val="false"/>
          <w:sz w:val="22"/>
          <w:szCs w:val="22"/>
        </w:rPr>
        <w:t>) brauchen nur eine Registriernummer (</w:t>
      </w:r>
      <w:r>
        <w:rPr>
          <w:rFonts w:eastAsia="Cambria" w:cs="Cambria"/>
          <w:b w:val="false"/>
          <w:bCs w:val="false"/>
          <w:i/>
          <w:iCs/>
          <w:sz w:val="22"/>
          <w:szCs w:val="22"/>
        </w:rPr>
        <w:t>PTIN</w:t>
      </w:r>
      <w:r>
        <w:rPr>
          <w:rFonts w:eastAsia="Cambria" w:cs="Cambria"/>
          <w:b w:val="false"/>
          <w:bCs w:val="false"/>
          <w:i w:val="false"/>
          <w:iCs w:val="false"/>
          <w:sz w:val="22"/>
          <w:szCs w:val="22"/>
        </w:rPr>
        <w:t>), aber keine Mindestqualifikation.</w:t>
      </w:r>
    </w:p>
    <w:tbl>
      <w:tblPr>
        <w:tblW w:w="6480" w:type="dxa"/>
        <w:jc w:val="left"/>
        <w:tblInd w:w="0" w:type="dxa"/>
        <w:tblLayout w:type="fixed"/>
        <w:tblCellMar>
          <w:top w:w="50" w:type="dxa"/>
          <w:left w:w="80" w:type="dxa"/>
          <w:bottom w:w="50" w:type="dxa"/>
          <w:right w:w="80" w:type="dxa"/>
        </w:tblCellMar>
      </w:tblPr>
      <w:tblGrid>
        <w:gridCol w:w="1944"/>
        <w:gridCol w:w="2853"/>
        <w:gridCol w:w="1683"/>
      </w:tblGrid>
      <w:tr>
        <w:trPr>
          <w:tblHeader w:val="true"/>
          <w:cantSplit w:val="true"/>
        </w:trPr>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8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Grobe Kosten</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0–150 $ (Bund) plus Staat</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Erstjahr mit Doppelstatus, FBAR, Form 8938</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 mit Auslandserfahrung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800–2.500 $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Immobilie, Fonds, Nachmeldung</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Berater für grenzüberschreitende Fälle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sind grobe Erfahrungswerte, keine amtlichen Zahlen; jedes Form 8621 kostet meist 100–300 $ extra. Hole Angebote ein und frage nach Erfahrung mit dem DBA Deutschland–USA, PFIC und Form 3520. Warnzeichen sind ein Honorar als Prozentsatz der Erstattung und Steuerersteller ohne PTIN oder Unterschrift (</w:t>
      </w:r>
      <w:r>
        <w:rPr>
          <w:rFonts w:eastAsia="Cambria" w:cs="Cambria"/>
          <w:b w:val="false"/>
          <w:bCs w:val="false"/>
          <w:i/>
          <w:iCs/>
          <w:sz w:val="22"/>
          <w:szCs w:val="22"/>
        </w:rPr>
        <w:t>Ghost Preparer</w:t>
      </w:r>
      <w:r>
        <w:rPr>
          <w:rFonts w:eastAsia="Cambria" w:cs="Cambria"/>
          <w:b w:val="false"/>
          <w:bCs w:val="false"/>
          <w:i w:val="false"/>
          <w:iCs w:val="false"/>
          <w:sz w:val="22"/>
          <w:szCs w:val="22"/>
        </w:rPr>
        <w:t>) –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Fristen, Strafen und Betrug</w:t>
      </w:r>
    </w:p>
    <w:p>
      <w:pPr>
        <w:pStyle w:val="ListParagraph"/>
        <w:numPr>
          <w:ilvl w:val="0"/>
          <w:numId w:val="1"/>
        </w:numPr>
        <w:spacing w:lineRule="exact" w:line="288" w:before="0" w:after="60"/>
        <w:rPr/>
      </w:pPr>
      <w:r>
        <w:rPr>
          <w:rFonts w:eastAsia="Cambria" w:cs="Cambria"/>
          <w:b/>
          <w:bCs/>
          <w:i w:val="false"/>
          <w:iCs w:val="false"/>
          <w:sz w:val="22"/>
          <w:szCs w:val="22"/>
        </w:rPr>
        <w:t>31. Januar:</w:t>
      </w:r>
      <w:r>
        <w:rPr>
          <w:rFonts w:eastAsia="Cambria" w:cs="Cambria"/>
          <w:b w:val="false"/>
          <w:bCs w:val="false"/>
          <w:i w:val="false"/>
          <w:iCs w:val="false"/>
          <w:sz w:val="22"/>
          <w:szCs w:val="22"/>
        </w:rPr>
        <w:t xml:space="preserve"> Der Arbeitgeber stellt das W-2 aus.</w:t>
      </w:r>
    </w:p>
    <w:p>
      <w:pPr>
        <w:pStyle w:val="ListParagraph"/>
        <w:numPr>
          <w:ilvl w:val="0"/>
          <w:numId w:val="1"/>
        </w:numPr>
        <w:spacing w:lineRule="exact" w:line="288" w:before="0" w:after="60"/>
        <w:rPr/>
      </w:pPr>
      <w:r>
        <w:rPr>
          <w:rFonts w:eastAsia="Cambria" w:cs="Cambria"/>
          <w:b/>
          <w:bCs/>
          <w:i w:val="false"/>
          <w:iCs w:val="false"/>
          <w:sz w:val="22"/>
          <w:szCs w:val="22"/>
        </w:rPr>
        <w:t>15. April 2027:</w:t>
      </w:r>
      <w:r>
        <w:rPr>
          <w:rFonts w:eastAsia="Cambria" w:cs="Cambria"/>
          <w:b w:val="false"/>
          <w:bCs w:val="false"/>
          <w:i w:val="false"/>
          <w:iCs w:val="false"/>
          <w:sz w:val="22"/>
          <w:szCs w:val="22"/>
        </w:rPr>
        <w:t xml:space="preserve"> Erklärung für 2026 und Zahlung fällig. Mit Form 4868 verlängerst du die Erklärung bis 15. Oktober 2027; gezahlt wird trotzdem am 15. April, sonst laufen Zinsen.</w:t>
      </w:r>
    </w:p>
    <w:p>
      <w:pPr>
        <w:pStyle w:val="ListParagraph"/>
        <w:numPr>
          <w:ilvl w:val="0"/>
          <w:numId w:val="1"/>
        </w:numPr>
        <w:spacing w:lineRule="exact" w:line="288" w:before="0" w:after="60"/>
        <w:rPr/>
      </w:pPr>
      <w:r>
        <w:rPr>
          <w:rFonts w:eastAsia="Cambria" w:cs="Cambria"/>
          <w:b/>
          <w:bCs/>
          <w:i w:val="false"/>
          <w:iCs w:val="false"/>
          <w:sz w:val="22"/>
          <w:szCs w:val="22"/>
        </w:rPr>
        <w:t>15. Juni:</w:t>
      </w:r>
      <w:r>
        <w:rPr>
          <w:rFonts w:eastAsia="Cambria" w:cs="Cambria"/>
          <w:b w:val="false"/>
          <w:bCs w:val="false"/>
          <w:i w:val="false"/>
          <w:iCs w:val="false"/>
          <w:sz w:val="22"/>
          <w:szCs w:val="22"/>
        </w:rPr>
        <w:t xml:space="preserve"> Frist für Nichtansässige ohne Lohn; wer am 15. April außerhalb der USA lebt, hat automatisch bis 15. Juni.</w:t>
      </w:r>
    </w:p>
    <w:p>
      <w:pPr>
        <w:pStyle w:val="ListParagraph"/>
        <w:numPr>
          <w:ilvl w:val="0"/>
          <w:numId w:val="1"/>
        </w:numPr>
        <w:spacing w:lineRule="exact" w:line="288" w:before="0" w:after="60"/>
        <w:rPr/>
      </w:pPr>
      <w:r>
        <w:rPr>
          <w:rFonts w:eastAsia="Cambria" w:cs="Cambria"/>
          <w:b/>
          <w:bCs/>
          <w:i w:val="false"/>
          <w:iCs w:val="false"/>
          <w:sz w:val="22"/>
          <w:szCs w:val="22"/>
        </w:rPr>
        <w:t>15. Oktober:</w:t>
      </w:r>
      <w:r>
        <w:rPr>
          <w:rFonts w:eastAsia="Cambria" w:cs="Cambria"/>
          <w:b w:val="false"/>
          <w:bCs w:val="false"/>
          <w:i w:val="false"/>
          <w:iCs w:val="false"/>
          <w:sz w:val="22"/>
          <w:szCs w:val="22"/>
        </w:rPr>
        <w:t xml:space="preserve"> FBAR automatisch verlängert. Für 2025 endet die verlängerte Steuerfrist am 15. Oktober 2026.</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bei nachvollziehbarem Grund (</w:t>
      </w:r>
      <w:r>
        <w:rPr>
          <w:rFonts w:eastAsia="Cambria" w:cs="Cambria"/>
          <w:b w:val="false"/>
          <w:bCs w:val="false"/>
          <w:i/>
          <w:iCs/>
          <w:sz w:val="22"/>
          <w:szCs w:val="22"/>
        </w:rPr>
        <w:t>Reasonable Cause</w:t>
      </w:r>
      <w:r>
        <w:rPr>
          <w:rFonts w:eastAsia="Cambria" w:cs="Cambria"/>
          <w:b w:val="false"/>
          <w:bCs w:val="false"/>
          <w:i w:val="false"/>
          <w:iCs w:val="false"/>
          <w:sz w:val="22"/>
          <w:szCs w:val="22"/>
        </w:rPr>
        <w:t>) oder als Erstverstoß (</w:t>
      </w:r>
      <w:r>
        <w:rPr>
          <w:rFonts w:eastAsia="Cambria" w:cs="Cambria"/>
          <w:b w:val="false"/>
          <w:bCs w:val="false"/>
          <w:i/>
          <w:iCs/>
          <w:sz w:val="22"/>
          <w:szCs w:val="22"/>
        </w:rPr>
        <w:t>First-Time Abatement</w:t>
      </w:r>
      <w:r>
        <w:rPr>
          <w:rFonts w:eastAsia="Cambria" w:cs="Cambria"/>
          <w:b w:val="false"/>
          <w:bCs w:val="false"/>
          <w:i w:val="false"/>
          <w:iCs w:val="false"/>
          <w:sz w:val="22"/>
          <w:szCs w:val="22"/>
        </w:rPr>
        <w:t>)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geben sich am Telefon als IRS aus, drohen mit Verhaftung oder Abschiebung und verlangen sofortige Zahlung. Neuankömmlinge sind beliebte Ziele. Die IRS meldet sich zuerst per Post, droht nicht und lässt Rückfragen zu. Lege auf, prüfe den Vorgang auf irs.gov und melde Phishing an phishing@irs.gov.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und niedrige Einstiegssätze: von 120.000 $ bleiben je nach Staat 71–78 % (vor Krankenversicherung)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Fristen und Fehler liegen bei dir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Staaten ohne Einkommensteuer wie Texas, Florida und Washington (auf Löhne)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(FBAR, Form 8938, PFIC) mit hohen Strafen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Sales Tax und Grundsteuer kommen obendrauf; Preise stehen ohne Steuer im Regal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 und HSA senken die Steuer, der Arbeitgeber-Match ist Zusatzgehalt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ohne SSN: nur 500 statt 2.200 $ Gutschrift je Kind</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und Abkommen verhindern Doppelbesteuerung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Einreisejahr und Steuerexperte kosten Zeit und 800–2.500 $</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Erstattung per E-Filing oft nach wenigen Wochen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Staatserklärung, teils Stadtsteuern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bildest eine Rücklage für die erste Nachzahlung. Im Frühjahr folgen Erklärung, FBAR und Formulare. Konto und Kredit baust du nach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auf, die Vorsorge steht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die Rückkehr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Abflug alle deutschen Konten, Depots, Fonds, Bausparverträge und Versicherungen mit Höchstständen auflisten (Grundlage für FBAR und Form 8938).</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dem ersten Tag einen Kalender mit Einreisen und Ausreisen führen; Green-Card-Datum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Steuerberatung im Relocation-Paket? Gross-up für Umzugskosten?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W-4 am ersten Arbeitstag ausfüllen und nach Bonus, RSUs oder Jobwechsel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die Kinder eine SSN mit Arbeitserlaubnis erhalten können (Kinder-Steuergutschrift).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eine Nachzahlung im ersten April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Steuerexperten (CPA oder EA) mit Auslandserfahrung früh buchen und die Zulassung im IRS-Verzeichnis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Bis 15. April erklären oder Form 4868 einreichen und trotzdem 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Jedes Jahr FBAR (15. April, automatisch 15. Oktober) und bei Bedarf Form 8938, 8621 und 3520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Studierende: Form 8843 jährlich einreichen, auch ohne Einkommen.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Besteuerung von Nichtansässigen (</w:t>
      </w:r>
      <w:hyperlink r:id="rId262">
        <w:r>
          <w:rPr>
            <w:rStyle w:val="ListLabel113"/>
            <w:rFonts w:eastAsia="Cambria" w:cs="Cambria"/>
            <w:b w:val="false"/>
            <w:bCs w:val="false"/>
            <w:i w:val="false"/>
            <w:iCs w:val="false"/>
            <w:color w:val="0563C1"/>
            <w:sz w:val="22"/>
            <w:szCs w:val="22"/>
            <w:u w:val="single"/>
          </w:rPr>
          <w:t>irs.gov/individuals/international-taxpayers/taxation-of-nonresident-aliens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519, Steuerleitfaden für Ausländer (</w:t>
      </w:r>
      <w:hyperlink r:id="rId263">
        <w:r>
          <w:rPr>
            <w:rStyle w:val="ListLabel113"/>
            <w:rFonts w:eastAsia="Cambria" w:cs="Cambria"/>
            <w:b w:val="false"/>
            <w:bCs w:val="false"/>
            <w:i w:val="false"/>
            <w:iCs w:val="false"/>
            <w:color w:val="0563C1"/>
            <w:sz w:val="22"/>
            <w:szCs w:val="22"/>
            <w:u w:val="single"/>
          </w:rPr>
          <w:t>irs.gov/publications/p519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Child Tax Credit (</w:t>
      </w:r>
      <w:hyperlink r:id="rId264">
        <w:r>
          <w:rPr>
            <w:rStyle w:val="ListLabel113"/>
            <w:rFonts w:eastAsia="Cambria" w:cs="Cambria"/>
            <w:b w:val="false"/>
            <w:bCs w:val="false"/>
            <w:i w:val="false"/>
            <w:iCs w:val="false"/>
            <w:color w:val="0563C1"/>
            <w:sz w:val="22"/>
            <w:szCs w:val="22"/>
            <w:u w:val="single"/>
          </w:rPr>
          <w:t>irs.gov/credits-deductions/individuals/child-tax-credit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FBAR (</w:t>
      </w:r>
      <w:hyperlink r:id="rId265">
        <w:r>
          <w:rPr>
            <w:rStyle w:val="ListLabel113"/>
            <w:rFonts w:eastAsia="Cambria" w:cs="Cambria"/>
            <w:b w:val="false"/>
            <w:bCs w:val="false"/>
            <w:i w:val="false"/>
            <w:iCs w:val="false"/>
            <w:color w:val="0563C1"/>
            <w:sz w:val="22"/>
            <w:szCs w:val="22"/>
            <w:u w:val="single"/>
          </w:rPr>
          <w:t>irs.gov/businesses/small-businesses-self-employed/report-of-foreign-bank-and-financial-accounts-fbar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Form 8938 und FBAR (</w:t>
      </w:r>
      <w:hyperlink r:id="rId26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2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Strafen bei verspäteter Erklärung (</w:t>
      </w:r>
      <w:hyperlink r:id="rId268">
        <w:r>
          <w:rPr>
            <w:rStyle w:val="ListLabel113"/>
            <w:rFonts w:eastAsia="Cambria" w:cs="Cambria"/>
            <w:b w:val="false"/>
            <w:bCs w:val="false"/>
            <w:i w:val="false"/>
            <w:iCs w:val="false"/>
            <w:color w:val="0563C1"/>
            <w:sz w:val="22"/>
            <w:szCs w:val="22"/>
            <w:u w:val="single"/>
          </w:rPr>
          <w:t>irs.gov/payments/failure-to-file-penalty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Steuerexperten und Betrugswarnungen (</w:t>
      </w:r>
      <w:hyperlink r:id="rId269">
        <w:r>
          <w:rPr>
            <w:rStyle w:val="ListLabel113"/>
            <w:rFonts w:eastAsia="Cambria" w:cs="Cambria"/>
            <w:b w:val="false"/>
            <w:bCs w:val="false"/>
            <w:i w:val="false"/>
            <w:iCs w:val="false"/>
            <w:color w:val="0563C1"/>
            <w:sz w:val="22"/>
            <w:szCs w:val="22"/>
            <w:u w:val="single"/>
          </w:rPr>
          <w:t>irs.gov/tax-professionals/choosing-a-tax-professional</w:t>
        </w:r>
      </w:hyperlink>
      <w:r>
        <w:rPr>
          <w:rFonts w:eastAsia="Cambria" w:cs="Cambria"/>
          <w:b w:val="false"/>
          <w:bCs w:val="false"/>
          <w:i w:val="false"/>
          <w:iCs w:val="false"/>
          <w:sz w:val="22"/>
          <w:szCs w:val="22"/>
        </w:rPr>
        <w:t xml:space="preserve"> und </w:t>
      </w:r>
      <w:hyperlink r:id="rId270">
        <w:r>
          <w:rPr>
            <w:rStyle w:val="ListLabel113"/>
            <w:rFonts w:eastAsia="Cambria" w:cs="Cambria"/>
            <w:b w:val="false"/>
            <w:bCs w:val="false"/>
            <w:i w:val="false"/>
            <w:iCs w:val="false"/>
            <w:color w:val="0563C1"/>
            <w:sz w:val="22"/>
            <w:szCs w:val="22"/>
            <w:u w:val="single"/>
          </w:rPr>
          <w:t>irs.gov/newsroom/tax-scams-consumer-alerts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tc>
      </w:tr>
    </w:tbl>
    <w:p>
      <w:pPr>
        <w:sectPr>
          <w:footerReference w:type="even" r:id="rId271"/>
          <w:footerReference w:type="default" r:id="rId272"/>
          <w:footerReference w:type="first" r:id="rId27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1" w:name="__RefHeading___Toc56494_3457424410"/>
      <w:bookmarkEnd w:id="71"/>
      <w:r>
        <w:rPr>
          <w:rFonts w:eastAsia="Amazon Ember" w:cs="Amazon Ember" w:ascii="Amazon Ember" w:hAnsi="Amazon Ember"/>
          <w:b/>
          <w:bCs/>
          <w:color w:val="0000FF"/>
        </w:rPr>
        <w:t>TEIL VII — Arbeiten in den USA</w:t>
      </w:r>
    </w:p>
    <w:p>
      <w:pPr>
        <w:sectPr>
          <w:footerReference w:type="even" r:id="rId274"/>
          <w:footerReference w:type="default" r:id="rId275"/>
          <w:footerReference w:type="first" r:id="rId27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Anderes Arbeitsrecht, andere Regeln, anderes Selbstverständnis. Was du wissen musst, wenn du Karriere machst und wenn der Job wechselt.</w:t>
      </w:r>
      <w:r>
        <w:br w:type="page"/>
      </w:r>
    </w:p>
    <w:p>
      <w:pPr>
        <w:pStyle w:val="Heading2"/>
        <w:keepNext w:val="true"/>
        <w:spacing w:lineRule="exact" w:line="340" w:before="0" w:after="300"/>
        <w:jc w:val="center"/>
        <w:rPr/>
      </w:pPr>
      <w:bookmarkStart w:id="72" w:name="__RefHeading___Toc56496_3457424410"/>
      <w:bookmarkStart w:id="73" w:name="k29"/>
      <w:bookmarkEnd w:id="72"/>
      <w:r>
        <w:rPr>
          <w:rFonts w:eastAsia="Amazon Ember" w:cs="Amazon Ember" w:ascii="Amazon Ember" w:hAnsi="Amazon Ember"/>
          <w:b/>
          <w:bCs/>
          <w:color w:val="0000FF"/>
          <w:sz w:val="36"/>
          <w:szCs w:val="36"/>
        </w:rPr>
        <w:t>Kapitel 29: Die Arbeitswelt in den USA: Recht, Kultur, Gehalt</w:t>
      </w:r>
      <w:bookmarkEnd w:id="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überall gilt </w:t>
            </w:r>
            <w:r>
              <w:rPr>
                <w:rFonts w:eastAsia="Cambria" w:cs="Cambria"/>
                <w:b w:val="false"/>
                <w:bCs w:val="false"/>
                <w:i/>
                <w:iCs/>
                <w:sz w:val="20"/>
                <w:szCs w:val="20"/>
              </w:rPr>
              <w:t>At-will Employment</w:t>
            </w:r>
            <w:r>
              <w:rPr>
                <w:rFonts w:eastAsia="Cambria" w:cs="Cambria"/>
                <w:b w:val="false"/>
                <w:bCs w:val="false"/>
                <w:i w:val="false"/>
                <w:iCs w:val="false"/>
                <w:sz w:val="20"/>
                <w:szCs w:val="20"/>
              </w:rPr>
              <w:t xml:space="preserve"> (Kündigung ohne Grund, für beide Seiten). Ausnahmen betreffen vor allem Diskriminierung, Vergeltung und Vertragsbruch.</w:t>
            </w:r>
          </w:p>
          <w:p>
            <w:pPr>
              <w:pStyle w:val="ListParagraph"/>
              <w:numPr>
                <w:ilvl w:val="0"/>
                <w:numId w:val="1"/>
              </w:numPr>
              <w:spacing w:lineRule="exact" w:line="264" w:before="0" w:after="50"/>
              <w:rPr/>
            </w:pPr>
            <w:r>
              <w:rPr>
                <w:rFonts w:eastAsia="Cambria" w:cs="Cambria"/>
                <w:b w:val="false"/>
                <w:bCs w:val="false"/>
                <w:i w:val="false"/>
                <w:iCs w:val="false"/>
                <w:sz w:val="20"/>
                <w:szCs w:val="20"/>
              </w:rPr>
              <w:t>Urlaub, Krankheitstage und Kündigungsfrist regeln Offer Letter und Firmenrichtlinie: im Schnitt 11 bezahlte Urlaubstage im ersten Jahr (BLS, 2025).</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die Gesamtvergütung: Bonus, Aktien, 401(k)-Match und Sign-on-Bonus machen im Rechenbeispiel bis zu 41 % des Grundgehalts aus.</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Verbot von Wettbewerbsverboten gibt es nicht (Stand September 2026): Kalifornien erklärt sie für nichtig, Michigan erlaubt sie im Grundsatz.</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w:t>
            </w:r>
            <w:r>
              <w:rPr>
                <w:rFonts w:eastAsia="Cambria" w:cs="Cambria"/>
                <w:b w:val="false"/>
                <w:bCs w:val="false"/>
                <w:i/>
                <w:iCs/>
                <w:sz w:val="20"/>
                <w:szCs w:val="20"/>
              </w:rPr>
              <w:t>Resume</w:t>
            </w:r>
            <w:r>
              <w:rPr>
                <w:rFonts w:eastAsia="Cambria" w:cs="Cambria"/>
                <w:b w:val="false"/>
                <w:bCs w:val="false"/>
                <w:i w:val="false"/>
                <w:iCs w:val="false"/>
                <w:sz w:val="20"/>
                <w:szCs w:val="20"/>
              </w:rPr>
              <w:t xml:space="preserve"> ist kurz, ohne Foto und Geburtsdatum und zählt Ergebnisse statt Aufgaben; deutsche Bescheidenheit kostet Gehalt.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PIP</w:t>
            </w:r>
            <w:r>
              <w:rPr>
                <w:rFonts w:eastAsia="Cambria" w:cs="Cambria"/>
                <w:b w:val="false"/>
                <w:bCs w:val="false"/>
                <w:i w:val="false"/>
                <w:iCs w:val="false"/>
                <w:sz w:val="20"/>
                <w:szCs w:val="20"/>
              </w:rPr>
              <w:t xml:space="preserve"> (Verbesserungsplan) ist für Visa-Inhaber ein Alarmsignal.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At-will Employment: Kündigung ohne Grund, mit Ausnahmen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49 Bundesstaaten und Washington, D.C. gilt </w:t>
      </w:r>
      <w:r>
        <w:rPr>
          <w:rFonts w:eastAsia="Cambria" w:cs="Cambria"/>
          <w:b w:val="false"/>
          <w:bCs w:val="false"/>
          <w:i/>
          <w:iCs/>
          <w:sz w:val="22"/>
          <w:szCs w:val="22"/>
        </w:rPr>
        <w:t>At-will Employment</w:t>
      </w:r>
      <w:r>
        <w:rPr>
          <w:rFonts w:eastAsia="Cambria" w:cs="Cambria"/>
          <w:b w:val="false"/>
          <w:bCs w:val="false"/>
          <w:i w:val="false"/>
          <w:iCs w:val="false"/>
          <w:sz w:val="22"/>
          <w:szCs w:val="22"/>
        </w:rPr>
        <w: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 dieselbe Freiheit hast du. In Deutschland greift dagegen das Kündigungsschutzgesetz in Betrieben ab zehn Beschäftigten nach sechs Monaten; Betriebsräte nach deutschem Muster gibt es nicht, nur etwa jeder zehnte Beschäftigte ist gewerkschaftlich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Kündigungsschutzgesetz braucht es zumindest einen nachvollziehbaren Grund, denkt man aus deutscher Gewohnheit. Tatsächlich reicht im Kündigungsgespräch ein Satz wie „it’s not a good fit“ – mehr Begründung schuldet dir niemand, und du schuldest sie umgekehrt auch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Verboten ist die Kündigung nur aus bestimmten Gründen:</w:t>
      </w:r>
    </w:p>
    <w:p>
      <w:pPr>
        <w:pStyle w:val="ListParagraph"/>
        <w:numPr>
          <w:ilvl w:val="0"/>
          <w:numId w:val="1"/>
        </w:numPr>
        <w:spacing w:lineRule="exact" w:line="288" w:before="0" w:after="60"/>
        <w:rPr/>
      </w:pPr>
      <w:r>
        <w:rPr>
          <w:rFonts w:eastAsia="Cambria" w:cs="Cambria"/>
          <w:b/>
          <w:bCs/>
          <w:i w:val="false"/>
          <w:iCs w:val="false"/>
          <w:sz w:val="22"/>
          <w:szCs w:val="22"/>
        </w:rPr>
        <w:t>Diskriminierung</w:t>
      </w:r>
      <w:r>
        <w:rPr>
          <w:rFonts w:eastAsia="Cambria" w:cs="Cambria"/>
          <w:b w:val="false"/>
          <w:bCs w:val="false"/>
          <w:i w:val="false"/>
          <w:iCs w:val="false"/>
          <w:sz w:val="22"/>
          <w:szCs w:val="22"/>
        </w:rPr>
        <w:t xml:space="preserve"> wegen Hautfarbe, nationaler Herkunft, Religion, Geschlecht (auch Schwangerschaft), Behinderung oder eines Lebensalters ab 40 Jahren.</w:t>
      </w:r>
    </w:p>
    <w:p>
      <w:pPr>
        <w:pStyle w:val="ListParagraph"/>
        <w:numPr>
          <w:ilvl w:val="0"/>
          <w:numId w:val="1"/>
        </w:numPr>
        <w:spacing w:lineRule="exact" w:line="288" w:before="0" w:after="60"/>
        <w:rPr/>
      </w:pPr>
      <w:r>
        <w:rPr>
          <w:rFonts w:eastAsia="Cambria" w:cs="Cambria"/>
          <w:b/>
          <w:bCs/>
          <w:i w:val="false"/>
          <w:iCs w:val="false"/>
          <w:sz w:val="22"/>
          <w:szCs w:val="22"/>
        </w:rPr>
        <w:t>Vergeltung</w:t>
      </w:r>
      <w:r>
        <w:rPr>
          <w:rFonts w:eastAsia="Cambria" w:cs="Cambria"/>
          <w:b w:val="false"/>
          <w:bCs w:val="false"/>
          <w:i w:val="false"/>
          <w:iCs w:val="false"/>
          <w:sz w:val="22"/>
          <w:szCs w:val="22"/>
        </w:rPr>
        <w:t xml:space="preserve"> (</w:t>
      </w:r>
      <w:r>
        <w:rPr>
          <w:rFonts w:eastAsia="Cambria" w:cs="Cambria"/>
          <w:b w:val="false"/>
          <w:bCs w:val="false"/>
          <w:i/>
          <w:iCs/>
          <w:sz w:val="22"/>
          <w:szCs w:val="22"/>
        </w:rPr>
        <w:t>Retaliation</w:t>
      </w:r>
      <w:r>
        <w:rPr>
          <w:rFonts w:eastAsia="Cambria" w:cs="Cambria"/>
          <w:b w:val="false"/>
          <w:bCs w:val="false"/>
          <w:i w:val="false"/>
          <w:iCs w:val="false"/>
          <w:sz w:val="22"/>
          <w:szCs w:val="22"/>
        </w:rPr>
        <w:t>), weil du dich über Diskriminierung, Lohnverstöße oder Sicherheitsmängel beschwert hast.</w:t>
      </w:r>
    </w:p>
    <w:p>
      <w:pPr>
        <w:pStyle w:val="ListParagraph"/>
        <w:numPr>
          <w:ilvl w:val="0"/>
          <w:numId w:val="1"/>
        </w:numPr>
        <w:spacing w:lineRule="exact" w:line="288" w:before="0" w:after="60"/>
        <w:rPr/>
      </w:pPr>
      <w:r>
        <w:rPr>
          <w:rFonts w:eastAsia="Cambria" w:cs="Cambria"/>
          <w:b/>
          <w:bCs/>
          <w:i w:val="false"/>
          <w:iCs w:val="false"/>
          <w:sz w:val="22"/>
          <w:szCs w:val="22"/>
        </w:rPr>
        <w:t>Geschützte Rechte</w:t>
      </w:r>
      <w:r>
        <w:rPr>
          <w:rFonts w:eastAsia="Cambria" w:cs="Cambria"/>
          <w:b w:val="false"/>
          <w:bCs w:val="false"/>
          <w:i w:val="false"/>
          <w:iCs w:val="false"/>
          <w:sz w:val="22"/>
          <w:szCs w:val="22"/>
        </w:rPr>
        <w:t>, etwa Familienurlaub nach der FMLA (siehe unten), Wehrdienst oder ein Antrag nach einem Arbeitsunfall.</w:t>
      </w:r>
    </w:p>
    <w:p>
      <w:pPr>
        <w:pStyle w:val="ListParagraph"/>
        <w:numPr>
          <w:ilvl w:val="0"/>
          <w:numId w:val="1"/>
        </w:numPr>
        <w:spacing w:lineRule="exact" w:line="288" w:before="0" w:after="60"/>
        <w:rPr/>
      </w:pPr>
      <w:r>
        <w:rPr>
          <w:rFonts w:eastAsia="Cambria" w:cs="Cambria"/>
          <w:b/>
          <w:bCs/>
          <w:i w:val="false"/>
          <w:iCs w:val="false"/>
          <w:sz w:val="22"/>
          <w:szCs w:val="22"/>
        </w:rPr>
        <w:t>Vertragsbruch:</w:t>
      </w:r>
      <w:r>
        <w:rPr>
          <w:rFonts w:eastAsia="Cambria" w:cs="Cambria"/>
          <w:b w:val="false"/>
          <w:bCs w:val="false"/>
          <w:i w:val="false"/>
          <w:iCs w:val="false"/>
          <w:sz w:val="22"/>
          <w:szCs w:val="22"/>
        </w:rPr>
        <w:t xml:space="preserve"> Ein Vertrag mit fester Laufzeit oder Kündigung nur aus wichtigem Grund (</w:t>
      </w:r>
      <w:r>
        <w:rPr>
          <w:rFonts w:eastAsia="Cambria" w:cs="Cambria"/>
          <w:b w:val="false"/>
          <w:bCs w:val="false"/>
          <w:i/>
          <w:iCs/>
          <w:sz w:val="22"/>
          <w:szCs w:val="22"/>
        </w:rPr>
        <w:t>For Cause</w:t>
      </w:r>
      <w:r>
        <w:rPr>
          <w:rFonts w:eastAsia="Cambria" w:cs="Cambria"/>
          <w:b w:val="false"/>
          <w:bCs w:val="false"/>
          <w:i w:val="false"/>
          <w:iCs w:val="false"/>
          <w:sz w:val="22"/>
          <w:szCs w:val="22"/>
        </w:rPr>
        <w:t>) gilt; auch Tarifverträge setzen Grenzen.</w:t>
      </w:r>
    </w:p>
    <w:p>
      <w:pPr>
        <w:pStyle w:val="ListParagraph"/>
        <w:numPr>
          <w:ilvl w:val="0"/>
          <w:numId w:val="1"/>
        </w:numPr>
        <w:spacing w:lineRule="exact" w:line="288" w:before="0" w:after="60"/>
        <w:rPr/>
      </w:pPr>
      <w:r>
        <w:rPr>
          <w:rFonts w:eastAsia="Cambria" w:cs="Cambria"/>
          <w:b/>
          <w:bCs/>
          <w:i w:val="false"/>
          <w:iCs w:val="false"/>
          <w:sz w:val="22"/>
          <w:szCs w:val="22"/>
        </w:rPr>
        <w:t>Verstoß gegen die öffentliche Ordnung</w:t>
      </w:r>
      <w:r>
        <w:rPr>
          <w:rFonts w:eastAsia="Cambria" w:cs="Cambria"/>
          <w:b w:val="false"/>
          <w:bCs w:val="false"/>
          <w:i w:val="false"/>
          <w:iCs w:val="false"/>
          <w:sz w:val="22"/>
          <w:szCs w:val="22"/>
        </w:rPr>
        <w:t>, etwa eine Kündigung, weil du dich weigerst, ein Gesetz zu brechen.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Beweislast liegt bei dir, geklagt wird erst nach der Kündigung. Bei Diskriminierung ist die Bundesbehörde EEOC (</w:t>
      </w:r>
      <w:r>
        <w:rPr>
          <w:rFonts w:eastAsia="Cambria" w:cs="Cambria"/>
          <w:b w:val="false"/>
          <w:bCs w:val="false"/>
          <w:i/>
          <w:iCs/>
          <w:sz w:val="22"/>
          <w:szCs w:val="22"/>
        </w:rPr>
        <w:t>Equal Employment Opportunity Commission</w:t>
      </w:r>
      <w:r>
        <w:rPr>
          <w:rFonts w:eastAsia="Cambria" w:cs="Cambria"/>
          <w:b w:val="false"/>
          <w:bCs w:val="false"/>
          <w:i w:val="false"/>
          <w:iCs w:val="false"/>
          <w:sz w:val="22"/>
          <w:szCs w:val="22"/>
        </w:rPr>
        <w:t>) erste Adresse, meist binnen 180 bis 300 Tagen. Eine Abfindung gibt es nicht per Gesetz; sie wird verhandelt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At-will gilt schon vor dem ersten Arbeitstag: Ein Arbeitgeber kann sein Angebot zurückziehen, etwa bei Einstellungsstopp oder nicht bestandenem </w:t>
            </w:r>
            <w:r>
              <w:rPr>
                <w:rFonts w:eastAsia="Cambria" w:cs="Cambria"/>
                <w:b w:val="false"/>
                <w:bCs w:val="false"/>
                <w:i/>
                <w:iCs/>
                <w:sz w:val="20"/>
                <w:szCs w:val="20"/>
              </w:rPr>
              <w:t>Background Check</w:t>
            </w:r>
            <w:r>
              <w:rPr>
                <w:rFonts w:eastAsia="Cambria" w:cs="Cambria"/>
                <w:b w:val="false"/>
                <w:bCs w:val="false"/>
                <w:i w:val="false"/>
                <w:iCs w:val="false"/>
                <w:sz w:val="20"/>
                <w:szCs w:val="20"/>
              </w:rPr>
              <w:t xml:space="preserve"> (Überprüfung der Vorgeschichte). Kündige den deutschen Job erst, wenn Visum und Startdatum feststehen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Offer Letter und Arbeitsvertrag: was drinsteht, was fehlt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Offer Letter</w:t>
      </w:r>
      <w:r>
        <w:rPr>
          <w:rFonts w:eastAsia="Cambria" w:cs="Cambria"/>
          <w:b w:val="false"/>
          <w:bCs w:val="false"/>
          <w:i w:val="false"/>
          <w:iCs w:val="false"/>
          <w:sz w:val="22"/>
          <w:szCs w:val="22"/>
        </w:rP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rFonts w:eastAsia="Cambria" w:cs="Cambria"/>
          <w:b w:val="false"/>
          <w:bCs w:val="false"/>
          <w:i/>
          <w:iCs/>
          <w:sz w:val="22"/>
          <w:szCs w:val="22"/>
        </w:rPr>
        <w:t>Form I-9</w:t>
      </w:r>
      <w:r>
        <w:rPr>
          <w:rFonts w:eastAsia="Cambria" w:cs="Cambria"/>
          <w:b w:val="false"/>
          <w:bCs w:val="false"/>
          <w:i w:val="false"/>
          <w:iCs w:val="false"/>
          <w:sz w:val="22"/>
          <w:szCs w:val="22"/>
        </w:rPr>
        <w:t>) und bei dir die Genehmigung der H-1B-Petition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Oft kommen weitere Papiere dazu: die Bestätigung des Firmenhandbuchs (</w:t>
      </w:r>
      <w:r>
        <w:rPr>
          <w:rFonts w:eastAsia="Cambria" w:cs="Cambria"/>
          <w:b w:val="false"/>
          <w:bCs w:val="false"/>
          <w:i/>
          <w:iCs/>
          <w:sz w:val="22"/>
          <w:szCs w:val="22"/>
        </w:rPr>
        <w:t>Employee Handbook</w:t>
      </w:r>
      <w:r>
        <w:rPr>
          <w:rFonts w:eastAsia="Cambria" w:cs="Cambria"/>
          <w:b w:val="false"/>
          <w:bCs w:val="false"/>
          <w:i w:val="false"/>
          <w:iCs w:val="false"/>
          <w:sz w:val="22"/>
          <w:szCs w:val="22"/>
        </w:rPr>
        <w:t>), das die Firma einseitig ändern darf; eine Schiedsvereinbarung (</w:t>
      </w:r>
      <w:r>
        <w:rPr>
          <w:rFonts w:eastAsia="Cambria" w:cs="Cambria"/>
          <w:b w:val="false"/>
          <w:bCs w:val="false"/>
          <w:i/>
          <w:iCs/>
          <w:sz w:val="22"/>
          <w:szCs w:val="22"/>
        </w:rPr>
        <w:t>Arbitration Agreement</w:t>
      </w:r>
      <w:r>
        <w:rPr>
          <w:rFonts w:eastAsia="Cambria" w:cs="Cambria"/>
          <w:b w:val="false"/>
          <w:bCs w:val="false"/>
          <w:i w:val="false"/>
          <w:iCs w:val="false"/>
          <w:sz w:val="22"/>
          <w:szCs w:val="22"/>
        </w:rPr>
        <w:t>), die Streit vor ein privates statt ein staatliches Gericht bringt; dazu Geheimhaltung, Erfindungszuweisung und Wettbewerbsverbot (nächster Abschnitt).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 Urlaubstage, Lohnfortzahlung bei Krankheit und Probezeit stehen meist nur als „nach Firmenrichtlinie“ darin. Lass dir schriftlich bestätigen: Titel und Level, Bonusziel und Auszahlungsregeln, Aktienmenge und Zuteilungsplan, 401(k)-Match, Beginn der Krankenversicherung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Sign-on und Umzugspaket samt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Bei Führungsposten, Aktienzusagen oder Wettbewerbsverbot lohnt die Prüfung durch eine Fachanwältin für Arbeitsrecht (</w:t>
      </w:r>
      <w:r>
        <w:rPr>
          <w:rFonts w:eastAsia="Cambria" w:cs="Cambria"/>
          <w:b w:val="false"/>
          <w:bCs w:val="false"/>
          <w:i/>
          <w:iCs/>
          <w:sz w:val="22"/>
          <w:szCs w:val="22"/>
        </w:rPr>
        <w:t>Employment Attorney</w:t>
      </w:r>
      <w:r>
        <w:rPr>
          <w:rFonts w:eastAsia="Cambria" w:cs="Cambria"/>
          <w:b w:val="false"/>
          <w:bCs w:val="false"/>
          <w:i w:val="false"/>
          <w:iCs w:val="false"/>
          <w:sz w:val="22"/>
          <w:szCs w:val="22"/>
        </w:rPr>
        <w:t>); vereinbare das Honorar vorab.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Wettbewerbsverbot, NDA und Erfindungen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Wettbewerbsverbot (</w:t>
      </w:r>
      <w:r>
        <w:rPr>
          <w:rFonts w:eastAsia="Cambria" w:cs="Cambria"/>
          <w:b w:val="false"/>
          <w:bCs w:val="false"/>
          <w:i/>
          <w:iCs/>
          <w:sz w:val="22"/>
          <w:szCs w:val="22"/>
        </w:rPr>
        <w:t>Non-compete Agreement</w:t>
      </w:r>
      <w:r>
        <w:rPr>
          <w:rFonts w:eastAsia="Cambria" w:cs="Cambria"/>
          <w:b w:val="false"/>
          <w:bCs w:val="false"/>
          <w:i w:val="false"/>
          <w:iCs w:val="false"/>
          <w:sz w:val="22"/>
          <w:szCs w:val="22"/>
        </w:rP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 für eine Bundesregel fast schon eine Eintagsfliege. Sie geht nur noch einzelne Fälle an. Es entscheidet also der Bundesstaat (Stand September 2026):</w:t>
      </w:r>
    </w:p>
    <w:p>
      <w:pPr>
        <w:pStyle w:val="ListParagraph"/>
        <w:numPr>
          <w:ilvl w:val="0"/>
          <w:numId w:val="1"/>
        </w:numPr>
        <w:spacing w:lineRule="exact" w:line="288" w:before="0" w:after="60"/>
        <w:rPr/>
      </w:pPr>
      <w:r>
        <w:rPr>
          <w:rFonts w:eastAsia="Cambria" w:cs="Cambria"/>
          <w:b/>
          <w:bCs/>
          <w:i w:val="false"/>
          <w:iCs w:val="false"/>
          <w:sz w:val="22"/>
          <w:szCs w:val="22"/>
        </w:rPr>
        <w:t>Verboten, mit engen Ausnahmen (etwa beim Firmenverkauf):</w:t>
      </w:r>
      <w:r>
        <w:rPr>
          <w:rFonts w:eastAsia="Cambria" w:cs="Cambria"/>
          <w:b w:val="false"/>
          <w:bCs w:val="false"/>
          <w:i w:val="false"/>
          <w:iCs w:val="false"/>
          <w:sz w:val="22"/>
          <w:szCs w:val="22"/>
        </w:rPr>
        <w:t xml:space="preserve"> Kalifornien, Minnesota (Verträge ab 1. Juli 2023), North Dakota, Oklahoma, Wyoming (ab 1. Juli 2025).</w:t>
      </w:r>
    </w:p>
    <w:p>
      <w:pPr>
        <w:pStyle w:val="ListParagraph"/>
        <w:numPr>
          <w:ilvl w:val="0"/>
          <w:numId w:val="1"/>
        </w:numPr>
        <w:spacing w:lineRule="exact" w:line="288" w:before="0" w:after="60"/>
        <w:rPr/>
      </w:pPr>
      <w:r>
        <w:rPr>
          <w:rFonts w:eastAsia="Cambria" w:cs="Cambria"/>
          <w:b/>
          <w:bCs/>
          <w:i w:val="false"/>
          <w:iCs w:val="false"/>
          <w:sz w:val="22"/>
          <w:szCs w:val="22"/>
        </w:rPr>
        <w:t>Nur oberhalb einer Gehaltsschwelle oder mit Auflagen:</w:t>
      </w:r>
      <w:r>
        <w:rPr>
          <w:rFonts w:eastAsia="Cambria" w:cs="Cambria"/>
          <w:b w:val="false"/>
          <w:bCs w:val="false"/>
          <w:i w:val="false"/>
          <w:iCs w:val="false"/>
          <w:sz w:val="22"/>
          <w:szCs w:val="22"/>
        </w:rPr>
        <w:t xml:space="preserve"> Illinois (75.000 $, ab 1. Januar 2027 80.000 $), Colorado, Oregon und Washington. Für Washington nennen Kanzleiübersichten vom Juli 2026 ein Totalverbot ab 30. Juni 2027.</w:t>
      </w:r>
    </w:p>
    <w:p>
      <w:pPr>
        <w:pStyle w:val="ListParagraph"/>
        <w:numPr>
          <w:ilvl w:val="0"/>
          <w:numId w:val="1"/>
        </w:numPr>
        <w:spacing w:lineRule="exact" w:line="288" w:before="0" w:after="60"/>
        <w:rPr/>
      </w:pPr>
      <w:r>
        <w:rPr>
          <w:rFonts w:eastAsia="Cambria" w:cs="Cambria"/>
          <w:b/>
          <w:bCs/>
          <w:i w:val="false"/>
          <w:iCs w:val="false"/>
          <w:sz w:val="22"/>
          <w:szCs w:val="22"/>
        </w:rPr>
        <w:t>Grundsätzlich durchsetzbar, wenn angemessen:</w:t>
      </w:r>
      <w:r>
        <w:rPr>
          <w:rFonts w:eastAsia="Cambria" w:cs="Cambria"/>
          <w:b w:val="false"/>
          <w:bCs w:val="false"/>
          <w:i w:val="false"/>
          <w:iCs w:val="false"/>
          <w:sz w:val="22"/>
          <w:szCs w:val="22"/>
        </w:rPr>
        <w:t xml:space="preserve"> Michigan, Texas und die meisten übrigen Staaten. Florida stärkt sie seit 1. Juli 2025 für Beschäftigte mit mehr als dem Doppelten des durchschnittlichen Jahreslohns im County (</w:t>
      </w:r>
      <w:r>
        <w:rPr>
          <w:rFonts w:eastAsia="Cambria" w:cs="Cambria"/>
          <w:b w:val="false"/>
          <w:bCs w:val="false"/>
          <w:i/>
          <w:iCs/>
          <w:sz w:val="22"/>
          <w:szCs w:val="22"/>
        </w:rPr>
        <w:t>CHOICE Act</w:t>
      </w:r>
      <w:r>
        <w:rPr>
          <w:rFonts w:eastAsia="Cambria" w:cs="Cambria"/>
          <w:b w:val="false"/>
          <w:bCs w:val="false"/>
          <w:i w:val="false"/>
          <w:iCs w:val="false"/>
          <w:sz w:val="22"/>
          <w:szCs w:val="22"/>
        </w:rPr>
        <w:t>, bis zu vier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Geheimhaltungsvereinbarung (</w:t>
      </w:r>
      <w:r>
        <w:rPr>
          <w:rFonts w:eastAsia="Cambria" w:cs="Cambria"/>
          <w:b w:val="false"/>
          <w:bCs w:val="false"/>
          <w:i/>
          <w:iCs/>
          <w:sz w:val="22"/>
          <w:szCs w:val="22"/>
        </w:rPr>
        <w:t>NDA</w:t>
      </w:r>
      <w:r>
        <w:rPr>
          <w:rFonts w:eastAsia="Cambria" w:cs="Cambria"/>
          <w:b w:val="false"/>
          <w:bCs w:val="false"/>
          <w:i w:val="false"/>
          <w:iCs w:val="false"/>
          <w:sz w:val="22"/>
          <w:szCs w:val="22"/>
        </w:rPr>
        <w:t xml:space="preserve">, </w:t>
      </w:r>
      <w:r>
        <w:rPr>
          <w:rFonts w:eastAsia="Cambria" w:cs="Cambria"/>
          <w:b w:val="false"/>
          <w:bCs w:val="false"/>
          <w:i/>
          <w:iCs/>
          <w:sz w:val="22"/>
          <w:szCs w:val="22"/>
        </w:rPr>
        <w:t>Non-Disclosure Agreement</w:t>
      </w:r>
      <w:r>
        <w:rPr>
          <w:rFonts w:eastAsia="Cambria" w:cs="Cambria"/>
          <w:b w:val="false"/>
          <w:bCs w:val="false"/>
          <w:i w:val="false"/>
          <w:iCs w:val="false"/>
          <w:sz w:val="22"/>
          <w:szCs w:val="22"/>
        </w:rPr>
        <w:t>) ist Standard und unproblematisch, solange sie Betriebsgeheimnisse und Kundendaten schützt. Bei der Erfindungszuweisung (</w:t>
      </w:r>
      <w:r>
        <w:rPr>
          <w:rFonts w:eastAsia="Cambria" w:cs="Cambria"/>
          <w:b w:val="false"/>
          <w:bCs w:val="false"/>
          <w:i/>
          <w:iCs/>
          <w:sz w:val="22"/>
          <w:szCs w:val="22"/>
        </w:rPr>
        <w:t>Invention Assignment</w:t>
      </w:r>
      <w:r>
        <w:rPr>
          <w:rFonts w:eastAsia="Cambria" w:cs="Cambria"/>
          <w:b w:val="false"/>
          <w:bCs w:val="false"/>
          <w:i w:val="false"/>
          <w:iCs w:val="false"/>
          <w:sz w:val="22"/>
          <w:szCs w:val="22"/>
        </w:rPr>
        <w:t>) gehört der Firma, was du im Job oder mit Firmenmitteln entwickelst; Kalifornien und einige weitere Staaten schützen private Erfindungen außerhalb des Geschäftsfelds. Trage eigene Projekte, Open-Source-Beiträge und Patente vor der Unterschrift als Ausnahme ein (</w:t>
      </w:r>
      <w:r>
        <w:rPr>
          <w:rFonts w:eastAsia="Cambria" w:cs="Cambria"/>
          <w:b w:val="false"/>
          <w:bCs w:val="false"/>
          <w:i/>
          <w:iCs/>
          <w:sz w:val="22"/>
          <w:szCs w:val="22"/>
        </w:rPr>
        <w:t>Prior Inventions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Wettbewerbsverbot kann den Wechsel im 60-Tage-Fenster nach einer Entlassung blockieren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Verhandle Dauer, Gebiet und die Definition des Wettbewerbers,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Arbeitsrecht ist überwiegend Landesrecht und ändert sich; lass Verträge mit Wettbewerbsverbot, Aktienzusagen oder Schiedsklausel anwaltlich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Gesamtvergütung: Gehalt, Bonus, RSUs, 401(k), Sign-on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Angebote nennen das Jahresbrutto; ausgezahlt wird alle zwei Wochen (26 Zahlungen) oder zweimal im Monat (24). Ein 13. Gehalt gibt es nicht: Wer im Dezember darauf wartet, wartet auf einen Zug, der in diesem Land nie fährt. Die Gesamtvergütung (</w:t>
      </w:r>
      <w:r>
        <w:rPr>
          <w:rFonts w:eastAsia="Cambria" w:cs="Cambria"/>
          <w:b w:val="false"/>
          <w:bCs w:val="false"/>
          <w:i/>
          <w:iCs/>
          <w:sz w:val="22"/>
          <w:szCs w:val="22"/>
        </w:rPr>
        <w:t>Total Compensation</w:t>
      </w:r>
      <w:r>
        <w:rPr>
          <w:rFonts w:eastAsia="Cambria" w:cs="Cambria"/>
          <w:b w:val="false"/>
          <w:bCs w:val="false"/>
          <w:i w:val="false"/>
          <w:iCs w:val="false"/>
          <w:sz w:val="22"/>
          <w:szCs w:val="22"/>
        </w:rPr>
        <w:t>) besteht aus Bausteinen:</w:t>
      </w:r>
    </w:p>
    <w:p>
      <w:pPr>
        <w:pStyle w:val="ListParagraph"/>
        <w:numPr>
          <w:ilvl w:val="0"/>
          <w:numId w:val="1"/>
        </w:numPr>
        <w:spacing w:lineRule="exact" w:line="288" w:before="0" w:after="60"/>
        <w:rPr/>
      </w:pPr>
      <w:r>
        <w:rPr>
          <w:rFonts w:eastAsia="Cambria" w:cs="Cambria"/>
          <w:b/>
          <w:bCs/>
          <w:i w:val="false"/>
          <w:iCs w:val="false"/>
          <w:sz w:val="22"/>
          <w:szCs w:val="22"/>
        </w:rPr>
        <w:t>Grundgehalt</w:t>
      </w:r>
      <w:r>
        <w:rPr>
          <w:rFonts w:eastAsia="Cambria" w:cs="Cambria"/>
          <w:b w:val="false"/>
          <w:bCs w:val="false"/>
          <w:i w:val="false"/>
          <w:iCs w:val="false"/>
          <w:sz w:val="22"/>
          <w:szCs w:val="22"/>
        </w:rPr>
        <w:t xml:space="preserve"> (</w:t>
      </w:r>
      <w:r>
        <w:rPr>
          <w:rFonts w:eastAsia="Cambria" w:cs="Cambria"/>
          <w:b w:val="false"/>
          <w:bCs w:val="false"/>
          <w:i/>
          <w:iCs/>
          <w:sz w:val="22"/>
          <w:szCs w:val="22"/>
        </w:rPr>
        <w:t>Base Salary</w:t>
      </w:r>
      <w:r>
        <w:rPr>
          <w:rFonts w:eastAsia="Cambria" w:cs="Cambria"/>
          <w:b w:val="false"/>
          <w:bCs w:val="false"/>
          <w:i w:val="false"/>
          <w:iCs w:val="false"/>
          <w:sz w:val="22"/>
          <w:szCs w:val="22"/>
        </w:rPr>
        <w:t>): der planbare Kern.</w:t>
      </w:r>
    </w:p>
    <w:p>
      <w:pPr>
        <w:pStyle w:val="ListParagraph"/>
        <w:numPr>
          <w:ilvl w:val="0"/>
          <w:numId w:val="1"/>
        </w:numPr>
        <w:spacing w:lineRule="exact" w:line="288" w:before="0" w:after="60"/>
        <w:rPr/>
      </w:pPr>
      <w:r>
        <w:rPr>
          <w:rFonts w:eastAsia="Cambria" w:cs="Cambria"/>
          <w:b/>
          <w:bCs/>
          <w:i w:val="false"/>
          <w:iCs w:val="false"/>
          <w:sz w:val="22"/>
          <w:szCs w:val="22"/>
        </w:rPr>
        <w:t>Bonus:</w:t>
      </w:r>
      <w:r>
        <w:rPr>
          <w:rFonts w:eastAsia="Cambria" w:cs="Cambria"/>
          <w:b w:val="false"/>
          <w:bCs w:val="false"/>
          <w:i w:val="false"/>
          <w:iCs w:val="false"/>
          <w:sz w:val="22"/>
          <w:szCs w:val="22"/>
        </w:rPr>
        <w:t xml:space="preserve"> meist ein Zielwert in Prozent des Grundgehalts; die Auszahlung folgt Firmenergebnis und Bewertung, oft nur bei Anstellung am Stichtag.</w:t>
      </w:r>
    </w:p>
    <w:p>
      <w:pPr>
        <w:pStyle w:val="ListParagraph"/>
        <w:numPr>
          <w:ilvl w:val="0"/>
          <w:numId w:val="1"/>
        </w:numPr>
        <w:spacing w:lineRule="exact" w:line="288" w:before="0" w:after="60"/>
        <w:rPr/>
      </w:pPr>
      <w:r>
        <w:rPr>
          <w:rFonts w:eastAsia="Cambria" w:cs="Cambria"/>
          <w:b/>
          <w:bCs/>
          <w:i w:val="false"/>
          <w:iCs w:val="false"/>
          <w:sz w:val="22"/>
          <w:szCs w:val="22"/>
        </w:rPr>
        <w:t>Sign-on-Bonus:</w:t>
      </w:r>
      <w:r>
        <w:rPr>
          <w:rFonts w:eastAsia="Cambria" w:cs="Cambria"/>
          <w:b w:val="false"/>
          <w:bCs w:val="false"/>
          <w:i w:val="false"/>
          <w:iCs w:val="false"/>
          <w:sz w:val="22"/>
          <w:szCs w:val="22"/>
        </w:rPr>
        <w:t xml:space="preserve"> Einmalzahlung zum Start, meist mit Rückzahlung bei eigener Kündigung binnen zwölf bis 24 Monaten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RSUs</w:t>
      </w:r>
      <w:r>
        <w:rPr>
          <w:rFonts w:eastAsia="Cambria" w:cs="Cambria"/>
          <w:b w:val="false"/>
          <w:bCs w:val="false"/>
          <w:i w:val="false"/>
          <w:iCs w:val="false"/>
          <w:sz w:val="22"/>
          <w:szCs w:val="22"/>
        </w:rPr>
        <w:t xml:space="preserve"> (</w:t>
      </w:r>
      <w:r>
        <w:rPr>
          <w:rFonts w:eastAsia="Cambria" w:cs="Cambria"/>
          <w:b w:val="false"/>
          <w:bCs w:val="false"/>
          <w:i/>
          <w:iCs/>
          <w:sz w:val="22"/>
          <w:szCs w:val="22"/>
        </w:rPr>
        <w:t>Restricted Stock Units</w:t>
      </w:r>
      <w:r>
        <w:rPr>
          <w:rFonts w:eastAsia="Cambria" w:cs="Cambria"/>
          <w:b w:val="false"/>
          <w:bCs w:val="false"/>
          <w:i w:val="false"/>
          <w:iCs w:val="false"/>
          <w:sz w:val="22"/>
          <w:szCs w:val="22"/>
        </w:rPr>
        <w:t>, Aktienzuteilung): Zusage auf Firmenaktien, die meist über vier Jahre zufließen (</w:t>
      </w:r>
      <w:r>
        <w:rPr>
          <w:rFonts w:eastAsia="Cambria" w:cs="Cambria"/>
          <w:b w:val="false"/>
          <w:bCs w:val="false"/>
          <w:i/>
          <w:iCs/>
          <w:sz w:val="22"/>
          <w:szCs w:val="22"/>
        </w:rPr>
        <w:t>Vesting</w:t>
      </w:r>
      <w:r>
        <w:rPr>
          <w:rFonts w:eastAsia="Cambria" w:cs="Cambria"/>
          <w:b w:val="false"/>
          <w:bCs w:val="false"/>
          <w:i w:val="false"/>
          <w:iCs w:val="false"/>
          <w:sz w:val="22"/>
          <w:szCs w:val="22"/>
        </w:rPr>
        <w:t>), oft nach einem Jahr Sperrfrist. Mit dem Zufluss zählt der Aktienwert als Lohn und wird versteuert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Noch nicht zugeflossene Aktien verfallen, wenn du gehst; ihr Wert schwankt mit dem Kurs.</w:t>
      </w:r>
    </w:p>
    <w:p>
      <w:pPr>
        <w:pStyle w:val="ListParagraph"/>
        <w:numPr>
          <w:ilvl w:val="0"/>
          <w:numId w:val="1"/>
        </w:numPr>
        <w:spacing w:lineRule="exact" w:line="288" w:before="0" w:after="60"/>
        <w:rPr/>
      </w:pPr>
      <w:r>
        <w:rPr>
          <w:rFonts w:eastAsia="Cambria" w:cs="Cambria"/>
          <w:b/>
          <w:bCs/>
          <w:i w:val="false"/>
          <w:iCs w:val="false"/>
          <w:sz w:val="22"/>
          <w:szCs w:val="22"/>
        </w:rPr>
        <w:t>Aktienoptionen</w:t>
      </w:r>
      <w:r>
        <w:rPr>
          <w:rFonts w:eastAsia="Cambria" w:cs="Cambria"/>
          <w:b w:val="false"/>
          <w:bCs w:val="false"/>
          <w:i w:val="false"/>
          <w:iCs w:val="false"/>
          <w:sz w:val="22"/>
          <w:szCs w:val="22"/>
        </w:rPr>
        <w:t xml:space="preserve"> (</w:t>
      </w:r>
      <w:r>
        <w:rPr>
          <w:rFonts w:eastAsia="Cambria" w:cs="Cambria"/>
          <w:b w:val="false"/>
          <w:bCs w:val="false"/>
          <w:i/>
          <w:iCs/>
          <w:sz w:val="22"/>
          <w:szCs w:val="22"/>
        </w:rPr>
        <w:t>Stock Options</w:t>
      </w:r>
      <w:r>
        <w:rPr>
          <w:rFonts w:eastAsia="Cambria" w:cs="Cambria"/>
          <w:b w:val="false"/>
          <w:bCs w:val="false"/>
          <w:i w:val="false"/>
          <w:iCs w:val="false"/>
          <w:sz w:val="22"/>
          <w:szCs w:val="22"/>
        </w:rPr>
        <w:t xml:space="preserve">) und </w:t>
      </w:r>
      <w:r>
        <w:rPr>
          <w:rFonts w:eastAsia="Cambria" w:cs="Cambria"/>
          <w:b w:val="false"/>
          <w:bCs w:val="false"/>
          <w:i/>
          <w:iCs/>
          <w:sz w:val="22"/>
          <w:szCs w:val="22"/>
        </w:rPr>
        <w:t>ESPP</w:t>
      </w:r>
      <w:r>
        <w:rPr>
          <w:rFonts w:eastAsia="Cambria" w:cs="Cambria"/>
          <w:b w:val="false"/>
          <w:bCs w:val="false"/>
          <w:i w:val="false"/>
          <w:iCs w:val="false"/>
          <w:sz w:val="22"/>
          <w:szCs w:val="22"/>
        </w:rPr>
        <w:t xml:space="preserve"> (Aktienkauf mit Rabatt bis 15 %): vor allem bei Start-ups und Konzernen; Wert ungewiss, Besteuerung kompliziert.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401(k)</w:t>
      </w:r>
      <w:r>
        <w:rPr>
          <w:rFonts w:eastAsia="Cambria" w:cs="Cambria"/>
          <w:b w:val="false"/>
          <w:bCs w:val="false"/>
          <w:i w:val="false"/>
          <w:iCs w:val="false"/>
          <w:sz w:val="22"/>
          <w:szCs w:val="22"/>
        </w:rPr>
        <w:t xml:space="preserve"> ist die betriebliche Altersvorsorge: Du zahlst vom Bruttolohn ein (2026 bis 24.500 $), der Arbeitgeber legt einen Zuschuss dazu (</w:t>
      </w:r>
      <w:r>
        <w:rPr>
          <w:rFonts w:eastAsia="Cambria" w:cs="Cambria"/>
          <w:b w:val="false"/>
          <w:bCs w:val="false"/>
          <w:i/>
          <w:iCs/>
          <w:sz w:val="22"/>
          <w:szCs w:val="22"/>
        </w:rPr>
        <w:t>Match</w:t>
      </w:r>
      <w:r>
        <w:rPr>
          <w:rFonts w:eastAsia="Cambria" w:cs="Cambria"/>
          <w:b w:val="false"/>
          <w:bCs w:val="false"/>
          <w:i w:val="false"/>
          <w:iCs w:val="false"/>
          <w:sz w:val="22"/>
          <w:szCs w:val="22"/>
        </w:rP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mindestens so viel ein, dass du den vollen Match erhältst. Sonst verschenkst du Gehalt: Bei 3 % Match auf 112.000 $ sind es 3.360 $ im Jahr.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2170"/>
        <w:gridCol w:w="2434"/>
        <w:gridCol w:w="1876"/>
      </w:tblGrid>
      <w:tr>
        <w:trPr>
          <w:tblHeader w:val="true"/>
          <w:cantSplit w:val="true"/>
        </w:trPr>
        <w:tc>
          <w:tcPr>
            <w:tcW w:w="21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24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A: Maschinenbau, Michigan</w:t>
            </w:r>
          </w:p>
        </w:tc>
        <w:tc>
          <w:tcPr>
            <w:tcW w:w="18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B: Software, Seattle</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Grundgehalt</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(Ziel)</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 = 8.960 $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 = 15.000 $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RSUs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401(k)-Match</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 3.360 $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 = 6.000 $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124.320 $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Sign-on</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Bei H-1B muss er dir mindestens den Lohn der LCA zahlen und Nebenleistungen nach denselben Kriterien anbieten wie US-Beschäftigten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Zur groben Orientierung: 1 € entsprach im Herbst 2026 etwa 1,1–1,2 $ (bitte tagesaktuell prüfen); 112.000 $ sind dann rund 93.000–102.000 €. Was netto bleibt, zeigt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bei 120.000 $ brutto ledig etwa 71–78 %, je nach Bundesstaat und ohne Krankenversicherung.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Gehaltsverhandlung und Transparenzgesetze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rechnet ein Recruiter mit einem Gegenangebot; das erste ist selten das letzte. Wer ohne Rückfrage annimmt, lässt Spielraum liegen, und das Startgehalt wirkt auf spätere Erhöhungen nach. So gehst du vor:</w:t>
      </w:r>
    </w:p>
    <w:p>
      <w:pPr>
        <w:pStyle w:val="ListParagraph"/>
        <w:numPr>
          <w:ilvl w:val="0"/>
          <w:numId w:val="167"/>
        </w:numPr>
        <w:spacing w:lineRule="exact" w:line="288" w:before="0" w:after="60"/>
        <w:rPr/>
      </w:pPr>
      <w:r>
        <w:rPr>
          <w:rFonts w:eastAsia="Cambria" w:cs="Cambria"/>
          <w:b w:val="false"/>
          <w:bCs w:val="false"/>
          <w:i w:val="false"/>
          <w:iCs w:val="false"/>
          <w:sz w:val="22"/>
          <w:szCs w:val="22"/>
        </w:rPr>
        <w:t>Recherchiere die Spanne: Stellenanzeigen mit Gehaltsangabe, BLS-Lohnstatistik (bls.gov/oes), Gehaltsportale; achte auf Region und Erfahrung.</w:t>
      </w:r>
    </w:p>
    <w:p>
      <w:pPr>
        <w:pStyle w:val="ListParagraph"/>
        <w:numPr>
          <w:ilvl w:val="0"/>
          <w:numId w:val="168"/>
        </w:numPr>
        <w:spacing w:lineRule="exact" w:line="288" w:before="0" w:after="60"/>
        <w:rPr/>
      </w:pPr>
      <w:r>
        <w:rPr>
          <w:rFonts w:eastAsia="Cambria" w:cs="Cambria"/>
          <w:b w:val="false"/>
          <w:bCs w:val="false"/>
          <w:i w:val="false"/>
          <w:iCs w:val="false"/>
          <w:sz w:val="22"/>
          <w:szCs w:val="22"/>
        </w:rPr>
        <w:t xml:space="preserve">Verhandle das Level: Titel und Einstufung (etwa </w:t>
      </w:r>
      <w:r>
        <w:rPr>
          <w:rFonts w:eastAsia="Cambria" w:cs="Cambria"/>
          <w:b w:val="false"/>
          <w:bCs w:val="false"/>
          <w:i/>
          <w:iCs/>
          <w:sz w:val="22"/>
          <w:szCs w:val="22"/>
        </w:rPr>
        <w:t>Engineer II</w:t>
      </w:r>
      <w:r>
        <w:rPr>
          <w:rFonts w:eastAsia="Cambria" w:cs="Cambria"/>
          <w:b w:val="false"/>
          <w:bCs w:val="false"/>
          <w:i w:val="false"/>
          <w:iCs w:val="false"/>
          <w:sz w:val="22"/>
          <w:szCs w:val="22"/>
        </w:rPr>
        <w:t xml:space="preserve"> oder </w:t>
      </w:r>
      <w:r>
        <w:rPr>
          <w:rFonts w:eastAsia="Cambria" w:cs="Cambria"/>
          <w:b w:val="false"/>
          <w:bCs w:val="false"/>
          <w:i/>
          <w:iCs/>
          <w:sz w:val="22"/>
          <w:szCs w:val="22"/>
        </w:rPr>
        <w:t>Senior Engineer</w:t>
      </w:r>
      <w:r>
        <w:rPr>
          <w:rFonts w:eastAsia="Cambria" w:cs="Cambria"/>
          <w:b w:val="false"/>
          <w:bCs w:val="false"/>
          <w:i w:val="false"/>
          <w:iCs w:val="false"/>
          <w:sz w:val="22"/>
          <w:szCs w:val="22"/>
        </w:rPr>
        <w:t>) bestimmen das Gehaltsband für Jahre.</w:t>
      </w:r>
    </w:p>
    <w:p>
      <w:pPr>
        <w:pStyle w:val="ListParagraph"/>
        <w:numPr>
          <w:ilvl w:val="0"/>
          <w:numId w:val="169"/>
        </w:numPr>
        <w:spacing w:lineRule="exact" w:line="288" w:before="0" w:after="60"/>
        <w:rPr/>
      </w:pPr>
      <w:r>
        <w:rPr>
          <w:rFonts w:eastAsia="Cambria" w:cs="Cambria"/>
          <w:b w:val="false"/>
          <w:bCs w:val="false"/>
          <w:i w:val="false"/>
          <w:iCs w:val="false"/>
          <w:sz w:val="22"/>
          <w:szCs w:val="22"/>
        </w:rPr>
        <w:t>Frage zuerst nach der budgetierten Spanne, statt selbst zu nennen. Musst du doch, dann eine Spanne, deren Untergrenze du akzeptierst.</w:t>
      </w:r>
    </w:p>
    <w:p>
      <w:pPr>
        <w:pStyle w:val="ListParagraph"/>
        <w:numPr>
          <w:ilvl w:val="0"/>
          <w:numId w:val="170"/>
        </w:numPr>
        <w:spacing w:lineRule="exact" w:line="288" w:before="0" w:after="60"/>
        <w:rPr/>
      </w:pPr>
      <w:r>
        <w:rPr>
          <w:rFonts w:eastAsia="Cambria" w:cs="Cambria"/>
          <w:b w:val="false"/>
          <w:bCs w:val="false"/>
          <w:i w:val="false"/>
          <w:iCs w:val="false"/>
          <w:sz w:val="22"/>
          <w:szCs w:val="22"/>
        </w:rPr>
        <w:t>Sprich das ganze Paket an: Sign-on, Aktien, Bonusziel, Startdatum, Urlaub, Umzugspaket, Homeoffice. Ist das Grundgehalt starr, sind Sign-on und Aktien oft beweglicher.</w:t>
      </w:r>
    </w:p>
    <w:p>
      <w:pPr>
        <w:pStyle w:val="ListParagraph"/>
        <w:numPr>
          <w:ilvl w:val="0"/>
          <w:numId w:val="171"/>
        </w:numPr>
        <w:spacing w:lineRule="exact" w:line="288" w:before="0" w:after="60"/>
        <w:rPr/>
      </w:pPr>
      <w:r>
        <w:rPr>
          <w:rFonts w:eastAsia="Cambria" w:cs="Cambria"/>
          <w:b w:val="false"/>
          <w:bCs w:val="false"/>
          <w:i w:val="false"/>
          <w:iCs w:val="false"/>
          <w:sz w:val="22"/>
          <w:szCs w:val="22"/>
        </w:rPr>
        <w:t>Bleibe höflich und konkret: „Thank you, I’m excited about the role. Based on my experience and the market range I’ve seen, I was hoping for a base salary of X. Is there flexibility?“</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vor der Registrierung und der Petition. Gehalt und Stelle stehen dann in LCA und Petition; nach oben kannst du später jederzeit steigen, nach unten nicht unter den LCA-Lohn. Der Lohn beeinflusst auch die Lotterie: Level IV bekommt vier Lose, Level I eines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Transparenzgesetze.</w:t>
      </w:r>
      <w:r>
        <w:rPr>
          <w:rFonts w:eastAsia="Cambria" w:cs="Cambria"/>
          <w:b w:val="false"/>
          <w:bCs w:val="false"/>
          <w:i w:val="false"/>
          <w:iCs w:val="false"/>
          <w:sz w:val="22"/>
          <w:szCs w:val="22"/>
        </w:rPr>
        <w:t xml:space="preserve"> Gehaltsspannen in Stellenanzeigen verlangen Colorado (seit 2021), Kalifornien, Washington und New York (seit 2023), Illinois und Minnesota (seit 2025) sowie unter anderem Hawaii, Maryland, Massachusetts, New Jersey, 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Krankheit und Elternzeit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Bundesrecht gibt keinen Anspruch auf bezahlten Urlaub, bezahlte Feiertage oder bezahlte Krankheitstage. Es gilt, was Offer Letter und Firmenrichtlinie zusagen, oft als gemeinsamer Topf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Paid Time Off</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für das höhere Gehalt in die USA geht, nimmt an, der Urlaub wachse automatisch mit. Tatsächlich ist oft das Gegenteil der Fall: Das dickere Gehalt kommt mit weniger freien Tagen, nicht mit mehr (siehe Tabelle).</w:t>
      </w:r>
    </w:p>
    <w:tbl>
      <w:tblPr>
        <w:tblW w:w="6480" w:type="dxa"/>
        <w:jc w:val="left"/>
        <w:tblInd w:w="0" w:type="dxa"/>
        <w:tblLayout w:type="fixed"/>
        <w:tblCellMar>
          <w:top w:w="50" w:type="dxa"/>
          <w:left w:w="80" w:type="dxa"/>
          <w:bottom w:w="50" w:type="dxa"/>
          <w:right w:w="80" w:type="dxa"/>
        </w:tblCellMar>
      </w:tblPr>
      <w:tblGrid>
        <w:gridCol w:w="1562"/>
        <w:gridCol w:w="2259"/>
        <w:gridCol w:w="2659"/>
      </w:tblGrid>
      <w:tr>
        <w:trPr>
          <w:tblHeader w:val="true"/>
          <w:cantSplit w:val="true"/>
        </w:trPr>
        <w:tc>
          <w:tcPr>
            <w:tcW w:w="15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(Privatwirtschaft, BLS 2025)</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20 Tage bei Fünftagewoche, meist 25–30</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11 Tage nach einem Jahr, 15 nach fünf, 18 nach zehn, 20 nach 20 Jahren</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8 bezahlte; 81 % der Beschäftigten haben Anspruch</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sechs Wochen</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80 % haben bezahlte Tage, im Schnitt 8; sonst Landesrecht</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Mutterschutz, Elterngeld, Elternzeit bis zu drei Jahre</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12 Wochen unbezahlt (FMLA); bezahlt nur in einigen Staaten oder freiwillig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Urlaub und Feiertage.</w:t>
      </w:r>
      <w:r>
        <w:rPr>
          <w:rFonts w:eastAsia="Cambria" w:cs="Cambria"/>
          <w:b w:val="false"/>
          <w:bCs w:val="false"/>
          <w:i w:val="false"/>
          <w:iCs w:val="false"/>
          <w:sz w:val="22"/>
          <w:szCs w:val="22"/>
        </w:rPr>
        <w:t xml:space="preserve"> Zwei Wochen am Stück sind in den USA schon ein langer Urlaub; plane ihn früh. In Kalifornien ist angesammelter Urlaub Lohn und beim Ausscheiden auszuzahlen, in vielen Staaten entscheidet die Firmenrichtlinie. Bei </w:t>
      </w:r>
      <w:r>
        <w:rPr>
          <w:rFonts w:eastAsia="Cambria" w:cs="Cambria"/>
          <w:b w:val="false"/>
          <w:bCs w:val="false"/>
          <w:i/>
          <w:iCs/>
          <w:sz w:val="22"/>
          <w:szCs w:val="22"/>
        </w:rPr>
        <w:t>Unlimited PTO</w:t>
      </w:r>
      <w:r>
        <w:rPr>
          <w:rFonts w:eastAsia="Cambria" w:cs="Cambria"/>
          <w:b w:val="false"/>
          <w:bCs w:val="false"/>
          <w:i w:val="false"/>
          <w:iCs w:val="false"/>
          <w:sz w:val="22"/>
          <w:szCs w:val="22"/>
        </w:rPr>
        <w:t xml:space="preserve"> gibt es keine feste Zahl an Tagen und kein Guthaben; frage, wie viele Tage die Kollegen wirklich nehmen. Die elf Bundesfeiertage sind kein Anspruch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Krankheit.</w:t>
      </w:r>
      <w:r>
        <w:rPr>
          <w:rFonts w:eastAsia="Cambria" w:cs="Cambria"/>
          <w:b w:val="false"/>
          <w:bCs w:val="false"/>
          <w:i w:val="false"/>
          <w:iCs w:val="false"/>
          <w:sz w:val="22"/>
          <w:szCs w:val="22"/>
        </w:rPr>
        <w:t xml:space="preserve">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pPr>
        <w:pStyle w:val="Normal"/>
        <w:keepNext w:val="false"/>
        <w:keepLines w:val="false"/>
        <w:spacing w:lineRule="exact" w:line="288" w:before="0" w:after="140"/>
        <w:jc w:val="left"/>
        <w:rPr/>
      </w:pPr>
      <w:r>
        <w:rPr>
          <w:rFonts w:eastAsia="Cambria" w:cs="Cambria"/>
          <w:b/>
          <w:bCs/>
          <w:i w:val="false"/>
          <w:iCs w:val="false"/>
          <w:sz w:val="22"/>
          <w:szCs w:val="22"/>
        </w:rPr>
        <w:t>Elternzeit.</w:t>
      </w:r>
      <w:r>
        <w:rPr>
          <w:rFonts w:eastAsia="Cambria" w:cs="Cambria"/>
          <w:b w:val="false"/>
          <w:bCs w:val="false"/>
          <w:i w:val="false"/>
          <w:iCs w:val="false"/>
          <w:sz w:val="22"/>
          <w:szCs w:val="22"/>
        </w:rPr>
        <w:t xml:space="preserve"> Der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FMLA und die Zusagen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FMLA verlangt zwölf Monate Betriebszugehörigkeit. Kommt im ersten Jahr im neuen Job ein Kind, gibt es keinen gesetzlichen Jobschutz, und die Krankenversicherung des Arbeitgebers beginnt oft erst nach der Wartefrist. Kläre Elternzeit-Regeln und Deckungsbeginn vor der Zusage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Erreichbarkeit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Arbeitszeitgesetz mit Höchstarbeitszeit und Ruhezeiten gibt es auf Bundesebene nicht. Der </w:t>
      </w:r>
      <w:r>
        <w:rPr>
          <w:rFonts w:eastAsia="Cambria" w:cs="Cambria"/>
          <w:b w:val="false"/>
          <w:bCs w:val="false"/>
          <w:i/>
          <w:iCs/>
          <w:sz w:val="22"/>
          <w:szCs w:val="22"/>
        </w:rPr>
        <w:t>Fair Labor Standards Act</w:t>
      </w:r>
      <w:r>
        <w:rPr>
          <w:rFonts w:eastAsia="Cambria" w:cs="Cambria"/>
          <w:b w:val="false"/>
          <w:bCs w:val="false"/>
          <w:i w:val="false"/>
          <w:iCs w:val="false"/>
          <w:sz w:val="22"/>
          <w:szCs w:val="22"/>
        </w:rPr>
        <w:t xml:space="preserve"> (FLSA) regelt Mindestlohn und Überstundenzuschlag, nicht die Länge des Arbeitstags. Entscheidend ist deine Einstufung: </w:t>
      </w:r>
      <w:r>
        <w:rPr>
          <w:rFonts w:eastAsia="Cambria" w:cs="Cambria"/>
          <w:b w:val="false"/>
          <w:bCs w:val="false"/>
          <w:i/>
          <w:iCs/>
          <w:sz w:val="22"/>
          <w:szCs w:val="22"/>
        </w:rPr>
        <w:t>Non-exempt</w:t>
      </w:r>
      <w:r>
        <w:rPr>
          <w:rFonts w:eastAsia="Cambria" w:cs="Cambria"/>
          <w:b w:val="false"/>
          <w:bCs w:val="false"/>
          <w:i w:val="false"/>
          <w:iCs w:val="false"/>
          <w:sz w:val="22"/>
          <w:szCs w:val="22"/>
        </w:rPr>
        <w:t xml:space="preserve"> Beschäftigte (meist Stundenlöhner) erhalten für Stunden über 40 pro Woche das 1,5-Fache, </w:t>
      </w:r>
      <w:r>
        <w:rPr>
          <w:rFonts w:eastAsia="Cambria" w:cs="Cambria"/>
          <w:b w:val="false"/>
          <w:bCs w:val="false"/>
          <w:i/>
          <w:iCs/>
          <w:sz w:val="22"/>
          <w:szCs w:val="22"/>
        </w:rPr>
        <w:t>exempt</w:t>
      </w:r>
      <w:r>
        <w:rPr>
          <w:rFonts w:eastAsia="Cambria" w:cs="Cambria"/>
          <w:b w:val="false"/>
          <w:bCs w:val="false"/>
          <w:i w:val="false"/>
          <w:iCs w:val="false"/>
          <w:sz w:val="22"/>
          <w:szCs w:val="22"/>
        </w:rPr>
        <w:t xml:space="preserve"> Beschäftigte (Gehaltsempfänger mit Fach- oder Führungsaufgaben) keine Überstundenvergütung. Ingenieure und Softwareentwickler sind meist exempt; die bundesweite Gehaltsschwelle liegt bei 684 $ pro Woche (35.568 $ im Jahr), einzelne Staaten setzen höhere Werte an (dol.gov/agencies/whd/overtime).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Vollzeitwoche hat 40 Stunden, in Technik und Entwicklung wird oft mehr erwartet. Präsenz- und Homeofficeregeln legt die Firma fest; bei H-1B gilt der Arbeitsort aus der LCA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Recht auf Nichterreichbarkeit gibt es nicht: Nachrichten in E-Mail und Chat werden am selben Tag beantwortet, Rufbereitschaft (</w:t>
      </w:r>
      <w:r>
        <w:rPr>
          <w:rFonts w:eastAsia="Cambria" w:cs="Cambria"/>
          <w:b w:val="false"/>
          <w:bCs w:val="false"/>
          <w:i/>
          <w:iCs/>
          <w:sz w:val="22"/>
          <w:szCs w:val="22"/>
        </w:rPr>
        <w:t>On-call</w:t>
      </w:r>
      <w:r>
        <w:rPr>
          <w:rFonts w:eastAsia="Cambria" w:cs="Cambria"/>
          <w:b w:val="false"/>
          <w:bCs w:val="false"/>
          <w:i w:val="false"/>
          <w:iCs w:val="false"/>
          <w:sz w:val="22"/>
          <w:szCs w:val="22"/>
        </w:rPr>
        <w:t>) ist in IT und Produktion verbreitet. Setze Grenzen selbst und sichtbar: feste Kalenderblöcke, Statusanzeige, im Urlaub eine Abwesenheitsnotiz mit Vertretung.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Feedback, Performance Review und PIP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Feedback kommt häufiger und freundlicher verpackt als in Deutschland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erst Lob, dann ein Entwicklungsfeld (</w:t>
      </w:r>
      <w:r>
        <w:rPr>
          <w:rFonts w:eastAsia="Cambria" w:cs="Cambria"/>
          <w:b w:val="false"/>
          <w:bCs w:val="false"/>
          <w:i/>
          <w:iCs/>
          <w:sz w:val="22"/>
          <w:szCs w:val="22"/>
        </w:rPr>
        <w:t>Area for Improvement</w:t>
      </w:r>
      <w:r>
        <w:rPr>
          <w:rFonts w:eastAsia="Cambria" w:cs="Cambria"/>
          <w:b w:val="false"/>
          <w:bCs w:val="false"/>
          <w:i w:val="false"/>
          <w:iCs w:val="false"/>
          <w:sz w:val="22"/>
          <w:szCs w:val="22"/>
        </w:rP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rFonts w:eastAsia="Cambria" w:cs="Cambria"/>
          <w:b w:val="false"/>
          <w:bCs w:val="false"/>
          <w:i/>
          <w:iCs/>
          <w:sz w:val="22"/>
          <w:szCs w:val="22"/>
        </w:rPr>
        <w:t>1:1</w:t>
      </w:r>
      <w:r>
        <w:rPr>
          <w:rFonts w:eastAsia="Cambria" w:cs="Cambria"/>
          <w:b w:val="false"/>
          <w:bCs w:val="false"/>
          <w:i w:val="false"/>
          <w:iCs w:val="false"/>
          <w:sz w:val="22"/>
          <w:szCs w:val="22"/>
        </w:rPr>
        <w:t xml:space="preserve"> (Einzelgespräch mit der Führungskraft, meist wöchentlich oder zweiwöchentlich): „What would make me a strong candidate for promotion?“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Performance Review</w:t>
      </w:r>
      <w:r>
        <w:rPr>
          <w:rFonts w:eastAsia="Cambria" w:cs="Cambria"/>
          <w:b w:val="false"/>
          <w:bCs w:val="false"/>
          <w:i w:val="false"/>
          <w:iCs w:val="false"/>
          <w:sz w:val="22"/>
          <w:szCs w:val="22"/>
        </w:rPr>
        <w:t xml:space="preserve"> (Leistungsbeurteilung) läuft jährlich oder halbjährlich: Du schreibst eine Selbsteinschätzung mit messbaren Ergebnissen, oft ergänzt um Kollegen-Feedback, und die Führungskräfte stimmen die Bewertungen firmenintern ab. Die Note steuert Bonus, Gehaltserhöhung, Beförderung und oft neue Aktienzuteilungen. Wer seine Arbeit nicht selbst sichtbar macht, wird schlechter bewertet, auch bei guter 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PIP</w:t>
      </w:r>
      <w:r>
        <w:rPr>
          <w:rFonts w:eastAsia="Cambria" w:cs="Cambria"/>
          <w:b w:val="false"/>
          <w:bCs w:val="false"/>
          <w:i w:val="false"/>
          <w:iCs w:val="false"/>
          <w:sz w:val="22"/>
          <w:szCs w:val="22"/>
        </w:rPr>
        <w:t xml:space="preserve">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ist ein schriftlicher Plan über meist 30 bis 90 Tage mit messbaren Zielen. Er soll helfen, dient aber oft dazu, eine spätere Kündigung zu dokumentieren; nach At-will-Recht braucht die Firma ihn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PIP ist für Visa-Inhaber ein Alarmsignal, und die Personalabteilung (HR) vertritt den Arbeitgeber, nicht dich. Lass die Kriterien schriftlich präzisieren, dokumentiere Zwischenstände per E-Mail, aktualisiere parallel Resume und LinkedIn und sprich früh mit einem Einwanderungsanwalt über Portabilität und die 60 Tage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Bei Hinweisen auf Diskriminierung oder Vergeltung: Fachanwältin für Arbeitsrecht und EEOC.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LinkedIn, Vornamen und Meetings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Stellen werden über Empfehlungen (</w:t>
      </w:r>
      <w:r>
        <w:rPr>
          <w:rFonts w:eastAsia="Cambria" w:cs="Cambria"/>
          <w:b w:val="false"/>
          <w:bCs w:val="false"/>
          <w:i/>
          <w:iCs/>
          <w:sz w:val="22"/>
          <w:szCs w:val="22"/>
        </w:rPr>
        <w:t>Referrals</w:t>
      </w:r>
      <w:r>
        <w:rPr>
          <w:rFonts w:eastAsia="Cambria" w:cs="Cambria"/>
          <w:b w:val="false"/>
          <w:bCs w:val="false"/>
          <w:i w:val="false"/>
          <w:iCs w:val="false"/>
          <w:sz w:val="22"/>
          <w:szCs w:val="22"/>
        </w:rPr>
        <w:t>) besetzt; Recruiter schätzen Kandidaten, für die ein Mitarbeiter bürgt, und zahlen dafür oft eine Prämie. Netzwerken gehört deshalb zur Jobsuche:</w:t>
      </w:r>
    </w:p>
    <w:p>
      <w:pPr>
        <w:pStyle w:val="ListParagraph"/>
        <w:numPr>
          <w:ilvl w:val="0"/>
          <w:numId w:val="1"/>
        </w:numPr>
        <w:spacing w:lineRule="exact" w:line="288" w:before="0" w:after="60"/>
        <w:rPr/>
      </w:pPr>
      <w:r>
        <w:rPr>
          <w:rFonts w:eastAsia="Cambria" w:cs="Cambria"/>
          <w:b/>
          <w:bCs/>
          <w:i w:val="false"/>
          <w:iCs w:val="false"/>
          <w:sz w:val="22"/>
          <w:szCs w:val="22"/>
        </w:rPr>
        <w:t>LinkedIn:</w:t>
      </w:r>
      <w:r>
        <w:rPr>
          <w:rFonts w:eastAsia="Cambria" w:cs="Cambria"/>
          <w:b w:val="false"/>
          <w:bCs w:val="false"/>
          <w:i w:val="false"/>
          <w:iCs w:val="false"/>
          <w:sz w:val="22"/>
          <w:szCs w:val="22"/>
        </w:rPr>
        <w:t xml:space="preserve">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pPr>
        <w:pStyle w:val="ListParagraph"/>
        <w:numPr>
          <w:ilvl w:val="0"/>
          <w:numId w:val="1"/>
        </w:numPr>
        <w:spacing w:lineRule="exact" w:line="288" w:before="0" w:after="60"/>
        <w:rPr/>
      </w:pPr>
      <w:r>
        <w:rPr>
          <w:rFonts w:eastAsia="Cambria" w:cs="Cambria"/>
          <w:b/>
          <w:bCs/>
          <w:i w:val="false"/>
          <w:iCs w:val="false"/>
          <w:sz w:val="22"/>
          <w:szCs w:val="22"/>
        </w:rPr>
        <w:t>Informationsgespräche</w:t>
      </w:r>
      <w:r>
        <w:rPr>
          <w:rFonts w:eastAsia="Cambria" w:cs="Cambria"/>
          <w:b w:val="false"/>
          <w:bCs w:val="false"/>
          <w:i w:val="false"/>
          <w:iCs w:val="false"/>
          <w:sz w:val="22"/>
          <w:szCs w:val="22"/>
        </w:rPr>
        <w:t xml:space="preserve"> (</w:t>
      </w:r>
      <w:r>
        <w:rPr>
          <w:rFonts w:eastAsia="Cambria" w:cs="Cambria"/>
          <w:b w:val="false"/>
          <w:bCs w:val="false"/>
          <w:i/>
          <w:iCs/>
          <w:sz w:val="22"/>
          <w:szCs w:val="22"/>
        </w:rPr>
        <w:t>Informational Interviews</w:t>
      </w:r>
      <w:r>
        <w:rPr>
          <w:rFonts w:eastAsia="Cambria" w:cs="Cambria"/>
          <w:b w:val="false"/>
          <w:bCs w:val="false"/>
          <w:i w:val="false"/>
          <w:iCs w:val="false"/>
          <w:sz w:val="22"/>
          <w:szCs w:val="22"/>
        </w:rPr>
        <w:t>): 15–20 Minuten per Video mit jemandem in deiner Zielfirma für Einblick und Rat, nicht um einen Job zu erbitten. Amerikaner helfen dabei häufig.</w:t>
      </w:r>
    </w:p>
    <w:p>
      <w:pPr>
        <w:pStyle w:val="ListParagraph"/>
        <w:numPr>
          <w:ilvl w:val="0"/>
          <w:numId w:val="1"/>
        </w:numPr>
        <w:spacing w:lineRule="exact" w:line="288" w:before="0" w:after="60"/>
        <w:rPr/>
      </w:pPr>
      <w:r>
        <w:rPr>
          <w:rFonts w:eastAsia="Cambria" w:cs="Cambria"/>
          <w:b/>
          <w:bCs/>
          <w:i w:val="false"/>
          <w:iCs w:val="false"/>
          <w:sz w:val="22"/>
          <w:szCs w:val="22"/>
        </w:rPr>
        <w:t>Verbände und Alumni:</w:t>
      </w:r>
      <w:r>
        <w:rPr>
          <w:rFonts w:eastAsia="Cambria" w:cs="Cambria"/>
          <w:b w:val="false"/>
          <w:bCs w:val="false"/>
          <w:i w:val="false"/>
          <w:iCs w:val="false"/>
          <w:sz w:val="22"/>
          <w:szCs w:val="22"/>
        </w:rPr>
        <w:t xml:space="preserve"> Berufsverbände wie IEEE (Elektro, Informatik), ASME (Maschinenbau) und SAE (Fahrzeugtechnik), Ehemaligen-Netzwerke deiner Hochschule und die German American Chambers of Commerce.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zählt der Vorname, auch beim Vorstandschef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Titel wie „Dipl.-Ing.“ stehen nicht in der Anrede und selten in der Signatur; Ausnahmen sind Wissenschaft und Medizin. Ist dein Name schwer auszusprechen, schreibe die Aussprache in Signatur oder Slack-Profil.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Meetings beginnen oft mit zwei bis drei Minuten Small Talk. Erwartet wird, dass du dich äußerst: Wer schweigt, gilt nicht als weise, sondern als abwesend. Ideen dürfen unfertig sein, Entscheidungen fallen im Termin und werden per E-Mail mit Aufgaben und Verantwortlichen festgehalten (</w:t>
      </w:r>
      <w:r>
        <w:rPr>
          <w:rFonts w:eastAsia="Cambria" w:cs="Cambria"/>
          <w:b w:val="false"/>
          <w:bCs w:val="false"/>
          <w:i/>
          <w:iCs/>
          <w:sz w:val="22"/>
          <w:szCs w:val="22"/>
        </w:rPr>
        <w:t>Action Items</w:t>
      </w:r>
      <w:r>
        <w:rPr>
          <w:rFonts w:eastAsia="Cambria" w:cs="Cambria"/>
          <w:b w:val="false"/>
          <w:bCs w:val="false"/>
          <w:i w:val="false"/>
          <w:iCs w:val="false"/>
          <w:sz w:val="22"/>
          <w:szCs w:val="22"/>
        </w:rPr>
        <w:t>). „Let’s take this offline“ heißt: Das klären wir separat.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Resume statt Lebenslauf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Resume</w:t>
      </w:r>
      <w:r>
        <w:rPr>
          <w:rFonts w:eastAsia="Cambria" w:cs="Cambria"/>
          <w:b w:val="false"/>
          <w:bCs w:val="false"/>
          <w:i w:val="false"/>
          <w:iCs w:val="false"/>
          <w:sz w:val="22"/>
          <w:szCs w:val="22"/>
        </w:rPr>
        <w:t xml:space="preserve"> ist kein übersetzter Lebenslauf, sondern kürzer, ergebnisorientiert und ohne persönliche Angaben. Das </w:t>
      </w:r>
      <w:r>
        <w:rPr>
          <w:rFonts w:eastAsia="Cambria" w:cs="Cambria"/>
          <w:b w:val="false"/>
          <w:bCs w:val="false"/>
          <w:i/>
          <w:iCs/>
          <w:sz w:val="22"/>
          <w:szCs w:val="22"/>
        </w:rPr>
        <w:t>CV</w:t>
      </w:r>
      <w:r>
        <w:rPr>
          <w:rFonts w:eastAsia="Cambria" w:cs="Cambria"/>
          <w:b w:val="false"/>
          <w:bCs w:val="false"/>
          <w:i w:val="false"/>
          <w:iCs w:val="false"/>
          <w:sz w:val="22"/>
          <w:szCs w:val="22"/>
        </w:rPr>
        <w:t xml:space="preserve"> (</w:t>
      </w:r>
      <w:r>
        <w:rPr>
          <w:rFonts w:eastAsia="Cambria" w:cs="Cambria"/>
          <w:b w:val="false"/>
          <w:bCs w:val="false"/>
          <w:i/>
          <w:iCs/>
          <w:sz w:val="22"/>
          <w:szCs w:val="22"/>
        </w:rPr>
        <w:t>Curriculum Vitae</w:t>
      </w:r>
      <w:r>
        <w:rPr>
          <w:rFonts w:eastAsia="Cambria" w:cs="Cambria"/>
          <w:b w:val="false"/>
          <w:bCs w:val="false"/>
          <w:i w:val="false"/>
          <w:iCs w:val="false"/>
          <w:sz w:val="22"/>
          <w:szCs w:val="22"/>
        </w:rPr>
        <w:t>) meint in den USA nur die lange akademische Fassung für Wissenschaft und Medizin.</w:t>
      </w:r>
    </w:p>
    <w:tbl>
      <w:tblPr>
        <w:tblW w:w="6480" w:type="dxa"/>
        <w:jc w:val="left"/>
        <w:tblInd w:w="0" w:type="dxa"/>
        <w:tblLayout w:type="fixed"/>
        <w:tblCellMar>
          <w:top w:w="50" w:type="dxa"/>
          <w:left w:w="80" w:type="dxa"/>
          <w:bottom w:w="50" w:type="dxa"/>
          <w:right w:w="80" w:type="dxa"/>
        </w:tblCellMar>
      </w:tblPr>
      <w:tblGrid>
        <w:gridCol w:w="1909"/>
        <w:gridCol w:w="2251"/>
        <w:gridCol w:w="2320"/>
      </w:tblGrid>
      <w:tr>
        <w:trPr>
          <w:tblHeader w:val="true"/>
          <w:cantSplit w:val="true"/>
        </w:trPr>
        <w:tc>
          <w:tcPr>
            <w:tcW w:w="1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Lebenslauf</w:t>
            </w:r>
          </w:p>
        </w:tc>
        <w:tc>
          <w:tcPr>
            <w:tcW w:w="23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US-Resume</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Umfang</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Seiten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Seite bis etwa zehn Jahre Erfahrung, sonst zwei</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Foto, Geburtsdatum, Familienstand</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weglassen; nur Name, Ort, E-Mail, Telefon, LinkedIn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Stationen mit Aufgaben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Kurzprofil (</w:t>
            </w:r>
            <w:r>
              <w:rPr>
                <w:rFonts w:eastAsia="Cambria" w:cs="Cambria"/>
                <w:b w:val="false"/>
                <w:bCs w:val="false"/>
                <w:i/>
                <w:iCs/>
                <w:sz w:val="18"/>
                <w:szCs w:val="18"/>
              </w:rPr>
              <w:t>Summary</w:t>
            </w:r>
            <w:r>
              <w:rPr>
                <w:rFonts w:eastAsia="Cambria" w:cs="Cambria"/>
                <w:b w:val="false"/>
                <w:bCs w:val="false"/>
                <w:i w:val="false"/>
                <w:iCs w:val="false"/>
                <w:sz w:val="18"/>
                <w:szCs w:val="18"/>
              </w:rPr>
              <w:t>), Stationen mit Stichpunkten zu Ergebnissen und Zahlen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Anlagen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Zertifikate, Anschreiben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keine; Referenzen erst auf Anfrage; </w:t>
            </w:r>
            <w:r>
              <w:rPr>
                <w:rFonts w:eastAsia="Cambria" w:cs="Cambria"/>
                <w:b w:val="false"/>
                <w:bCs w:val="false"/>
                <w:i/>
                <w:iCs/>
                <w:sz w:val="18"/>
                <w:szCs w:val="18"/>
              </w:rPr>
              <w:t>Cover Letter</w:t>
            </w:r>
            <w:r>
              <w:rPr>
                <w:rFonts w:eastAsia="Cambria" w:cs="Cambria"/>
                <w:b w:val="false"/>
                <w:bCs w:val="false"/>
                <w:i w:val="false"/>
                <w:iCs w:val="false"/>
                <w:sz w:val="18"/>
                <w:szCs w:val="18"/>
              </w:rPr>
              <w:t xml:space="preserve"> nur, wenn verlangt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Schreibe Stichpunkte mit Verb und Ergebnis: „Reduced scrap rate by 12 % across two production lines“ statt „Verantwortlich für Qualitätssicherung“. Übernimm Stichwörter aus der Stellenanzeige, denn Bewerbungssysteme (</w:t>
      </w:r>
      <w:r>
        <w:rPr>
          <w:rFonts w:eastAsia="Cambria" w:cs="Cambria"/>
          <w:b w:val="false"/>
          <w:bCs w:val="false"/>
          <w:i/>
          <w:iCs/>
          <w:sz w:val="22"/>
          <w:szCs w:val="22"/>
        </w:rPr>
        <w:t>Applicant Tracking Systems</w:t>
      </w:r>
      <w:r>
        <w:rPr>
          <w:rFonts w:eastAsia="Cambria" w:cs="Cambria"/>
          <w:b w:val="false"/>
          <w:bCs w:val="false"/>
          <w:i w:val="false"/>
          <w:iCs w:val="false"/>
          <w:sz w:val="22"/>
          <w:szCs w:val="22"/>
        </w:rPr>
        <w:t>, ATS) filtern vorab; ein schlichtes Layout ohne Spalten und Grafiken hilft. Ein Arbeitszeugnis ist in den USA unbekannt; stattdessen nennst du gegen Ende des Verfahrens zwei bis drei Referenzen.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Kostenlose Resume-Hilfe muss keine bezahlte Beratung sein. CareerOneStop, ein Angebot des US-Arbeitsministeriums, bietet eine kostenlose Schritt-für-Schritt-Anleitung samt Musterlebensläufen (careeronestop.org/JobSearch/Resumes) und eine eigene Seite für Neuankömmlinge (Suchbegriff „New Americans careeronestop“). Über die </w:t>
            </w:r>
            <w:r>
              <w:rPr>
                <w:rFonts w:eastAsia="Cambria" w:cs="Cambria"/>
                <w:b w:val="false"/>
                <w:bCs w:val="false"/>
                <w:i/>
                <w:iCs/>
                <w:sz w:val="20"/>
                <w:szCs w:val="20"/>
              </w:rPr>
              <w:t>American Job Center</w:t>
            </w:r>
            <w:r>
              <w:rPr>
                <w:rFonts w:eastAsia="Cambria" w:cs="Cambria"/>
                <w:b w:val="false"/>
                <w:bCs w:val="false"/>
                <w:i w:val="false"/>
                <w:iCs w:val="false"/>
                <w:sz w:val="20"/>
                <w:szCs w:val="20"/>
              </w:rPr>
              <w:t>-Suche (careeronestop.org, ZIP-Code eingeben, oder 1-877-US-2JOBS) findest du eine staatlich geförderte Anlaufstelle in deiner Nähe mit kostenlosen Resume-Workshops und persönlichem Feedback – ganz ohne Termingebühr. Auch viele öffentliche Bibliotheken bieten kostenlose Bewerbungsberatung und LinkedIn-Learning-Zugang über den Bibliotheksausweis.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Diplom und Berufsanerkennung.</w:t>
      </w:r>
      <w:r>
        <w:rPr>
          <w:rFonts w:eastAsia="Cambria" w:cs="Cambria"/>
          <w:b w:val="false"/>
          <w:bCs w:val="false"/>
          <w:i w:val="false"/>
          <w:iCs w:val="false"/>
          <w:sz w:val="22"/>
          <w:szCs w:val="22"/>
        </w:rPr>
        <w:t xml:space="preserve"> Nenne deinen Abschluss mit der Einstufung aus dem Bewertungsgutachten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nicht nur als Abkürzung wie „Dipl.-Ing. (FH)“. Erkläre Ausbildungsberufe und den Meister kurz als Berufsausbildung (</w:t>
      </w:r>
      <w:r>
        <w:rPr>
          <w:rFonts w:eastAsia="Cambria" w:cs="Cambria"/>
          <w:b w:val="false"/>
          <w:bCs w:val="false"/>
          <w:i/>
          <w:iCs/>
          <w:sz w:val="22"/>
          <w:szCs w:val="22"/>
        </w:rPr>
        <w:t>Apprenticeship</w:t>
      </w:r>
      <w:r>
        <w:rPr>
          <w:rFonts w:eastAsia="Cambria" w:cs="Cambria"/>
          <w:b w:val="false"/>
          <w:bCs w:val="false"/>
          <w:i w:val="false"/>
          <w:iCs w:val="false"/>
          <w:sz w:val="22"/>
          <w:szCs w:val="22"/>
        </w:rPr>
        <w:t>) und Fachqualifikation. Für die meisten Ingenieur- und IT-Stellen ist der Abschluss ein Qualifikationsnachweis, keine Berufszulassung; Lizenzberufe wie Medizin, Pflege, Lehramt oder Elektrohandwerk regelt jeder Bundesstaat selbst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Interviewprozess</w:t>
      </w:r>
      <w:r>
        <w:rPr>
          <w:rFonts w:eastAsia="Cambria" w:cs="Cambria"/>
          <w:b w:val="false"/>
          <w:bCs w:val="false"/>
          <w:i w:val="false"/>
          <w:iCs w:val="false"/>
          <w:sz w:val="22"/>
          <w:szCs w:val="22"/>
        </w:rPr>
        <w:t xml:space="preserve"> dauert meist mehrere Wochen und läuft je nach Firma ähnlich ab:</w:t>
      </w:r>
    </w:p>
    <w:p>
      <w:pPr>
        <w:pStyle w:val="ListParagraph"/>
        <w:numPr>
          <w:ilvl w:val="0"/>
          <w:numId w:val="172"/>
        </w:numPr>
        <w:spacing w:lineRule="exact" w:line="288" w:before="0" w:after="60"/>
        <w:rPr/>
      </w:pPr>
      <w:r>
        <w:rPr>
          <w:rFonts w:eastAsia="Cambria" w:cs="Cambria"/>
          <w:b w:val="false"/>
          <w:bCs w:val="false"/>
          <w:i/>
          <w:iCs/>
          <w:sz w:val="22"/>
          <w:szCs w:val="22"/>
        </w:rPr>
        <w:t>Recruiter Screen</w:t>
      </w:r>
      <w:r>
        <w:rPr>
          <w:rFonts w:eastAsia="Cambria" w:cs="Cambria"/>
          <w:b w:val="false"/>
          <w:bCs w:val="false"/>
          <w:i w:val="false"/>
          <w:iCs w:val="false"/>
          <w:sz w:val="22"/>
          <w:szCs w:val="22"/>
        </w:rPr>
        <w:t>: 20–30 Minuten per Telefon oder Video zu Motivation, Gehaltsvorstellung und Arbeitsberechtigung.</w:t>
      </w:r>
    </w:p>
    <w:p>
      <w:pPr>
        <w:pStyle w:val="ListParagraph"/>
        <w:numPr>
          <w:ilvl w:val="0"/>
          <w:numId w:val="173"/>
        </w:numPr>
        <w:spacing w:lineRule="exact" w:line="288" w:before="0" w:after="60"/>
        <w:rPr/>
      </w:pPr>
      <w:r>
        <w:rPr>
          <w:rFonts w:eastAsia="Cambria" w:cs="Cambria"/>
          <w:b w:val="false"/>
          <w:bCs w:val="false"/>
          <w:i w:val="false"/>
          <w:iCs w:val="false"/>
          <w:sz w:val="22"/>
          <w:szCs w:val="22"/>
        </w:rPr>
        <w:t>Gespräch mit der Führungskraft (</w:t>
      </w:r>
      <w:r>
        <w:rPr>
          <w:rFonts w:eastAsia="Cambria" w:cs="Cambria"/>
          <w:b w:val="false"/>
          <w:bCs w:val="false"/>
          <w:i/>
          <w:iCs/>
          <w:sz w:val="22"/>
          <w:szCs w:val="22"/>
        </w:rPr>
        <w:t>Hiring Manager Interview</w:t>
      </w:r>
      <w:r>
        <w:rPr>
          <w:rFonts w:eastAsia="Cambria" w:cs="Cambria"/>
          <w:b w:val="false"/>
          <w:bCs w:val="false"/>
          <w:i w:val="false"/>
          <w:iCs w:val="false"/>
          <w:sz w:val="22"/>
          <w:szCs w:val="22"/>
        </w:rPr>
        <w:t>): Fachliches und Teamfit.</w:t>
      </w:r>
    </w:p>
    <w:p>
      <w:pPr>
        <w:pStyle w:val="ListParagraph"/>
        <w:numPr>
          <w:ilvl w:val="0"/>
          <w:numId w:val="174"/>
        </w:numPr>
        <w:spacing w:lineRule="exact" w:line="288" w:before="0" w:after="60"/>
        <w:rPr/>
      </w:pPr>
      <w:r>
        <w:rPr>
          <w:rFonts w:eastAsia="Cambria" w:cs="Cambria"/>
          <w:b w:val="false"/>
          <w:bCs w:val="false"/>
          <w:i w:val="false"/>
          <w:iCs w:val="false"/>
          <w:sz w:val="22"/>
          <w:szCs w:val="22"/>
        </w:rPr>
        <w:t>Fachtest: Programmieraufgabe, Fallstudie (</w:t>
      </w:r>
      <w:r>
        <w:rPr>
          <w:rFonts w:eastAsia="Cambria" w:cs="Cambria"/>
          <w:b w:val="false"/>
          <w:bCs w:val="false"/>
          <w:i/>
          <w:iCs/>
          <w:sz w:val="22"/>
          <w:szCs w:val="22"/>
        </w:rPr>
        <w:t>Case</w:t>
      </w:r>
      <w:r>
        <w:rPr>
          <w:rFonts w:eastAsia="Cambria" w:cs="Cambria"/>
          <w:b w:val="false"/>
          <w:bCs w:val="false"/>
          <w:i w:val="false"/>
          <w:iCs w:val="false"/>
          <w:sz w:val="22"/>
          <w:szCs w:val="22"/>
        </w:rPr>
        <w:t>) oder Hausaufgabe (</w:t>
      </w:r>
      <w:r>
        <w:rPr>
          <w:rFonts w:eastAsia="Cambria" w:cs="Cambria"/>
          <w:b w:val="false"/>
          <w:bCs w:val="false"/>
          <w:i/>
          <w:iCs/>
          <w:sz w:val="22"/>
          <w:szCs w:val="22"/>
        </w:rPr>
        <w:t>Take-home</w:t>
      </w:r>
      <w:r>
        <w:rPr>
          <w:rFonts w:eastAsia="Cambria" w:cs="Cambria"/>
          <w:b w:val="false"/>
          <w:bCs w:val="false"/>
          <w:i w:val="false"/>
          <w:iCs w:val="false"/>
          <w:sz w:val="22"/>
          <w:szCs w:val="22"/>
        </w:rPr>
        <w:t>).</w:t>
      </w:r>
    </w:p>
    <w:p>
      <w:pPr>
        <w:pStyle w:val="ListParagraph"/>
        <w:numPr>
          <w:ilvl w:val="0"/>
          <w:numId w:val="175"/>
        </w:numPr>
        <w:spacing w:lineRule="exact" w:line="288" w:before="0" w:after="60"/>
        <w:rPr/>
      </w:pPr>
      <w:r>
        <w:rPr>
          <w:rFonts w:eastAsia="Cambria" w:cs="Cambria"/>
          <w:b w:val="false"/>
          <w:bCs w:val="false"/>
          <w:i w:val="false"/>
          <w:iCs w:val="false"/>
          <w:sz w:val="22"/>
          <w:szCs w:val="22"/>
        </w:rPr>
        <w:t>Gesprächsrunde an einem Tag (</w:t>
      </w:r>
      <w:r>
        <w:rPr>
          <w:rFonts w:eastAsia="Cambria" w:cs="Cambria"/>
          <w:b w:val="false"/>
          <w:bCs w:val="false"/>
          <w:i/>
          <w:iCs/>
          <w:sz w:val="22"/>
          <w:szCs w:val="22"/>
        </w:rPr>
        <w:t>Onsite</w:t>
      </w:r>
      <w:r>
        <w:rPr>
          <w:rFonts w:eastAsia="Cambria" w:cs="Cambria"/>
          <w:b w:val="false"/>
          <w:bCs w:val="false"/>
          <w:i w:val="false"/>
          <w:iCs w:val="false"/>
          <w:sz w:val="22"/>
          <w:szCs w:val="22"/>
        </w:rPr>
        <w:t xml:space="preserve"> oder </w:t>
      </w:r>
      <w:r>
        <w:rPr>
          <w:rFonts w:eastAsia="Cambria" w:cs="Cambria"/>
          <w:b w:val="false"/>
          <w:bCs w:val="false"/>
          <w:i/>
          <w:iCs/>
          <w:sz w:val="22"/>
          <w:szCs w:val="22"/>
        </w:rPr>
        <w:t>Virtual Loop</w:t>
      </w:r>
      <w:r>
        <w:rPr>
          <w:rFonts w:eastAsia="Cambria" w:cs="Cambria"/>
          <w:b w:val="false"/>
          <w:bCs w:val="false"/>
          <w:i w:val="false"/>
          <w:iCs w:val="false"/>
          <w:sz w:val="22"/>
          <w:szCs w:val="22"/>
        </w:rPr>
        <w:t>): vier bis sechs Gespräche zu Fachthemen und Verhalten.</w:t>
      </w:r>
    </w:p>
    <w:p>
      <w:pPr>
        <w:pStyle w:val="ListParagraph"/>
        <w:numPr>
          <w:ilvl w:val="0"/>
          <w:numId w:val="176"/>
        </w:numPr>
        <w:spacing w:lineRule="exact" w:line="288" w:before="0" w:after="60"/>
        <w:rPr/>
      </w:pPr>
      <w:r>
        <w:rPr>
          <w:rFonts w:eastAsia="Cambria" w:cs="Cambria"/>
          <w:b w:val="false"/>
          <w:bCs w:val="false"/>
          <w:i w:val="false"/>
          <w:iCs w:val="false"/>
          <w:sz w:val="22"/>
          <w:szCs w:val="22"/>
        </w:rPr>
        <w:t>Angebot, Referenzen, Background Check.</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Verhaltensfragen („Tell me about a time when …“) beantwortest du nach der </w:t>
      </w:r>
      <w:r>
        <w:rPr>
          <w:rFonts w:eastAsia="Cambria" w:cs="Cambria"/>
          <w:b w:val="false"/>
          <w:bCs w:val="false"/>
          <w:i/>
          <w:iCs/>
          <w:sz w:val="22"/>
          <w:szCs w:val="22"/>
        </w:rPr>
        <w:t>STAR</w:t>
      </w:r>
      <w:r>
        <w:rPr>
          <w:rFonts w:eastAsia="Cambria" w:cs="Cambria"/>
          <w:b w:val="false"/>
          <w:bCs w:val="false"/>
          <w:i w:val="false"/>
          <w:iCs w:val="false"/>
          <w:sz w:val="22"/>
          <w:szCs w:val="22"/>
        </w:rPr>
        <w:t>-Methode: Situation, Aufgabe (</w:t>
      </w:r>
      <w:r>
        <w:rPr>
          <w:rFonts w:eastAsia="Cambria" w:cs="Cambria"/>
          <w:b w:val="false"/>
          <w:bCs w:val="false"/>
          <w:i/>
          <w:iCs/>
          <w:sz w:val="22"/>
          <w:szCs w:val="22"/>
        </w:rPr>
        <w:t>Task</w:t>
      </w:r>
      <w:r>
        <w:rPr>
          <w:rFonts w:eastAsia="Cambria" w:cs="Cambria"/>
          <w:b w:val="false"/>
          <w:bCs w:val="false"/>
          <w:i w:val="false"/>
          <w:iCs w:val="false"/>
          <w:sz w:val="22"/>
          <w:szCs w:val="22"/>
        </w:rPr>
        <w:t>), Handlung (</w:t>
      </w:r>
      <w:r>
        <w:rPr>
          <w:rFonts w:eastAsia="Cambria" w:cs="Cambria"/>
          <w:b w:val="false"/>
          <w:bCs w:val="false"/>
          <w:i/>
          <w:iCs/>
          <w:sz w:val="22"/>
          <w:szCs w:val="22"/>
        </w:rPr>
        <w:t>Action</w:t>
      </w:r>
      <w:r>
        <w:rPr>
          <w:rFonts w:eastAsia="Cambria" w:cs="Cambria"/>
          <w:b w:val="false"/>
          <w:bCs w:val="false"/>
          <w:i w:val="false"/>
          <w:iCs w:val="false"/>
          <w:sz w:val="22"/>
          <w:szCs w:val="22"/>
        </w:rPr>
        <w:t>), Ergebnis (</w:t>
      </w:r>
      <w:r>
        <w:rPr>
          <w:rFonts w:eastAsia="Cambria" w:cs="Cambria"/>
          <w:b w:val="false"/>
          <w:bCs w:val="false"/>
          <w:i/>
          <w:iCs/>
          <w:sz w:val="22"/>
          <w:szCs w:val="22"/>
        </w:rPr>
        <w:t>Result</w:t>
      </w:r>
      <w:r>
        <w:rPr>
          <w:rFonts w:eastAsia="Cambria" w:cs="Cambria"/>
          <w:b w:val="false"/>
          <w:bCs w:val="false"/>
          <w:i w:val="false"/>
          <w:iCs w:val="false"/>
          <w:sz w:val="22"/>
          <w:szCs w:val="22"/>
        </w:rP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 die Frage „Will you now or in the future require sponsorship?“ antwortest du ehrlich mit Ja, wenn du ein Arbeitsvisum brauchst. Frage schon im ersten Gespräch, ob die Firma H-1B-Sponsoring anbietet: Viele Anzeigen schließen es aus, und ein frühes Ja spart beiden Seiten Zeit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Stolpersteine deutscher Ingenieure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Muster tauchen immer wieder auf:</w:t>
      </w:r>
    </w:p>
    <w:p>
      <w:pPr>
        <w:pStyle w:val="ListParagraph"/>
        <w:numPr>
          <w:ilvl w:val="0"/>
          <w:numId w:val="1"/>
        </w:numPr>
        <w:spacing w:lineRule="exact" w:line="288" w:before="0" w:after="60"/>
        <w:rPr/>
      </w:pPr>
      <w:r>
        <w:rPr>
          <w:rFonts w:eastAsia="Cambria" w:cs="Cambria"/>
          <w:b/>
          <w:bCs/>
          <w:i w:val="false"/>
          <w:iCs w:val="false"/>
          <w:sz w:val="22"/>
          <w:szCs w:val="22"/>
        </w:rPr>
        <w:t>Zu direkt.</w:t>
      </w:r>
      <w:r>
        <w:rPr>
          <w:rFonts w:eastAsia="Cambria" w:cs="Cambria"/>
          <w:b w:val="false"/>
          <w:bCs w:val="false"/>
          <w:i w:val="false"/>
          <w:iCs w:val="false"/>
          <w:sz w:val="22"/>
          <w:szCs w:val="22"/>
        </w:rPr>
        <w:t xml:space="preserve"> „Das funktioniert so nicht“ ist in Deutschland eine Sachaussage, in den USA klingt es nach Angriff. Formuliere als Frage und nenne den Nutzen: „Could we double-check the assumption? I’m getting a different result.“</w:t>
      </w:r>
    </w:p>
    <w:p>
      <w:pPr>
        <w:pStyle w:val="ListParagraph"/>
        <w:numPr>
          <w:ilvl w:val="0"/>
          <w:numId w:val="1"/>
        </w:numPr>
        <w:spacing w:lineRule="exact" w:line="288" w:before="0" w:after="60"/>
        <w:rPr/>
      </w:pPr>
      <w:r>
        <w:rPr>
          <w:rFonts w:eastAsia="Cambria" w:cs="Cambria"/>
          <w:b/>
          <w:bCs/>
          <w:i w:val="false"/>
          <w:iCs w:val="false"/>
          <w:sz w:val="22"/>
          <w:szCs w:val="22"/>
        </w:rPr>
        <w:t>Zu bescheiden.</w:t>
      </w:r>
      <w:r>
        <w:rPr>
          <w:rFonts w:eastAsia="Cambria" w:cs="Cambria"/>
          <w:b w:val="false"/>
          <w:bCs w:val="false"/>
          <w:i w:val="false"/>
          <w:iCs w:val="false"/>
          <w:sz w:val="22"/>
          <w:szCs w:val="22"/>
        </w:rPr>
        <w:t xml:space="preserve"> Wer „wir“ sagt, wo er „ich“ meint, und Erfolge nicht benennt, gilt als weniger erfolgreich. In Review, Gehaltsgespräch und Beförderungsrunde erwartet man „I did“ und Zahlen.</w:t>
      </w:r>
    </w:p>
    <w:p>
      <w:pPr>
        <w:pStyle w:val="ListParagraph"/>
        <w:numPr>
          <w:ilvl w:val="0"/>
          <w:numId w:val="1"/>
        </w:numPr>
        <w:spacing w:lineRule="exact" w:line="288" w:before="0" w:after="60"/>
        <w:rPr/>
      </w:pPr>
      <w:r>
        <w:rPr>
          <w:rFonts w:eastAsia="Cambria" w:cs="Cambria"/>
          <w:b/>
          <w:bCs/>
          <w:i w:val="false"/>
          <w:iCs w:val="false"/>
          <w:sz w:val="22"/>
          <w:szCs w:val="22"/>
        </w:rPr>
        <w:t>Zu gründlich.</w:t>
      </w:r>
      <w:r>
        <w:rPr>
          <w:rFonts w:eastAsia="Cambria" w:cs="Cambria"/>
          <w:b w:val="false"/>
          <w:bCs w:val="false"/>
          <w:i w:val="false"/>
          <w:iCs w:val="false"/>
          <w:sz w:val="22"/>
          <w:szCs w:val="22"/>
        </w:rPr>
        <w:t xml:space="preserve"> Viele US-Teams starten mit einem tragfähigen Zwischenstand und verbessern unterwegs; wer erst nach vollständiger Klärung liefert, wirkt langsam.</w:t>
      </w:r>
    </w:p>
    <w:p>
      <w:pPr>
        <w:pStyle w:val="ListParagraph"/>
        <w:numPr>
          <w:ilvl w:val="0"/>
          <w:numId w:val="1"/>
        </w:numPr>
        <w:spacing w:lineRule="exact" w:line="288" w:before="0" w:after="60"/>
        <w:rPr/>
      </w:pPr>
      <w:r>
        <w:rPr>
          <w:rFonts w:eastAsia="Cambria" w:cs="Cambria"/>
          <w:b/>
          <w:bCs/>
          <w:i w:val="false"/>
          <w:iCs w:val="false"/>
          <w:sz w:val="22"/>
          <w:szCs w:val="22"/>
        </w:rPr>
        <w:t>Zu zurückgezogen.</w:t>
      </w:r>
      <w:r>
        <w:rPr>
          <w:rFonts w:eastAsia="Cambria" w:cs="Cambria"/>
          <w:b w:val="false"/>
          <w:bCs w:val="false"/>
          <w:i w:val="false"/>
          <w:iCs w:val="false"/>
          <w:sz w:val="22"/>
          <w:szCs w:val="22"/>
        </w:rPr>
        <w:t xml:space="preserve"> Team-Lunch, Kaffeeküche und Feierabendtermine sind Teil der Arbeit, denn dort entstehen Beziehungen. Alkohol ist nie 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sitzt im dritten Monat bei seinem Zulieferer im Großraum Detroit in einer Konstruktionsbesprechung. Ein Kollege stellt ein Konzept vor, Markus sagt „Das funktioniert so nicht“ und rechnet eine Toleranzkette vor. Er hat recht, aber der Kollege schweigt bis zum Ende, den Blick auf den Laptop statt auf Markus gerichtet. Im 1:1 rät seine Managerin: erst die Stärke nennen, dann fragen: „Have we checked the tolerance stack?“ Im ersten Review schreibt Markus, er habe „im Team an der Ausschussreduzierung mitgearbeitet“. Die Managerin fragt: „What was your part?“ Er ändert den Satz in „Reduced scrap by 12 % on one line, about 85.000 $ per year“, und sie übernimmt ihn in die Bewertung.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gehört es zur Arbeit, sie sichtbar zu machen. Wer nur liefert, wird oft übersehen; wer liefert und darüber spricht, kommt eher voran.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Gehälter, meist höherer Netto-Anteil; Bonus und Aktien können das Paket deutlich anheben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allgemeiner Kündigungsschutz; mit Visum hängt der Aufenthalt am Job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Verhandlungsspielraum bei Level, Sign-on und Aktien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bundesweiter Anspruch auf Urlaub, Krankheitstage oder bezahlte Elternzeit; im Schnitt 11 Urlaubstage im ersten Jahr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Jobwechsel und Aufstieg ohne Tarifstufen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und Altersvorsorge hängen am Arbeitgeber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Vornamen, häufiges Lob und Feedback</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Erreichbarkeit, Leistungsdruck, PIP und Stellenabbau kommen schnell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Gehaltsspannen in immer mehr Staaten öffentlich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in vielen Staaten durchsetzbar; 50 Bundesstaaten, 50 Regelwerke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Leistung zeigt, wird sichtbar und belohnt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Selbstvermarktung ist Pflicht: Resume, Review, Networking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prüfen: Titel und Level, Bonusziel, Aktien und Zuteilungsplan, 401(k)-Match, Beginn der Krankenversicherung.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Gehaltsspanne über Stellenanzeigen, BLS-Daten (bls.gov/oes) und Gehaltsportale recherchieren, bevor du verhandelst.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Level, Sign-on, Aktien und Startdatum verhandeln, nicht nur das Grundgehalt; Zusagen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Wettbewerbsverbot, Schiedsvereinbarung und Erfindungszuweisung lesen und für deinen Bundesstaat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Projekte und Patente als Ausnahme (</w:t>
            </w:r>
            <w:r>
              <w:rPr>
                <w:rFonts w:eastAsia="Cambria" w:cs="Cambria"/>
                <w:b w:val="false"/>
                <w:bCs w:val="false"/>
                <w:i/>
                <w:iCs/>
                <w:sz w:val="20"/>
                <w:szCs w:val="20"/>
              </w:rPr>
              <w:t>Prior Inventions</w:t>
            </w:r>
            <w:r>
              <w:rPr>
                <w:rFonts w:eastAsia="Cambria" w:cs="Cambria"/>
                <w:b w:val="false"/>
                <w:bCs w:val="false"/>
                <w:i w:val="false"/>
                <w:iCs w:val="false"/>
                <w:sz w:val="20"/>
                <w:szCs w:val="20"/>
              </w:rPr>
              <w:t>) in die Erfindungsklausel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wer Visa- und Green-Card-Kosten trägt und wann das Verfahren startet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Elternzeit-Regeln erfragen; die FMLA-Voraussetzung von zwölf Monaten im Blick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den vollen 401(k)-Match einzahlen.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Resume auf US-Format bringen (ein bis zwei Seiten, ohne Foto und Geburtsdatum, Ergebnisse mit Zahlen) und LinkedIn auf Englisch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 auf die Sponsoring-Frage und drei STAR-Geschichten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 wöchentliche 1:1-Gespräche nutzen und Erfolge laufend für das Review festhalten.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(DOL) – FMLA: </w:t>
      </w:r>
      <w:hyperlink r:id="rId277">
        <w:r>
          <w:rPr>
            <w:rStyle w:val="ListLabel113"/>
            <w:rFonts w:eastAsia="Cambria" w:cs="Cambria"/>
            <w:b w:val="false"/>
            <w:bCs w:val="false"/>
            <w:i w:val="false"/>
            <w:iCs w:val="false"/>
            <w:color w:val="0563C1"/>
            <w:sz w:val="22"/>
            <w:szCs w:val="22"/>
            <w:u w:val="single"/>
          </w:rPr>
          <w:t>dol.gov/agencies/whd/fmla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Mindestlohn und Überstunden (FLSA): </w:t>
      </w:r>
      <w:hyperlink r:id="rId278">
        <w:r>
          <w:rPr>
            <w:rStyle w:val="ListLabel113"/>
            <w:rFonts w:eastAsia="Cambria" w:cs="Cambria"/>
            <w:b w:val="false"/>
            <w:bCs w:val="false"/>
            <w:i w:val="false"/>
            <w:iCs w:val="false"/>
            <w:color w:val="0563C1"/>
            <w:sz w:val="22"/>
            <w:szCs w:val="22"/>
            <w:u w:val="single"/>
          </w:rPr>
          <w:t>dol.gov/agencies/whd/flsa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Gleichbehandlungsbehörde EEOC – Diskriminierung und Beschwerden: </w:t>
      </w:r>
      <w:hyperlink r:id="rId279">
        <w:r>
          <w:rPr>
            <w:rStyle w:val="ListLabel113"/>
            <w:rFonts w:eastAsia="Cambria" w:cs="Cambria"/>
            <w:b w:val="false"/>
            <w:bCs w:val="false"/>
            <w:i w:val="false"/>
            <w:iCs w:val="false"/>
            <w:color w:val="0563C1"/>
            <w:sz w:val="22"/>
            <w:szCs w:val="22"/>
            <w:u w:val="single"/>
          </w:rPr>
          <w:t>eeoc.gov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Handelsbehörde FTC – Wettbewerbsverbote (Suchbegriff noncompete): </w:t>
      </w:r>
      <w:hyperlink r:id="rId280">
        <w:r>
          <w:rPr>
            <w:rStyle w:val="ListLabel113"/>
            <w:rFonts w:eastAsia="Cambria" w:cs="Cambria"/>
            <w:b w:val="false"/>
            <w:bCs w:val="false"/>
            <w:i w:val="false"/>
            <w:iCs w:val="false"/>
            <w:color w:val="0563C1"/>
            <w:sz w:val="22"/>
            <w:szCs w:val="22"/>
            <w:u w:val="single"/>
          </w:rPr>
          <w:t>ftc.gov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Statistikbehörde BLS – Urlaub, Krankheit, Altersvorsorge (Employee Benefits): </w:t>
      </w:r>
      <w:hyperlink r:id="rId281">
        <w:r>
          <w:rPr>
            <w:rStyle w:val="ListLabel113"/>
            <w:rFonts w:eastAsia="Cambria" w:cs="Cambria"/>
            <w:b w:val="false"/>
            <w:bCs w:val="false"/>
            <w:i w:val="false"/>
            <w:iCs w:val="false"/>
            <w:color w:val="0563C1"/>
            <w:sz w:val="22"/>
            <w:szCs w:val="22"/>
            <w:u w:val="single"/>
          </w:rPr>
          <w:t>bls.gov/ebs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BLS – Löhne nach Beruf und Region (OEWS): </w:t>
      </w:r>
      <w:hyperlink r:id="rId282">
        <w:r>
          <w:rPr>
            <w:rStyle w:val="ListLabel113"/>
            <w:rFonts w:eastAsia="Cambria" w:cs="Cambria"/>
            <w:b w:val="false"/>
            <w:bCs w:val="false"/>
            <w:i w:val="false"/>
            <w:iCs w:val="false"/>
            <w:color w:val="0563C1"/>
            <w:sz w:val="22"/>
            <w:szCs w:val="22"/>
            <w:u w:val="single"/>
          </w:rPr>
          <w:t>bls.gov/oes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IRS – 401(k)-Pläne und Grenzen: </w:t>
      </w:r>
      <w:hyperlink r:id="rId283">
        <w:r>
          <w:rPr>
            <w:rStyle w:val="ListLabel113"/>
            <w:rFonts w:eastAsia="Cambria" w:cs="Cambria"/>
            <w:b w:val="false"/>
            <w:bCs w:val="false"/>
            <w:i w:val="false"/>
            <w:iCs w:val="false"/>
            <w:color w:val="0563C1"/>
            <w:sz w:val="22"/>
            <w:szCs w:val="22"/>
            <w:u w:val="single"/>
          </w:rPr>
          <w:t>irs.gov/retirement-plans/401k-plans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LCA und Lohn: </w:t>
      </w:r>
      <w:hyperlink r:id="rId284">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CareerOneStop (US-Arbeitsministerium) – kostenlose Resume-Hilfe und American-Job-Center-Suche: </w:t>
      </w:r>
      <w:hyperlink r:id="rId285">
        <w:r>
          <w:rPr>
            <w:rStyle w:val="ListLabel113"/>
            <w:rFonts w:eastAsia="Cambria" w:cs="Cambria"/>
            <w:b w:val="false"/>
            <w:bCs w:val="false"/>
            <w:i w:val="false"/>
            <w:iCs w:val="false"/>
            <w:color w:val="0563C1"/>
            <w:sz w:val="22"/>
            <w:szCs w:val="22"/>
            <w:u w:val="single"/>
          </w:rPr>
          <w:t>careeronestop.org</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77"/>
              </w:numPr>
              <w:spacing w:lineRule="exact" w:line="264" w:before="0" w:after="50"/>
              <w:rPr/>
            </w:pPr>
            <w:r>
              <w:rPr>
                <w:rFonts w:eastAsia="Cambria" w:cs="Cambria"/>
                <w:b w:val="false"/>
                <w:bCs w:val="false"/>
                <w:i w:val="false"/>
                <w:iCs w:val="false"/>
                <w:sz w:val="20"/>
                <w:szCs w:val="20"/>
              </w:rPr>
              <w:t>September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Arbeitsrecht ist überwiegend Landesrecht: Prüfe vor jeder Entscheidung die Seiten der Behörden deines Bundesstaats und lass wichtige Verträge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4" w:name="__RefHeading___Toc56498_3457424410"/>
      <w:bookmarkStart w:id="75" w:name="k30"/>
      <w:bookmarkEnd w:id="74"/>
      <w:r>
        <w:rPr>
          <w:rFonts w:eastAsia="Amazon Ember" w:cs="Amazon Ember" w:ascii="Amazon Ember" w:hAnsi="Amazon Ember"/>
          <w:b/>
          <w:bCs/>
          <w:color w:val="0000FF"/>
          <w:sz w:val="36"/>
          <w:szCs w:val="36"/>
        </w:rPr>
        <w:t>Kapitel 30: Jobwechsel, Kündigung und Umzug im Land: Was dein Status erlaubt</w:t>
      </w:r>
      <w:bookmarkEnd w:id="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Amerikaner bleiben im Median knapp vier Jahre bei einem Arbeitgeber; Wechseln ist normal. Dein Status hängt dagegen an Arbeitgeber, Tätigkeit und Ort.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H-1B-Transfer darfst du beim neuen Arbeitgeber ab Einreichung der Petition anfangen; die 100.000-$-Zahlung gilt (Stand 20. September 2026) nicht für Wechsel im Inland.</w:t>
            </w:r>
          </w:p>
          <w:p>
            <w:pPr>
              <w:pStyle w:val="ListParagraph"/>
              <w:numPr>
                <w:ilvl w:val="0"/>
                <w:numId w:val="1"/>
              </w:numPr>
              <w:spacing w:lineRule="exact" w:line="264" w:before="0" w:after="50"/>
              <w:rPr/>
            </w:pPr>
            <w:r>
              <w:rPr>
                <w:rFonts w:eastAsia="Cambria" w:cs="Cambria"/>
                <w:b w:val="false"/>
                <w:bCs w:val="false"/>
                <w:i w:val="false"/>
                <w:iCs w:val="false"/>
                <w:sz w:val="20"/>
                <w:szCs w:val="20"/>
              </w:rPr>
              <w:t>Ein anderes Beschäftigungsgebiet oder eine wesentlich andere Stelle braucht meist eine neue LCA und eine geänderte Petition, bevor du dort arbeitest.</w:t>
            </w:r>
          </w:p>
          <w:p>
            <w:pPr>
              <w:pStyle w:val="ListParagraph"/>
              <w:numPr>
                <w:ilvl w:val="0"/>
                <w:numId w:val="1"/>
              </w:numPr>
              <w:spacing w:lineRule="exact" w:line="264" w:before="0" w:after="50"/>
              <w:rPr/>
            </w:pPr>
            <w:r>
              <w:rPr>
                <w:rFonts w:eastAsia="Cambria" w:cs="Cambria"/>
                <w:b w:val="false"/>
                <w:bCs w:val="false"/>
                <w:i w:val="false"/>
                <w:iCs w:val="false"/>
                <w:sz w:val="20"/>
                <w:szCs w:val="20"/>
              </w:rPr>
              <w:t>Ein Wechsel kann ein laufendes Green-Card-Verfahren zurückwerfen; die AC21-Portabilität greift erst, wenn deine I-485 seit 180 Tagen anhängig ist.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Jobverlust gilt noch eine Frist von bis zu 60 Tagen. Ein DHS-Vorschlag vom 11. September 2026 will sie streichen; er ist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jedem Umzug: Adressänderung AR-11 binnen 10 Tagen. Rücklage: mindestens sechs Monate Fixkosten.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Amerikaner oft wechseln – und du nicht so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BLS-Statistik (Arbeitsministerium) arbeiteten Beschäftigte im Januar 2024 im Median 3,9 Jahre beim aktuellen Arbeitgeber, in der Privatwirtschaft 3,5 Jahre. Ein Grund liegt im Arbeitsrecht: Weil Arbeitgeber und Beschäftigte ohne Grund kündigen dürfen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vieler deutscher Bewerber: Ein Lebenslauf mit häufigen Wechseln wirke unstet und schrecke Personaler ab, wie man es aus Deutschland gewohnt ist. Tatsächlich gilt in den USA oft das Gegenteil – wer nie wechselt, wirkt eher unambitioniert als loyal.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 gültig nur für genau diesen Arbeitgeber, diese Tätigkeit und dieses Beschäftigungsgebiet. Wer einfach wechselt, arbeitet ohne Erlaubnis und verletzt seinen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Dein Status hat drei Anker: Arbeitgeber, Tätigkeit, Ort. Ändert sich einer davon, ist das ein Fall für den Einwanderungsanwalt, bevor du den Schritt tust,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H-1B-Transfer: Ablauf, Beginn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Wechsel zwischen zwei Arbeitgebern heißt </w:t>
      </w:r>
      <w:r>
        <w:rPr>
          <w:rFonts w:eastAsia="Cambria" w:cs="Cambria"/>
          <w:b w:val="false"/>
          <w:bCs w:val="false"/>
          <w:i/>
          <w:iCs/>
          <w:sz w:val="22"/>
          <w:szCs w:val="22"/>
        </w:rPr>
        <w:t>H-1B-Transfer</w:t>
      </w:r>
      <w:r>
        <w:rPr>
          <w:rFonts w:eastAsia="Cambria" w:cs="Cambria"/>
          <w:b w:val="false"/>
          <w:bCs w:val="false"/>
          <w:i w:val="false"/>
          <w:iCs w:val="false"/>
          <w:sz w:val="22"/>
          <w:szCs w:val="22"/>
        </w:rPr>
        <w:t xml:space="preserve"> oder </w:t>
      </w:r>
      <w:r>
        <w:rPr>
          <w:rFonts w:eastAsia="Cambria" w:cs="Cambria"/>
          <w:b w:val="false"/>
          <w:bCs w:val="false"/>
          <w:i/>
          <w:iCs/>
          <w:sz w:val="22"/>
          <w:szCs w:val="22"/>
        </w:rPr>
        <w:t>Portability</w:t>
      </w:r>
      <w:r>
        <w:rPr>
          <w:rFonts w:eastAsia="Cambria" w:cs="Cambria"/>
          <w:b w:val="false"/>
          <w:bCs w:val="false"/>
          <w:i w:val="false"/>
          <w:iCs w:val="false"/>
          <w:sz w:val="22"/>
          <w:szCs w:val="22"/>
        </w:rPr>
        <w:t xml:space="preserve"> (Übertragbarkeit, INA 214(n)). Der neue Arbeitgeber reicht eine eigene H-1B-Petition (Form I-129) bei der Einwanderungsbehörde USCIS ein. Verbreiteter Irrtum: Wie bei einem deutschen Aufenthaltstitel wähnen sich viele erst nach der fertigen Genehmigung auf der sicheren Seite. Tatsächlich zählt der Eingangsstempel bei USCIS, nicht der Ausgang des Verfahrens: Du darfst dort anfangen, sobald USCIS die Petition erhalten hat, ohne die Entscheidung abzuwarten, frühestens zum vereinbarten Starttermin. Voraussetzungen: rechtmäßige H-1B-Zulassung, Eingang der Petition vor Ablauf des zulässigen Aufenthalts, keine unerlaubte Arbeit seit der letzten Einreise, und die Petition darf nicht offensichtlich aussichtslos sein. Der Ablauf:</w:t>
      </w:r>
    </w:p>
    <w:p>
      <w:pPr>
        <w:pStyle w:val="ListParagraph"/>
        <w:numPr>
          <w:ilvl w:val="0"/>
          <w:numId w:val="178"/>
        </w:numPr>
        <w:spacing w:lineRule="exact" w:line="288" w:before="0" w:after="60"/>
        <w:rPr/>
      </w:pPr>
      <w:r>
        <w:rPr>
          <w:rFonts w:eastAsia="Cambria" w:cs="Cambria"/>
          <w:b w:val="false"/>
          <w:bCs w:val="false"/>
          <w:i w:val="false"/>
          <w:iCs w:val="false"/>
          <w:sz w:val="22"/>
          <w:szCs w:val="22"/>
        </w:rPr>
        <w:t>Der neue Arbeitgeber sagt den Transfer verbindlich zu; ihr klärt, wer welche Kosten trägt.</w:t>
      </w:r>
    </w:p>
    <w:p>
      <w:pPr>
        <w:pStyle w:val="ListParagraph"/>
        <w:numPr>
          <w:ilvl w:val="0"/>
          <w:numId w:val="179"/>
        </w:numPr>
        <w:spacing w:lineRule="exact" w:line="288" w:before="0" w:after="60"/>
        <w:rPr/>
      </w:pPr>
      <w:r>
        <w:rPr>
          <w:rFonts w:eastAsia="Cambria" w:cs="Cambria"/>
          <w:b w:val="false"/>
          <w:bCs w:val="false"/>
          <w:i w:val="false"/>
          <w:iCs w:val="false"/>
          <w:sz w:val="22"/>
          <w:szCs w:val="22"/>
        </w:rPr>
        <w:t xml:space="preserve">Er reicht beim Arbeitsministerium (DOL) eine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ein, die Lohn und Arbeitsort bestätigt; das DOL prüft sie binnen sieben Werktagen auf Vollständigkeit.</w:t>
      </w:r>
    </w:p>
    <w:p>
      <w:pPr>
        <w:pStyle w:val="ListParagraph"/>
        <w:numPr>
          <w:ilvl w:val="0"/>
          <w:numId w:val="180"/>
        </w:numPr>
        <w:spacing w:lineRule="exact" w:line="288" w:before="0" w:after="60"/>
        <w:rPr/>
      </w:pPr>
      <w:r>
        <w:rPr>
          <w:rFonts w:eastAsia="Cambria" w:cs="Cambria"/>
          <w:b w:val="false"/>
          <w:bCs w:val="false"/>
          <w:i w:val="false"/>
          <w:iCs w:val="false"/>
          <w:sz w:val="22"/>
          <w:szCs w:val="22"/>
        </w:rPr>
        <w:t xml:space="preserve">Er reicht die I-129 ein, auf Wunsch mit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w:t>
      </w:r>
    </w:p>
    <w:p>
      <w:pPr>
        <w:pStyle w:val="ListParagraph"/>
        <w:numPr>
          <w:ilvl w:val="0"/>
          <w:numId w:val="181"/>
        </w:numPr>
        <w:spacing w:lineRule="exact" w:line="288" w:before="0" w:after="60"/>
        <w:rPr/>
      </w:pPr>
      <w:r>
        <w:rPr>
          <w:rFonts w:eastAsia="Cambria" w:cs="Cambria"/>
          <w:b w:val="false"/>
          <w:bCs w:val="false"/>
          <w:i w:val="false"/>
          <w:iCs w:val="false"/>
          <w:sz w:val="22"/>
          <w:szCs w:val="22"/>
        </w:rPr>
        <w:t>Mit der Eingangsbestätigung von USCIS kündigst du beim alten Arbeitgeber und fängst beim neuen an.</w:t>
      </w:r>
    </w:p>
    <w:p>
      <w:pPr>
        <w:pStyle w:val="ListParagraph"/>
        <w:numPr>
          <w:ilvl w:val="0"/>
          <w:numId w:val="182"/>
        </w:numPr>
        <w:spacing w:lineRule="exact" w:line="288" w:before="0" w:after="60"/>
        <w:rPr/>
      </w:pPr>
      <w:r>
        <w:rPr>
          <w:rFonts w:eastAsia="Cambria" w:cs="Cambria"/>
          <w:b w:val="false"/>
          <w:bCs w:val="false"/>
          <w:i w:val="false"/>
          <w:iCs w:val="false"/>
          <w:sz w:val="22"/>
          <w:szCs w:val="22"/>
        </w:rPr>
        <w:t>USCIS genehmigt und stellt die neue Genehmigung aus. Lehnt USCIS ab, endet deine Arbeitserlaubnis beim neuen Arbeitgeber; zum alten kannst du nur zurück, wenn dessen Genehmigung noch gültig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alten Arbeitgeber erst, wenn die Petition des neuen bei USCIS eingegangen ist. Wer vorher kündigt, startet seine Frist ohne Absicherung. Ebenfalls tabu: ein zweiter Job, Freiberuflichkeit oder Nebenverdienst außerhalb deiner Petition. Das gilt als unerlaubte Beschäftigung; eine Parallelbeschäftigung braucht eine zweite Petition mit eigener LCA.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der neue Arbeitgeber, die Gebühren nach USCIS-Gebührenblatt G-1055 (Ausgabe vom 9. September 2026):</w:t>
      </w:r>
    </w:p>
    <w:tbl>
      <w:tblPr>
        <w:tblW w:w="6480" w:type="dxa"/>
        <w:jc w:val="left"/>
        <w:tblInd w:w="0" w:type="dxa"/>
        <w:tblLayout w:type="fixed"/>
        <w:tblCellMar>
          <w:top w:w="50" w:type="dxa"/>
          <w:left w:w="80" w:type="dxa"/>
          <w:bottom w:w="50" w:type="dxa"/>
          <w:right w:w="80" w:type="dxa"/>
        </w:tblCellMar>
      </w:tblPr>
      <w:tblGrid>
        <w:gridCol w:w="1811"/>
        <w:gridCol w:w="2075"/>
        <w:gridCol w:w="2594"/>
      </w:tblGrid>
      <w:tr>
        <w:trPr>
          <w:tblHeader w:val="true"/>
          <w:cantSplit w:val="true"/>
        </w:trPr>
        <w:tc>
          <w:tcPr>
            <w:tcW w:w="18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oder Non-Profit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Grundgebühr</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Beschäftigten, sonst 750 $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Hochschulen und verbundene Non-Profits befreit</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Erstpetition und Arbeitgeberwechsel</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nur der Arbeitgeber darf es beantragen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rFonts w:eastAsia="Cambria" w:cs="Cambria"/>
          <w:b w:val="false"/>
          <w:bCs w:val="false"/>
          <w:i/>
          <w:iCs/>
          <w:sz w:val="22"/>
          <w:szCs w:val="22"/>
        </w:rPr>
        <w:t>Offer Letters</w:t>
      </w:r>
      <w:r>
        <w:rPr>
          <w:rFonts w:eastAsia="Cambria" w:cs="Cambria"/>
          <w:b w:val="false"/>
          <w:bCs w:val="false"/>
          <w:i w:val="false"/>
          <w:iCs w:val="false"/>
          <w:sz w:val="22"/>
          <w:szCs w:val="22"/>
        </w:rPr>
        <w:t xml:space="preserve"> (Angebotsschreiben) stehen Rückzahlungsklauseln für Sign-on-Bonus oder Umzugskosten; prüfe sie und ein mögliches Wettbewerbsverbot vor dem Wechsel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Keine Lotterie, keine 100.000 $.</w:t>
      </w:r>
      <w:r>
        <w:rPr>
          <w:rFonts w:eastAsia="Cambria" w:cs="Cambria"/>
          <w:b w:val="false"/>
          <w:bCs w:val="false"/>
          <w:i w:val="false"/>
          <w:iCs w:val="false"/>
          <w:sz w:val="22"/>
          <w:szCs w:val="22"/>
        </w:rP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Auch der 103.265-$-Entwurf vom 25. August 2026 (nicht in Kraft, Kommentare bis 24. September 2026) würde Arbeitgeberwechsel nach Angaben von Kanzleien nicht erfassen.</w:t>
      </w:r>
    </w:p>
    <w:p>
      <w:pPr>
        <w:pStyle w:val="Normal"/>
        <w:keepNext w:val="false"/>
        <w:keepLines w:val="false"/>
        <w:spacing w:lineRule="exact" w:line="288" w:before="0" w:after="140"/>
        <w:jc w:val="left"/>
        <w:rPr/>
      </w:pPr>
      <w:r>
        <w:rPr>
          <w:rFonts w:eastAsia="Cambria" w:cs="Cambria"/>
          <w:b/>
          <w:bCs/>
          <w:i w:val="false"/>
          <w:iCs w:val="false"/>
          <w:sz w:val="22"/>
          <w:szCs w:val="22"/>
        </w:rPr>
        <w:t>Cap-exempt-Arbeitgeber.</w:t>
      </w:r>
      <w:r>
        <w:rPr>
          <w:rFonts w:eastAsia="Cambria" w:cs="Cambria"/>
          <w:b w:val="false"/>
          <w:bCs w:val="false"/>
          <w:i w:val="false"/>
          <w:iCs w:val="false"/>
          <w:sz w:val="22"/>
          <w:szCs w:val="22"/>
        </w:rPr>
        <w:t xml:space="preserve"> Arbeitest du an einer Hochschule, einem verbundenen Non-Profit oder einer gemeinnützigen oder staatlichen Forschungseinrichtung, unterlag deine Petition nicht der Quote (</w:t>
      </w:r>
      <w:r>
        <w:rPr>
          <w:rFonts w:eastAsia="Cambria" w:cs="Cambria"/>
          <w:b w:val="false"/>
          <w:bCs w:val="false"/>
          <w:i/>
          <w:iCs/>
          <w:sz w:val="22"/>
          <w:szCs w:val="22"/>
        </w:rPr>
        <w:t>Cap-exempt</w:t>
      </w:r>
      <w:r>
        <w:rPr>
          <w:rFonts w:eastAsia="Cambria" w:cs="Cambria"/>
          <w:b w:val="false"/>
          <w:bCs w:val="false"/>
          <w:i w:val="false"/>
          <w:iCs w:val="false"/>
          <w:sz w:val="22"/>
          <w:szCs w:val="22"/>
        </w:rPr>
        <w:t>). Wechselst du von dort zu einem gewöhnlichen Unternehmen (</w:t>
      </w:r>
      <w:r>
        <w:rPr>
          <w:rFonts w:eastAsia="Cambria" w:cs="Cambria"/>
          <w:b w:val="false"/>
          <w:bCs w:val="false"/>
          <w:i/>
          <w:iCs/>
          <w:sz w:val="22"/>
          <w:szCs w:val="22"/>
        </w:rPr>
        <w:t>Cap-subject</w:t>
      </w:r>
      <w:r>
        <w:rPr>
          <w:rFonts w:eastAsia="Cambria" w:cs="Cambria"/>
          <w:b w:val="false"/>
          <w:bCs w:val="false"/>
          <w:i w:val="false"/>
          <w:iCs w:val="false"/>
          <w:sz w:val="22"/>
          <w:szCs w:val="22"/>
        </w:rPr>
        <w:t>), brauchst du in der Regel eine Registrierung im März und darfst frühestens am 1. Oktober starten; eine Parallelbeschäftigung ist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und Stellenänderung: Wann eine neue LCA nötig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Wohnort ist bei H-1B selten frei gewählt: Deine Petition nennt den Arbeitsort, und die LCA gilt für ein Beschäftigungsgebiet, meist die Metropolregion (</w:t>
      </w:r>
      <w:r>
        <w:rPr>
          <w:rFonts w:eastAsia="Cambria" w:cs="Cambria"/>
          <w:b w:val="false"/>
          <w:bCs w:val="false"/>
          <w:i/>
          <w:iCs/>
          <w:sz w:val="22"/>
          <w:szCs w:val="22"/>
        </w:rPr>
        <w:t>Metropolitan Statistical Area</w:t>
      </w:r>
      <w:r>
        <w:rPr>
          <w:rFonts w:eastAsia="Cambria" w:cs="Cambria"/>
          <w:b w:val="false"/>
          <w:bCs w:val="false"/>
          <w:i w:val="false"/>
          <w:iCs w:val="false"/>
          <w:sz w:val="22"/>
          <w:szCs w:val="22"/>
        </w:rPr>
        <w:t>, MSA). Wer nach einem Jahr in eine andere Region will, kann nicht einfach umziehen; wo du langfristig leben willst, klärst du deshalb vor der Zusage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Wechselst du Arbeitgeber und Region zugleich, reicht ein Schritt, denn die Petition des neuen Arbeitgebers nennt ohnehin den neuen Ort. Bleibst du beim Arbeitgeber, gilt:</w:t>
      </w:r>
    </w:p>
    <w:p>
      <w:pPr>
        <w:pStyle w:val="ListParagraph"/>
        <w:numPr>
          <w:ilvl w:val="0"/>
          <w:numId w:val="1"/>
        </w:numPr>
        <w:spacing w:lineRule="exact" w:line="288" w:before="0" w:after="60"/>
        <w:rPr/>
      </w:pPr>
      <w:r>
        <w:rPr>
          <w:rFonts w:eastAsia="Cambria" w:cs="Cambria"/>
          <w:b/>
          <w:bCs/>
          <w:i w:val="false"/>
          <w:iCs w:val="false"/>
          <w:sz w:val="22"/>
          <w:szCs w:val="22"/>
        </w:rPr>
        <w:t>Neuer Standort im selben MSA:</w:t>
      </w:r>
      <w:r>
        <w:rPr>
          <w:rFonts w:eastAsia="Cambria" w:cs="Cambria"/>
          <w:b w:val="false"/>
          <w:bCs w:val="false"/>
          <w:i w:val="false"/>
          <w:iCs w:val="false"/>
          <w:sz w:val="22"/>
          <w:szCs w:val="22"/>
        </w:rPr>
        <w:t xml:space="preserve"> Nach bisheriger USCIS-Praxis (Simeio-Leitlinie von 2015, später in die Vorschriften übernommen) genügt es, dass der Arbeitgeber die LCA am neuen Standort aushängt. Beispiel: Seattle nach Bellevue.</w:t>
      </w:r>
    </w:p>
    <w:p>
      <w:pPr>
        <w:pStyle w:val="ListParagraph"/>
        <w:numPr>
          <w:ilvl w:val="0"/>
          <w:numId w:val="1"/>
        </w:numPr>
        <w:spacing w:lineRule="exact" w:line="288" w:before="0" w:after="60"/>
        <w:rPr/>
      </w:pPr>
      <w:r>
        <w:rPr>
          <w:rFonts w:eastAsia="Cambria" w:cs="Cambria"/>
          <w:b/>
          <w:bCs/>
          <w:i w:val="false"/>
          <w:iCs w:val="false"/>
          <w:sz w:val="22"/>
          <w:szCs w:val="22"/>
        </w:rPr>
        <w:t>Anderes Gebiet:</w:t>
      </w:r>
      <w:r>
        <w:rPr>
          <w:rFonts w:eastAsia="Cambria" w:cs="Cambria"/>
          <w:b w:val="false"/>
          <w:bCs w:val="false"/>
          <w:i w:val="false"/>
          <w:iCs w:val="false"/>
          <w:sz w:val="22"/>
          <w:szCs w:val="22"/>
        </w:rPr>
        <w:t xml:space="preserve"> Braucht der neue Ort eine neue LCA, gilt das als wesentliche Änderung. Der Arbeitgeber holt sie ein und reicht eine geänderte Petition (</w:t>
      </w:r>
      <w:r>
        <w:rPr>
          <w:rFonts w:eastAsia="Cambria" w:cs="Cambria"/>
          <w:b w:val="false"/>
          <w:bCs w:val="false"/>
          <w:i/>
          <w:iCs/>
          <w:sz w:val="22"/>
          <w:szCs w:val="22"/>
        </w:rPr>
        <w:t>Amended Petition</w:t>
      </w:r>
      <w:r>
        <w:rPr>
          <w:rFonts w:eastAsia="Cambria" w:cs="Cambria"/>
          <w:b w:val="false"/>
          <w:bCs w:val="false"/>
          <w:i w:val="false"/>
          <w:iCs w:val="false"/>
          <w:sz w:val="22"/>
          <w:szCs w:val="22"/>
        </w:rPr>
        <w:t>) samt Gebühr ein (8 CFR 214.2(h)(2)(i)(E)). Beispiel: Seattle nach Austin.</w:t>
      </w:r>
    </w:p>
    <w:p>
      <w:pPr>
        <w:pStyle w:val="ListParagraph"/>
        <w:numPr>
          <w:ilvl w:val="0"/>
          <w:numId w:val="1"/>
        </w:numPr>
        <w:spacing w:lineRule="exact" w:line="288" w:before="0" w:after="60"/>
        <w:rPr/>
      </w:pPr>
      <w:r>
        <w:rPr>
          <w:rFonts w:eastAsia="Cambria" w:cs="Cambria"/>
          <w:b/>
          <w:bCs/>
          <w:i w:val="false"/>
          <w:iCs w:val="false"/>
          <w:sz w:val="22"/>
          <w:szCs w:val="22"/>
        </w:rPr>
        <w:t>Homeoffice:</w:t>
      </w:r>
      <w:r>
        <w:rPr>
          <w:rFonts w:eastAsia="Cambria" w:cs="Cambria"/>
          <w:b w:val="false"/>
          <w:bCs w:val="false"/>
          <w:i w:val="false"/>
          <w:iCs w:val="false"/>
          <w:sz w:val="22"/>
          <w:szCs w:val="22"/>
        </w:rPr>
        <w:t xml:space="preserve"> Auch dein Arbeitsplatz zu Hause zählt als Arbeitsort. Ziehst du im Homeoffice in ein anderes Gebiet, kann das eine neue LCA erfordern – frage HR vor dem Umzug.</w:t>
      </w:r>
    </w:p>
    <w:p>
      <w:pPr>
        <w:pStyle w:val="ListParagraph"/>
        <w:numPr>
          <w:ilvl w:val="0"/>
          <w:numId w:val="1"/>
        </w:numPr>
        <w:spacing w:lineRule="exact" w:line="288" w:before="0" w:after="60"/>
        <w:rPr/>
      </w:pPr>
      <w:r>
        <w:rPr>
          <w:rFonts w:eastAsia="Cambria" w:cs="Cambria"/>
          <w:b/>
          <w:bCs/>
          <w:i w:val="false"/>
          <w:iCs w:val="false"/>
          <w:sz w:val="22"/>
          <w:szCs w:val="22"/>
        </w:rPr>
        <w:t>Andere Stelle:</w:t>
      </w:r>
      <w:r>
        <w:rPr>
          <w:rFonts w:eastAsia="Cambria" w:cs="Cambria"/>
          <w:b w:val="false"/>
          <w:bCs w:val="false"/>
          <w:i w:val="false"/>
          <w:iCs w:val="false"/>
          <w:sz w:val="22"/>
          <w:szCs w:val="22"/>
        </w:rPr>
        <w:t xml:space="preserve"> Eine wesentlich andere Tätigkeit oder Berufsgruppe oder deutlich weniger Arbeitszeit kann eine geänderte Petition verlangen; eine Beförderung innerhalb derselben Tätigkeit in der Regel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und Green Card: Was aus deinem Verfahren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über deinen Arbeitgeber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hängt die Wirkung eines Wechsels vom Stand des Verfahrens ab. Es hat drei Etappen: die Arbeitsmarktprüfung (</w:t>
      </w:r>
      <w:r>
        <w:rPr>
          <w:rFonts w:eastAsia="Cambria" w:cs="Cambria"/>
          <w:b w:val="false"/>
          <w:bCs w:val="false"/>
          <w:i/>
          <w:iCs/>
          <w:sz w:val="22"/>
          <w:szCs w:val="22"/>
        </w:rPr>
        <w:t>PERM</w:t>
      </w:r>
      <w:r>
        <w:rPr>
          <w:rFonts w:eastAsia="Cambria" w:cs="Cambria"/>
          <w:b w:val="false"/>
          <w:bCs w:val="false"/>
          <w:i w:val="false"/>
          <w:iCs w:val="false"/>
          <w:sz w:val="22"/>
          <w:szCs w:val="22"/>
        </w:rPr>
        <w:t xml:space="preserve">), die Einwanderungspetition des Arbeitgebers (I-140) und der Antrag auf Statusanpassung (I-485).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ist dein Platz in der Warteschlange.</w:t>
      </w:r>
    </w:p>
    <w:tbl>
      <w:tblPr>
        <w:tblW w:w="6480" w:type="dxa"/>
        <w:jc w:val="left"/>
        <w:tblInd w:w="0" w:type="dxa"/>
        <w:tblLayout w:type="fixed"/>
        <w:tblCellMar>
          <w:top w:w="50" w:type="dxa"/>
          <w:left w:w="80" w:type="dxa"/>
          <w:bottom w:w="50" w:type="dxa"/>
          <w:right w:w="80" w:type="dxa"/>
        </w:tblCellMar>
      </w:tblPr>
      <w:tblGrid>
        <w:gridCol w:w="1796"/>
        <w:gridCol w:w="2732"/>
        <w:gridCol w:w="1952"/>
      </w:tblGrid>
      <w:tr>
        <w:trPr>
          <w:tblHeader w:val="true"/>
          <w:cantSplit w:val="true"/>
        </w:trPr>
        <w:tc>
          <w:tcPr>
            <w:tcW w:w="17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 beim Wechsel</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mitnimmst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oder I-140 noch nicht genehmigt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neue Arbeitgeber beginnt von vorn</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das Priority Date ist meist verloren</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noch nicht 180 Tage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Neues PERM und neue I-140 beim neuen Arbeitgeber</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alte Priority Date, wenn die Genehmigung mindestens 180 Tage alt ist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seit 180 Tagen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AC21-Portabilität (INA 204(j)): neue Stelle in gleicher oder ähnlicher Berufsgruppe, Form I-485 Supplement J</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gesamte Verfahren, kein neues PERM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(der monatlichen Stichtagsliste des State Department,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Wechselst du in den letzten Jahren, kann ein frisch startendes Verfahren zu spät 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vor jedem Wechsel, wo dein Verfahren steht: Priority Date, Datum der I-140-Genehmigung, Datum der I-485-Einreichung. Wer einen Tag vor der 180-Tage-Marke kündigt, kann Jahre verlieren. Frage neue Arbeitgeber im Gespräch, wann sie ein Verfahren starten und wer 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Layoff: Die 60-Tage-Frist</w:t>
      </w:r>
    </w:p>
    <w:p>
      <w:pPr>
        <w:pStyle w:val="Normal"/>
        <w:keepNext w:val="false"/>
        <w:keepLines w:val="false"/>
        <w:spacing w:lineRule="exact" w:line="288" w:before="0" w:after="140"/>
        <w:jc w:val="left"/>
        <w:rPr/>
      </w:pPr>
      <w:r>
        <w:rPr>
          <w:rFonts w:eastAsia="Cambria" w:cs="Cambria"/>
          <w:b w:val="false"/>
          <w:bCs w:val="false"/>
          <w:i/>
          <w:iCs/>
          <w:sz w:val="22"/>
          <w:szCs w:val="22"/>
        </w:rPr>
        <w:t>Layoff</w:t>
      </w:r>
      <w:r>
        <w:rPr>
          <w:rFonts w:eastAsia="Cambria" w:cs="Cambria"/>
          <w:b w:val="false"/>
          <w:bCs w:val="false"/>
          <w:i w:val="false"/>
          <w:iCs w:val="false"/>
          <w:sz w:val="22"/>
          <w:szCs w:val="22"/>
        </w:rPr>
        <w:t xml:space="preserve"> heißt Stellenabbau: Die Firma streicht Stellen wegen Kosten oder Umbau, nicht wegen deiner Leistung. Manchmal erfährst du es am selben Tag, an dem dein Zugang gesperrt wird. Dein Status endet aber nicht sofort: Nach 8 CFR 214.1(l)(2) gilt eine Frist (</w:t>
      </w:r>
      <w:r>
        <w:rPr>
          <w:rFonts w:eastAsia="Cambria" w:cs="Cambria"/>
          <w:b w:val="false"/>
          <w:bCs w:val="false"/>
          <w:i/>
          <w:iCs/>
          <w:sz w:val="22"/>
          <w:szCs w:val="22"/>
        </w:rPr>
        <w:t>Grace Period</w:t>
      </w:r>
      <w:r>
        <w:rPr>
          <w:rFonts w:eastAsia="Cambria" w:cs="Cambria"/>
          <w:b w:val="false"/>
          <w:bCs w:val="false"/>
          <w:i w:val="false"/>
          <w:iCs w:val="false"/>
          <w:sz w:val="22"/>
          <w:szCs w:val="22"/>
        </w:rPr>
        <w:t>) von bis zu 60 aufeinanderfolgenden Tagen oder bis zum Ende des genehmigten Aufenthaltszeitraums, je nachdem, was kürzer ist. Im Einzelnen: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Frist gilt einmal je Gültigkeitszeitraum der Petition, auch bei eigener Kündigung; USCIS kann sie im Einzelfall verkürzen oder streichen.</w:t>
      </w:r>
    </w:p>
    <w:p>
      <w:pPr>
        <w:pStyle w:val="ListParagraph"/>
        <w:numPr>
          <w:ilvl w:val="0"/>
          <w:numId w:val="1"/>
        </w:numPr>
        <w:spacing w:lineRule="exact" w:line="288" w:before="0" w:after="60"/>
        <w:rPr/>
      </w:pPr>
      <w:r>
        <w:rPr>
          <w:rFonts w:eastAsia="Cambria" w:cs="Cambria"/>
          <w:b w:val="false"/>
          <w:bCs w:val="false"/>
          <w:i w:val="false"/>
          <w:iCs w:val="false"/>
          <w:sz w:val="22"/>
          <w:szCs w:val="22"/>
        </w:rPr>
        <w:t>Der Lauf beginnt am Tag nach Beschäftigungsende; USCIS nennt dafür typischerweise den letzten bezahlten Tag (Seite archiviert, Stand Januar 2025).</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Arbeiten darfst du in dieser Zeit nicht, bis ein neuer Arbeitgeber eine Petition eingereicht hat.</w:t>
      </w:r>
    </w:p>
    <w:p>
      <w:pPr>
        <w:pStyle w:val="ListParagraph"/>
        <w:numPr>
          <w:ilvl w:val="0"/>
          <w:numId w:val="1"/>
        </w:numPr>
        <w:spacing w:lineRule="exact" w:line="288" w:before="0" w:after="60"/>
        <w:rPr/>
      </w:pPr>
      <w:r>
        <w:rPr>
          <w:rFonts w:eastAsia="Cambria" w:cs="Cambria"/>
          <w:b w:val="false"/>
          <w:bCs w:val="false"/>
          <w:i w:val="false"/>
          <w:iCs w:val="false"/>
          <w:sz w:val="22"/>
          <w:szCs w:val="22"/>
        </w:rPr>
        <w:t>Partner und Kinder (H-4) profitieren mit; eine H-4-Arbeitserlaubnis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bleibt nach früherer USCIS-Angabe gültig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die 60 Tage ab deinem letzten Arbeitstag, trage das Ende mit einer Woche Puffer in den Kalender ein und handle in der ersten Woche, nicht im zweiten Monat. Maßgeblich ist, wann ein Antrag bei USCIS eingeht, nicht wann du ihn abschickst.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rFonts w:eastAsia="Cambria" w:cs="Cambria"/>
          <w:b/>
          <w:bCs/>
          <w:i w:val="false"/>
          <w:iCs w:val="false"/>
          <w:sz w:val="22"/>
          <w:szCs w:val="22"/>
        </w:rPr>
        <w:t>Das ist ein Vorschlag, keine geltende Regel.</w:t>
      </w:r>
      <w:r>
        <w:rPr>
          <w:rFonts w:eastAsia="Cambria" w:cs="Cambria"/>
          <w:b w:val="false"/>
          <w:bCs w:val="false"/>
          <w:i w:val="false"/>
          <w:iCs w:val="false"/>
          <w:sz w:val="22"/>
          <w:szCs w:val="22"/>
        </w:rPr>
        <w:t xml:space="preserve"> Bis zu einer endgültigen Fassung gilt die 60-Tage-Frist.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18. September 2026 hat der Präsident zudem eine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federalregister.gov und whitehouse.gov/presidential-actions.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Innerhalb der Frist hast du vier Optionen:</w:t>
      </w:r>
    </w:p>
    <w:p>
      <w:pPr>
        <w:pStyle w:val="ListParagraph"/>
        <w:numPr>
          <w:ilvl w:val="0"/>
          <w:numId w:val="183"/>
        </w:numPr>
        <w:spacing w:lineRule="exact" w:line="288" w:before="0" w:after="60"/>
        <w:rPr/>
      </w:pPr>
      <w:r>
        <w:rPr>
          <w:rFonts w:eastAsia="Cambria" w:cs="Cambria"/>
          <w:b/>
          <w:bCs/>
          <w:i w:val="false"/>
          <w:iCs w:val="false"/>
          <w:sz w:val="22"/>
          <w:szCs w:val="22"/>
        </w:rPr>
        <w:t>Neuer Arbeitgeber:</w:t>
      </w:r>
      <w:r>
        <w:rPr>
          <w:rFonts w:eastAsia="Cambria" w:cs="Cambria"/>
          <w:b w:val="false"/>
          <w:bCs w:val="false"/>
          <w:i w:val="false"/>
          <w:iCs w:val="false"/>
          <w:sz w:val="22"/>
          <w:szCs w:val="22"/>
        </w:rPr>
        <w:t xml:space="preserve"> Er reicht einen Transfer ein, du arbeitest ab Eingang – der übliche Weg; Premium Processing ist bei knapper Zeit sinnvoll.</w:t>
      </w:r>
    </w:p>
    <w:p>
      <w:pPr>
        <w:pStyle w:val="ListParagraph"/>
        <w:numPr>
          <w:ilvl w:val="0"/>
          <w:numId w:val="184"/>
        </w:numPr>
        <w:spacing w:lineRule="exact" w:line="288" w:before="0" w:after="60"/>
        <w:rPr/>
      </w:pPr>
      <w:r>
        <w:rPr>
          <w:rFonts w:eastAsia="Cambria" w:cs="Cambria"/>
          <w:b/>
          <w:bCs/>
          <w:i w:val="false"/>
          <w:iCs w:val="false"/>
          <w:sz w:val="22"/>
          <w:szCs w:val="22"/>
        </w:rPr>
        <w:t>Statuswechsel:</w:t>
      </w:r>
      <w:r>
        <w:rPr>
          <w:rFonts w:eastAsia="Cambria" w:cs="Cambria"/>
          <w:b w:val="false"/>
          <w:bCs w:val="false"/>
          <w:i w:val="false"/>
          <w:iCs w:val="false"/>
          <w:sz w:val="22"/>
          <w:szCs w:val="22"/>
        </w:rPr>
        <w:t xml:space="preserve"> Antrag auf eine andere Kategorie, etwa F-1 (Studium); muss vor Ablauf eingehen, kostet Gebühren und gehört in die Hände einer Anwältin.</w:t>
      </w:r>
    </w:p>
    <w:p>
      <w:pPr>
        <w:pStyle w:val="ListParagraph"/>
        <w:numPr>
          <w:ilvl w:val="0"/>
          <w:numId w:val="185"/>
        </w:numPr>
        <w:spacing w:lineRule="exact" w:line="288" w:before="0" w:after="60"/>
        <w:rPr/>
      </w:pPr>
      <w:r>
        <w:rPr>
          <w:rFonts w:eastAsia="Cambria" w:cs="Cambria"/>
          <w:b/>
          <w:bCs/>
          <w:i w:val="false"/>
          <w:iCs w:val="false"/>
          <w:sz w:val="22"/>
          <w:szCs w:val="22"/>
        </w:rPr>
        <w:t>Green-Card-Weg:</w:t>
      </w:r>
      <w:r>
        <w:rPr>
          <w:rFonts w:eastAsia="Cambria" w:cs="Cambria"/>
          <w:b w:val="false"/>
          <w:bCs w:val="false"/>
          <w:i w:val="false"/>
          <w:iCs w:val="false"/>
          <w:sz w:val="22"/>
          <w:szCs w:val="22"/>
        </w:rPr>
        <w:t xml:space="preserve"> Ist die I-485 schon eingereicht, prüft die Anwältin, ob Arbeitserlaubnis (EAD) oder AC21 dich weiterträgt.</w:t>
      </w:r>
    </w:p>
    <w:p>
      <w:pPr>
        <w:pStyle w:val="ListParagraph"/>
        <w:numPr>
          <w:ilvl w:val="0"/>
          <w:numId w:val="186"/>
        </w:numPr>
        <w:spacing w:lineRule="exact" w:line="288" w:before="0" w:after="60"/>
        <w:rPr/>
      </w:pPr>
      <w:r>
        <w:rPr>
          <w:rFonts w:eastAsia="Cambria" w:cs="Cambria"/>
          <w:b/>
          <w:bCs/>
          <w:i w:val="false"/>
          <w:iCs w:val="false"/>
          <w:sz w:val="22"/>
          <w:szCs w:val="22"/>
        </w:rPr>
        <w:t>Ausreise:</w:t>
      </w:r>
      <w:r>
        <w:rPr>
          <w:rFonts w:eastAsia="Cambria" w:cs="Cambria"/>
          <w:b w:val="false"/>
          <w:bCs w:val="false"/>
          <w:i w:val="false"/>
          <w:iCs w:val="false"/>
          <w:sz w:val="22"/>
          <w:szCs w:val="22"/>
        </w:rPr>
        <w:t xml:space="preserve"> Der sauberste Weg ohne Statusproblem; ein späterer Neuanlauf mit neuer Petition bleibt möglich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Notfallplan: Tag 1 bis 60</w:t>
      </w:r>
    </w:p>
    <w:tbl>
      <w:tblPr>
        <w:tblW w:w="6480" w:type="dxa"/>
        <w:jc w:val="left"/>
        <w:tblInd w:w="0" w:type="dxa"/>
        <w:tblLayout w:type="fixed"/>
        <w:tblCellMar>
          <w:top w:w="50" w:type="dxa"/>
          <w:left w:w="80" w:type="dxa"/>
          <w:bottom w:w="50" w:type="dxa"/>
          <w:right w:w="80" w:type="dxa"/>
        </w:tblCellMar>
      </w:tblPr>
      <w:tblGrid>
        <w:gridCol w:w="944"/>
        <w:gridCol w:w="2962"/>
        <w:gridCol w:w="2574"/>
      </w:tblGrid>
      <w:tr>
        <w:trPr>
          <w:tblHeader w:val="true"/>
          <w:cantSplit w:val="true"/>
        </w:trPr>
        <w:tc>
          <w:tcPr>
            <w:tcW w:w="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c>
          <w:tcPr>
            <w:tcW w:w="25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sofort unterschreiben. Letzten Arbeitstag, Freistellung, Abfindung und Ende der Krankenversicherung schriftlich erfragen.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Beschäftigungsende bestimmt deine Frist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0–2</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sichern: Pass, I-94, alle I-797, Gehaltsabrechnungen, W-2, Arbeitsvertrag. Einwanderungsanwalt anrufen.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Nachweise kein Antrag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Fristende ausrechnen: letzter Arbeitstag plus 60 Tage, oder Ablauf des I-94, wenn früher.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Kürzere gilt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1–7</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Recruiter, LinkedIn: „H-1B-Transfer nötig“ gleich nennen.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jeder Arbeitgeber sponsert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1–14</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klären: COBRA, Marktplatz, Plan des Partners.</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Wahlfristen laufen mit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14–40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annehmen, Transfer sofort einreichen lassen; an Premium Processing darfst du dich beteiligen.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ab Einreichung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Angebot Plan B festlegen: Statuswechsel oder Ausreise vorbereiten.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Ausreise braucht Vorlauf</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45–55</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Einreichung von Petition oder Statuswechsel-Antrag, mit Puffer.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 und Fehler brauchen Reserve</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Tag 60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laufenden Antrag ausreisen.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 bist du ohne Status</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Fristen und Optionen bewertet im Einzelfall eine Einwanderungsanwältin, am besten noch am Tag der Kündigung.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33, Softwareentwicklerin in Seattle, hat noch mehr als ein Jahr H-1B-Laufzeit. Anfang Juni sitzt sie in einem hastig einberufenen Video-Call, in dem ihr Manager in neunzig Sekunden verkündet, dass ihr Team aufgelöst wird. Letzter Arbeitstag ist der 30. Juni, die Krankenversicherung endet am 31. Juli. Sie lässt sich beides schriftlich bestätigen, ruft noch am selben Tag ihre Anwältin an und rechnet: Die 60 Tage enden am 29. August. Die angebotene Abfindung von acht Wochen Gehalt unterschreibt sie erst nach Prüfung. Am 19. Juli liegt ein Angebot aus Bellevue vor; der neue Arbeitgeber reicht am 27. Juli den Transfer mit Premium Processing (2.965 $) ein, am 1. August fängt sie an. Von den 60 Tagen waren 27 verbraucht. Den August überbrückt sie per COBRA für rund 790 $, weil der neue Plan erst am 1. September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Abfindung, WARN Act, Krankenversicherung und Arbeitslosengeld</w:t>
      </w:r>
    </w:p>
    <w:p>
      <w:pPr>
        <w:pStyle w:val="Normal"/>
        <w:keepNext w:val="false"/>
        <w:keepLines w:val="false"/>
        <w:spacing w:lineRule="exact" w:line="288" w:before="0" w:after="140"/>
        <w:jc w:val="left"/>
        <w:rPr/>
      </w:pPr>
      <w:r>
        <w:rPr>
          <w:rFonts w:eastAsia="Cambria" w:cs="Cambria"/>
          <w:b/>
          <w:bCs/>
          <w:i w:val="false"/>
          <w:iCs w:val="false"/>
          <w:sz w:val="22"/>
          <w:szCs w:val="22"/>
        </w:rPr>
        <w:t>Abfindung.</w:t>
      </w:r>
      <w:r>
        <w:rPr>
          <w:rFonts w:eastAsia="Cambria" w:cs="Cambria"/>
          <w:b w:val="false"/>
          <w:bCs w:val="false"/>
          <w:i w:val="false"/>
          <w:iCs w:val="false"/>
          <w:sz w:val="22"/>
          <w:szCs w:val="22"/>
        </w:rPr>
        <w:t xml:space="preserve"> Verbreiteter Irrtum: Wer aus Deutschland die Abfindung als festen Bestandteil einer Kündigung kennt, erwartet sie auch hier automatisch. Tatsächlich kennt das Bundesrecht keinen Anspruch auf Abfindung (</w:t>
      </w:r>
      <w:r>
        <w:rPr>
          <w:rFonts w:eastAsia="Cambria" w:cs="Cambria"/>
          <w:b w:val="false"/>
          <w:bCs w:val="false"/>
          <w:i/>
          <w:iCs/>
          <w:sz w:val="22"/>
          <w:szCs w:val="22"/>
        </w:rPr>
        <w:t>Severance</w:t>
      </w:r>
      <w:r>
        <w:rPr>
          <w:rFonts w:eastAsia="Cambria" w:cs="Cambria"/>
          <w:b w:val="false"/>
          <w:bCs w:val="false"/>
          <w:i w:val="false"/>
          <w:iCs w:val="false"/>
          <w:sz w:val="22"/>
          <w:szCs w:val="22"/>
        </w:rPr>
        <w:t>). Viele Firmen bieten sie trotzdem an, als reine Kulanz, meist gegen einen Verzicht auf Klagen (</w:t>
      </w:r>
      <w:r>
        <w:rPr>
          <w:rFonts w:eastAsia="Cambria" w:cs="Cambria"/>
          <w:b w:val="false"/>
          <w:bCs w:val="false"/>
          <w:i/>
          <w:iCs/>
          <w:sz w:val="22"/>
          <w:szCs w:val="22"/>
        </w:rPr>
        <w:t>Separation Agreement</w:t>
      </w:r>
      <w:r>
        <w:rPr>
          <w:rFonts w:eastAsia="Cambria" w:cs="Cambria"/>
          <w:b w:val="false"/>
          <w:bCs w:val="false"/>
          <w:i w:val="false"/>
          <w:iCs w:val="false"/>
          <w:sz w:val="22"/>
          <w:szCs w:val="22"/>
        </w:rPr>
        <w:t xml:space="preserve"> mit </w:t>
      </w:r>
      <w:r>
        <w:rPr>
          <w:rFonts w:eastAsia="Cambria" w:cs="Cambria"/>
          <w:b w:val="false"/>
          <w:bCs w:val="false"/>
          <w:i/>
          <w:iCs/>
          <w:sz w:val="22"/>
          <w:szCs w:val="22"/>
        </w:rPr>
        <w:t>Release</w:t>
      </w:r>
      <w:r>
        <w:rPr>
          <w:rFonts w:eastAsia="Cambria" w:cs="Cambria"/>
          <w:b w:val="false"/>
          <w:bCs w:val="false"/>
          <w:i w:val="false"/>
          <w:iCs w:val="false"/>
          <w:sz w:val="22"/>
          <w:szCs w:val="22"/>
        </w:rPr>
        <w:t>). Höhe und Form sind Verhandlungssache; lass den Vertrag vor der Unterschrift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Abfindung verlängert die 60 Tage nicht gesichert. USCIS nennt als Beginn typischerweise den letzten Gehaltstag; Kanzleien raten, ab dem letzten Arbeitstag zu zählen, weil eine Abfindung kein Arbeitsverhältnis ist. Bei bezahlter Freistellung (</w:t>
            </w:r>
            <w:r>
              <w:rPr>
                <w:rFonts w:eastAsia="Cambria" w:cs="Cambria"/>
                <w:b w:val="false"/>
                <w:bCs w:val="false"/>
                <w:i/>
                <w:iCs/>
                <w:sz w:val="20"/>
                <w:szCs w:val="20"/>
              </w:rPr>
              <w:t>Garden Leave</w:t>
            </w:r>
            <w:r>
              <w:rPr>
                <w:rFonts w:eastAsia="Cambria" w:cs="Cambria"/>
                <w:b w:val="false"/>
                <w:bCs w:val="false"/>
                <w:i w:val="false"/>
                <w:iCs w:val="false"/>
                <w:sz w:val="20"/>
                <w:szCs w:val="20"/>
              </w:rPr>
              <w:t>), in der du formal angestellt bleibst, kann die Bewertung anders ausfallen; das klärt der Anwalt. Lass dir das Beschäftigungsende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WARN Act.</w:t>
      </w:r>
      <w:r>
        <w:rPr>
          <w:rFonts w:eastAsia="Cambria" w:cs="Cambria"/>
          <w:b w:val="false"/>
          <w:bCs w:val="false"/>
          <w:i w:val="false"/>
          <w:iCs w:val="false"/>
          <w:sz w:val="22"/>
          <w:szCs w:val="22"/>
        </w:rPr>
        <w:t xml:space="preserve"> Der </w:t>
      </w:r>
      <w:r>
        <w:rPr>
          <w:rFonts w:eastAsia="Cambria" w:cs="Cambria"/>
          <w:b w:val="false"/>
          <w:bCs w:val="false"/>
          <w:i/>
          <w:iCs/>
          <w:sz w:val="22"/>
          <w:szCs w:val="22"/>
        </w:rPr>
        <w:t>WARN Act</w:t>
      </w:r>
      <w:r>
        <w:rPr>
          <w:rFonts w:eastAsia="Cambria" w:cs="Cambria"/>
          <w:b w:val="false"/>
          <w:bCs w:val="false"/>
          <w:i w:val="false"/>
          <w:iCs w:val="false"/>
          <w:sz w:val="22"/>
          <w:szCs w:val="22"/>
        </w:rPr>
        <w:t xml:space="preserve"> (Gesetz zur Vorankündigung von Massenentlassungen) verpflichtet Arbeitgeber ab 100 Beschäftigten (ohne Teilzeit), 60 Tage vorher schriftlich anzukündigen: bei Schließung eines Standorts mit mindestens 50 Betroffenen und bei Massenentlassungen (mindestens ein Drittel der Belegschaft und mindestens 50 Personen, oder mindestens 500). Bei Verstößen drohen üblicherweise bis zu 60 Tage Lohnnachzahlung. Mehrere Bundesstaaten haben eigene Gesetze; Washington, wo Sabine Keller arbeitet, seit 27. Juli 2025 eines für Arbeitgeber ab 50 Beschäftigten, ebenfalls mit 60 Tagen Vorankündigung.</w:t>
      </w:r>
    </w:p>
    <w:p>
      <w:pPr>
        <w:pStyle w:val="Normal"/>
        <w:keepNext w:val="false"/>
        <w:keepLines w:val="false"/>
        <w:spacing w:lineRule="exact" w:line="288" w:before="0" w:after="140"/>
        <w:jc w:val="left"/>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Das Gesetz </w:t>
      </w:r>
      <w:r>
        <w:rPr>
          <w:rFonts w:eastAsia="Cambria" w:cs="Cambria"/>
          <w:b w:val="false"/>
          <w:bCs w:val="false"/>
          <w:i/>
          <w:iCs/>
          <w:sz w:val="22"/>
          <w:szCs w:val="22"/>
        </w:rPr>
        <w:t>COBRA</w:t>
      </w:r>
      <w:r>
        <w:rPr>
          <w:rFonts w:eastAsia="Cambria" w:cs="Cambria"/>
          <w:b w:val="false"/>
          <w:bCs w:val="false"/>
          <w:i w:val="false"/>
          <w:iCs w:val="false"/>
          <w:sz w:val="22"/>
          <w:szCs w:val="22"/>
        </w:rP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beim Wechsel „Deckung ab Tag 1“ oder einen Starttermin zum Monatsersten. Neue Arbeitgeberpläne dürfen bis zu 90 Tage warten; wo es eine Wartefrist gibt, sind es im Schnitt 1,8 Monate. Jeder Überbrückungsmonat per COBRA kostet rechnerisch rund 790 $.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Arbeitslosengeld.</w:t>
      </w:r>
      <w:r>
        <w:rPr>
          <w:rFonts w:eastAsia="Cambria" w:cs="Cambria"/>
          <w:b w:val="false"/>
          <w:bCs w:val="false"/>
          <w:i w:val="false"/>
          <w:iCs w:val="false"/>
          <w:sz w:val="22"/>
          <w:szCs w:val="22"/>
        </w:rPr>
        <w:t xml:space="preserve"> Die Arbeitslosenversicherung ist Sache der Bundesstaaten. Bundesrecht verlangt, dass Beschäftigte ohne US-Staatsbürgerschaft für die Beschäftigung rechtmäßig anwesend und ermächtigt waren (26 U.S.C. § 3304(a)(14)); alles Weitere, etwa Verfügbarkeit und Arbeitsbereitschaft, regeln die Staaten. Weil H-1B-Inhaber ohne neue Petition nicht arbeiten dürfen, wird ein Anspruch in der Praxis uneinheitlich beurteilt – plane nicht damit. Ob ein Antrag sinnvoll ist, klärst du mit dem Anwalt und der Landesbehörde (in Washington das Employment Security Department, esd.wa.gov).</w:t>
      </w:r>
    </w:p>
    <w:p>
      <w:pPr>
        <w:pStyle w:val="Normal"/>
        <w:keepNext w:val="false"/>
        <w:keepLines w:val="false"/>
        <w:spacing w:lineRule="exact" w:line="288" w:before="0" w:after="140"/>
        <w:jc w:val="left"/>
        <w:rPr/>
      </w:pPr>
      <w:r>
        <w:rPr>
          <w:rFonts w:eastAsia="Cambria" w:cs="Cambria"/>
          <w:b/>
          <w:bCs/>
          <w:i w:val="false"/>
          <w:iCs w:val="false"/>
          <w:sz w:val="22"/>
          <w:szCs w:val="22"/>
        </w:rPr>
        <w:t>Pflichten des bisherigen Arbeitgebers.</w:t>
      </w:r>
      <w:r>
        <w:rPr>
          <w:rFonts w:eastAsia="Cambria" w:cs="Cambria"/>
          <w:b w:val="false"/>
          <w:bCs w:val="false"/>
          <w:i w:val="false"/>
          <w:iCs w:val="false"/>
          <w:sz w:val="22"/>
          <w:szCs w:val="22"/>
        </w:rPr>
        <w:t xml:space="preserve"> Er muss USCIS das Ende der Beschäftigung unverzüglich melden (die Petition erlischt damit, das ist Routine), bei einer Entlassung vor Ablauf des genehmigten Zeitraums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im Land: AR-11, Führerschein, Schule,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Wechsel, Versetzung oder eigener Wunsch: Wer in den USA umzieht, hat Fristen. Die wichtigste gilt bundesweit und wird oft vergessen: Nach der USCIS-Seite zum Formular AR-11 (Stand 3. Juni 2026) muss jede Person mit Aufenthalt in den USA jede Adressänderung binnen 10 Tagen melden –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tbl>
      <w:tblPr>
        <w:tblW w:w="6480" w:type="dxa"/>
        <w:jc w:val="left"/>
        <w:tblInd w:w="0" w:type="dxa"/>
        <w:tblLayout w:type="fixed"/>
        <w:tblCellMar>
          <w:top w:w="50" w:type="dxa"/>
          <w:left w:w="80" w:type="dxa"/>
          <w:bottom w:w="50" w:type="dxa"/>
          <w:right w:w="80" w:type="dxa"/>
        </w:tblCellMar>
      </w:tblPr>
      <w:tblGrid>
        <w:gridCol w:w="2569"/>
        <w:gridCol w:w="2815"/>
        <w:gridCol w:w="1096"/>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8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Kfz</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Landesrecht, Fristen sehr unterschiedlich: Kalifornien 10, Washington 30, Texas 90 Tage</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nach Wohnadresse im Schuldistrikt, auch unterjährig; Wohnsitznachweis, Impfnachweis und letztes Zeugnis bereithalten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Teiljahreserklärungen in beiden Staaten möglich; neuen Wohnort dem Arbeitgeber melden; Umzugskosten nicht abziehbar; Zuschüsse des Arbeitgebers sind steuerpflichtiger Lohn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Mietverträge meist 12 Monate; vorzeitiger Auszug kostet typisch 1–2 Monatsmieten und die Kaution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am neuen Ort prüfen; Ärzte und Krankenhäuser gelten regional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Rücklage: mindestens sechs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Rechenbeispiel für eine Person in Seattle: Miete im Durchschnitt 2.253 $ (RentCafe, August 2026), Nebenkosten 150–300 $, COBRA rund 790 $, Lebensmittel, Handy, Nahverkehr und Versicherungen nach grober Schätzung 1.000–1.500 $ – macht rund 4.200–4.850 $ im Monat, für sechs Monate also etwa 25.000–29.000 $. Hinzu kommen Sonderposten, falls du ausreisen musst: Flug, Umzug oder Einlagerung und beim vorzeitigen Auszug 1–2 Monatsmieten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im Inland ohne Lotterie und ohne 100.000-$-Zahlung (Stand September 2026)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Wechsel braucht einen Antrag; ohne Eingang bei USCIS darfst du nicht anfangen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beim neuen Arbeitgeber ab Einreichung, ohne Entscheidung abzuwarten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Ablehnung beendet die Arbeitserlaubnis beim neuen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die Gebühren; ACWIA und Anwaltskosten sind nicht abziehbar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oder wesentlich andere Stelle: neue LCA und geänderte Petition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 macht das Green-Card-Verfahren nach 180 Tagen übertragbar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Wechsel vor I-140-Genehmigung oder I-485-Einreichung kann das Verfahren zurückwerfen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Derzeit bis zu 60 Tage Frist nach Jobverlust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Anspruch auf Arbeit oder Arbeitslosengeld; DHS will die Frist streichen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Flexibler Arbeitsmarkt, kurze Kündigungsfristen, Gehaltssprünge beim 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Job: Wartefristen bis 90 Tage, COBRA rund 790 $ pro Monat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Unterlagenmappe anlegen: Pass, I-94, alle I-797, letzte Gehaltsabrechnungen, W-2, Offer Letter, digital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Ablaufdatum des I-94 und der Petition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eigenen Einwanderungsanwalt suchen, nicht nur die Kanzlei des Arbeitgebers, und die Kontaktdaten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sechs Monaten Fixkosten aufbauen.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Angebot fragen: Transfer-Zusage, Kostenverteilung, Start des Green-Card-Verfahrens, Stellenabbau in den letzten zwölf Monaten.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kündigen, wenn die Petition des neuen Arbeitgebers bei USCIS eingegangen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Umzug oder Versetzung HR fragen, ob eine neue LCA oder geänderte Petition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Stand von Priority Date, I-140 und I-485 kennen, bevor du wechselst.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die AR-11 online einreichen.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60 Tage ab letztem Arbeitstag zählen, COBRA-Fristen (60 und 45 Tage)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DHS-Vorschlag zur 60-Tage-Frist (Kommentare bis 10. November 2026) beobachten.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(Portabilität, Fristen nach Beschäftigungsende): </w:t>
      </w:r>
      <w:hyperlink r:id="rId286">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Form G-1055: </w:t>
      </w:r>
      <w:hyperlink r:id="rId287">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Policy Manual – Job-Portabilität (AC21, INA 204(j)): </w:t>
      </w:r>
      <w:hyperlink r:id="rId288">
        <w:r>
          <w:rPr>
            <w:rStyle w:val="ListLabel113"/>
            <w:rFonts w:eastAsia="Cambria" w:cs="Cambria"/>
            <w:b w:val="false"/>
            <w:bCs w:val="false"/>
            <w:i w:val="false"/>
            <w:iCs w:val="false"/>
            <w:color w:val="0563C1"/>
            <w:sz w:val="22"/>
            <w:szCs w:val="22"/>
            <w:u w:val="single"/>
          </w:rPr>
          <w:t>uscis.gov/policy-manual/volume-7-part-e-chapter-5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Adressänderung Form AR-11: </w:t>
      </w:r>
      <w:hyperlink r:id="rId289">
        <w:r>
          <w:rPr>
            <w:rStyle w:val="ListLabel113"/>
            <w:rFonts w:eastAsia="Cambria" w:cs="Cambria"/>
            <w:b w:val="false"/>
            <w:bCs w:val="false"/>
            <w:i w:val="false"/>
            <w:iCs w:val="false"/>
            <w:color w:val="0563C1"/>
            <w:sz w:val="22"/>
            <w:szCs w:val="22"/>
            <w:u w:val="single"/>
          </w:rPr>
          <w:t>uscis.gov/ar-11</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Vorschlag zur 60-Tage-Frist (Docket USCIS-2026-0364): </w:t>
      </w:r>
      <w:hyperlink r:id="rId290">
        <w:r>
          <w:rPr>
            <w:rStyle w:val="ListLabel113"/>
            <w:rFonts w:eastAsia="Cambria" w:cs="Cambria"/>
            <w:b w:val="false"/>
            <w:bCs w:val="false"/>
            <w:i w:val="false"/>
            <w:iCs w:val="false"/>
            <w:color w:val="0563C1"/>
            <w:sz w:val="22"/>
            <w:szCs w:val="22"/>
            <w:u w:val="single"/>
          </w:rPr>
          <w:t>federalregister.gov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und LCA: </w:t>
      </w:r>
      <w:hyperlink r:id="rId291">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COBRA: </w:t>
      </w:r>
      <w:hyperlink r:id="rId292">
        <w:r>
          <w:rPr>
            <w:rStyle w:val="ListLabel113"/>
            <w:rFonts w:eastAsia="Cambria" w:cs="Cambria"/>
            <w:b w:val="false"/>
            <w:bCs w:val="false"/>
            <w:i w:val="false"/>
            <w:iCs w:val="false"/>
            <w:color w:val="0563C1"/>
            <w:sz w:val="22"/>
            <w:szCs w:val="22"/>
            <w:u w:val="single"/>
          </w:rPr>
          <w:t>dol.gov/general/topic/health-plans/cobra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WARN Act: </w:t>
      </w:r>
      <w:hyperlink r:id="rId293">
        <w:r>
          <w:rPr>
            <w:rStyle w:val="ListLabel113"/>
            <w:rFonts w:eastAsia="Cambria" w:cs="Cambria"/>
            <w:b w:val="false"/>
            <w:bCs w:val="false"/>
            <w:i w:val="false"/>
            <w:iCs w:val="false"/>
            <w:color w:val="0563C1"/>
            <w:sz w:val="22"/>
            <w:szCs w:val="22"/>
            <w:u w:val="single"/>
          </w:rPr>
          <w:t>dol.gov/agencies/eta/layoffs/warn</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87"/>
              </w:numPr>
              <w:spacing w:lineRule="exact" w:line="264" w:before="0" w:after="50"/>
              <w:rPr/>
            </w:pPr>
            <w:r>
              <w:rPr>
                <w:rFonts w:eastAsia="Cambria" w:cs="Cambria"/>
                <w:b w:val="false"/>
                <w:bCs w:val="false"/>
                <w:i w:val="false"/>
                <w:iCs w:val="false"/>
                <w:sz w:val="20"/>
                <w:szCs w:val="20"/>
              </w:rPr>
              <w:t>September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(Kommentare bis 24. September 2026). Auch COBRA-Prämien und Marktplatz-Regeln ändern sich. Prüfe vor jeder Entscheidung die offiziellen Seiten und lass Fristen von einem Einwanderungsanwalt bestätigen.</w:t>
            </w:r>
          </w:p>
        </w:tc>
      </w:tr>
    </w:tbl>
    <w:p>
      <w:pPr>
        <w:sectPr>
          <w:footerReference w:type="even" r:id="rId294"/>
          <w:footerReference w:type="default" r:id="rId295"/>
          <w:footerReference w:type="first" r:id="rId29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6" w:name="__RefHeading___Toc56500_3457424410"/>
      <w:bookmarkEnd w:id="76"/>
      <w:r>
        <w:rPr>
          <w:rFonts w:eastAsia="Amazon Ember" w:cs="Amazon Ember" w:ascii="Amazon Ember" w:hAnsi="Amazon Ember"/>
          <w:b/>
          <w:bCs/>
          <w:color w:val="0000FF"/>
        </w:rPr>
        <w:t>TEIL VIII — Leben und Menschen</w:t>
      </w:r>
    </w:p>
    <w:p>
      <w:pPr>
        <w:sectPr>
          <w:footerReference w:type="even" r:id="rId297"/>
          <w:footerReference w:type="default" r:id="rId298"/>
          <w:footerReference w:type="first" r:id="rId29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Kultur, Freundschaft, Heimweh, Kleidung und Essen: die Dinge, die im Alltag über Zufriedenheit entscheiden.</w:t>
      </w:r>
      <w:r>
        <w:br w:type="page"/>
      </w:r>
    </w:p>
    <w:p>
      <w:pPr>
        <w:pStyle w:val="Heading2"/>
        <w:keepNext w:val="true"/>
        <w:spacing w:lineRule="exact" w:line="340" w:before="0" w:after="300"/>
        <w:jc w:val="center"/>
        <w:rPr/>
      </w:pPr>
      <w:bookmarkStart w:id="77" w:name="__RefHeading___Toc56502_3457424410"/>
      <w:bookmarkStart w:id="78" w:name="k31"/>
      <w:bookmarkEnd w:id="77"/>
      <w:r>
        <w:rPr>
          <w:rFonts w:eastAsia="Amazon Ember" w:cs="Amazon Ember" w:ascii="Amazon Ember" w:hAnsi="Amazon Ember"/>
          <w:b/>
          <w:bCs/>
          <w:color w:val="0000FF"/>
          <w:sz w:val="36"/>
          <w:szCs w:val="36"/>
        </w:rPr>
        <w:t>Kapitel 31: Kulturunterschiede: Der große Deutsch-Amerikanisch-Vergleich</w:t>
      </w:r>
      <w:bookmarkEnd w:id="7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How are you?“ ist ein Gruß, keine Frage. Freundlichkeit im Alltag ist ein Ritual; echte Freundschaft wächst langsamer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Trinkgeld gehört zum Lohn: 18–20 % im Restaurant, dazu Verkaufssteuer, die auf keinem Preisschild steht. Rechne mit rund einem Viertel Aufschlag.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kommt oft als Härte an. Verpacke Kritik, lobe konkret und häufig, frage lieber, als zu belehren.</w:t>
            </w:r>
          </w:p>
          <w:p>
            <w:pPr>
              <w:pStyle w:val="ListParagraph"/>
              <w:numPr>
                <w:ilvl w:val="0"/>
                <w:numId w:val="1"/>
              </w:numPr>
              <w:spacing w:lineRule="exact" w:line="264" w:before="0" w:after="50"/>
              <w:rPr/>
            </w:pPr>
            <w:r>
              <w:rPr>
                <w:rFonts w:eastAsia="Cambria" w:cs="Cambria"/>
                <w:b w:val="false"/>
                <w:bCs w:val="false"/>
                <w:i w:val="false"/>
                <w:iCs w:val="false"/>
                <w:sz w:val="20"/>
                <w:szCs w:val="20"/>
              </w:rPr>
              <w:t>Politik, Religion, Gehalt und Waffen sind bei Fremden kein Small-Talk-Thema. Als Nichtstaatsbürger gelten zusätzliche Grenzen bei Cannabis, Wahlspenden und Waffen.</w:t>
            </w:r>
          </w:p>
          <w:p>
            <w:pPr>
              <w:pStyle w:val="ListParagraph"/>
              <w:numPr>
                <w:ilvl w:val="0"/>
                <w:numId w:val="1"/>
              </w:numPr>
              <w:spacing w:lineRule="exact" w:line="264" w:before="0" w:after="50"/>
              <w:rPr/>
            </w:pPr>
            <w:r>
              <w:rPr>
                <w:rFonts w:eastAsia="Cambria" w:cs="Cambria"/>
                <w:b w:val="false"/>
                <w:bCs w:val="false"/>
                <w:i w:val="false"/>
                <w:iCs w:val="false"/>
                <w:sz w:val="20"/>
                <w:szCs w:val="20"/>
              </w:rPr>
              <w:t>Es gibt keine Meldepflicht, dafür Klagekultur, Haftungsverzichte und Warnhinweise; eine Haftpflichtversicherung lohnt sich.</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fassen 15 Faustregeln alles für den Alltag zusammen.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Umgang: Small Talk, Direktheit, Namen und Nähe</w:t>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How are you?“ und Small Talk.</w:t>
      </w:r>
      <w:r>
        <w:rPr>
          <w:rFonts w:eastAsia="Cambria" w:cs="Cambria"/>
          <w:b w:val="false"/>
          <w:bCs w:val="false"/>
          <w:i w:val="false"/>
          <w:iCs w:val="false"/>
          <w:sz w:val="22"/>
          <w:szCs w:val="22"/>
        </w:rPr>
        <w:t xml:space="preserve"> Die Frage ist eine Begrüßung. Erwartet wird ein kurzes „Good, thanks, and you?“; wer ehrlich Bilanz zieht, verwirrt sein Gegenüber. Der Kontrast zur deutschen Frage ist spürbar: Wer in Deutschland „Wie geht’s?“ fragt, muss mit einer echten Antwort rechnen –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pPr>
        <w:pStyle w:val="Normal"/>
        <w:keepNext w:val="false"/>
        <w:keepLines w:val="false"/>
        <w:spacing w:lineRule="exact" w:line="288" w:before="0" w:after="140"/>
        <w:jc w:val="left"/>
        <w:rPr/>
      </w:pPr>
      <w:r>
        <w:rPr>
          <w:rFonts w:eastAsia="Cambria" w:cs="Cambria"/>
          <w:b/>
          <w:bCs/>
          <w:i w:val="false"/>
          <w:iCs w:val="false"/>
          <w:sz w:val="22"/>
          <w:szCs w:val="22"/>
        </w:rPr>
        <w:t>Freundlichkeit ist nicht Freundschaft.</w:t>
      </w:r>
      <w:r>
        <w:rPr>
          <w:rFonts w:eastAsia="Cambria" w:cs="Cambria"/>
          <w:b w:val="false"/>
          <w:bCs w:val="false"/>
          <w:i w:val="false"/>
          <w:iCs w:val="false"/>
          <w:sz w:val="22"/>
          <w:szCs w:val="22"/>
        </w:rP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Direktheit.</w:t>
      </w:r>
      <w:r>
        <w:rPr>
          <w:rFonts w:eastAsia="Cambria" w:cs="Cambria"/>
          <w:b w:val="false"/>
          <w:bCs w:val="false"/>
          <w:i w:val="false"/>
          <w:iCs w:val="false"/>
          <w:sz w:val="22"/>
          <w:szCs w:val="22"/>
        </w:rP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Lob.</w:t>
      </w:r>
      <w:r>
        <w:rPr>
          <w:rFonts w:eastAsia="Cambria" w:cs="Cambria"/>
          <w:b w:val="false"/>
          <w:bCs w:val="false"/>
          <w:i w:val="false"/>
          <w:iCs w:val="false"/>
          <w:sz w:val="22"/>
          <w:szCs w:val="22"/>
        </w:rPr>
        <w:t xml:space="preserve">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pPr>
        <w:pStyle w:val="Normal"/>
        <w:keepNext w:val="false"/>
        <w:keepLines w:val="false"/>
        <w:spacing w:lineRule="exact" w:line="288" w:before="0" w:after="140"/>
        <w:jc w:val="left"/>
        <w:rPr/>
      </w:pPr>
      <w:r>
        <w:rPr>
          <w:rFonts w:eastAsia="Cambria" w:cs="Cambria"/>
          <w:b/>
          <w:bCs/>
          <w:i w:val="false"/>
          <w:iCs w:val="false"/>
          <w:sz w:val="22"/>
          <w:szCs w:val="22"/>
        </w:rPr>
        <w:t>Namen und Anrede.</w:t>
      </w:r>
      <w:r>
        <w:rPr>
          <w:rFonts w:eastAsia="Cambria" w:cs="Cambria"/>
          <w:b w:val="false"/>
          <w:bCs w:val="false"/>
          <w:i w:val="false"/>
          <w:iCs w:val="false"/>
          <w:sz w:val="22"/>
          <w:szCs w:val="22"/>
        </w:rPr>
        <w:t xml:space="preserv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pPr>
        <w:pStyle w:val="Normal"/>
        <w:keepNext w:val="false"/>
        <w:keepLines w:val="false"/>
        <w:spacing w:lineRule="exact" w:line="288" w:before="0" w:after="140"/>
        <w:jc w:val="left"/>
        <w:rPr/>
      </w:pPr>
      <w:r>
        <w:rPr>
          <w:rFonts w:eastAsia="Cambria" w:cs="Cambria"/>
          <w:b/>
          <w:bCs/>
          <w:i w:val="false"/>
          <w:iCs w:val="false"/>
          <w:sz w:val="22"/>
          <w:szCs w:val="22"/>
        </w:rPr>
        <w:t>Berührung und Abstand.</w:t>
      </w:r>
      <w:r>
        <w:rPr>
          <w:rFonts w:eastAsia="Cambria" w:cs="Cambria"/>
          <w:b w:val="false"/>
          <w:bCs w:val="false"/>
          <w:i w:val="false"/>
          <w:iCs w:val="false"/>
          <w:sz w:val="22"/>
          <w:szCs w:val="22"/>
        </w:rP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pPr>
        <w:pStyle w:val="Normal"/>
        <w:keepNext w:val="false"/>
        <w:keepLines w:val="false"/>
        <w:spacing w:lineRule="exact" w:line="288" w:before="0" w:after="140"/>
        <w:jc w:val="left"/>
        <w:rPr/>
      </w:pPr>
      <w:r>
        <w:rPr>
          <w:rFonts w:eastAsia="Cambria" w:cs="Cambria"/>
          <w:b/>
          <w:bCs/>
          <w:i w:val="false"/>
          <w:iCs w:val="false"/>
          <w:sz w:val="22"/>
          <w:szCs w:val="22"/>
        </w:rPr>
        <w:t>Humor und Alltagssprache.</w:t>
      </w:r>
      <w:r>
        <w:rPr>
          <w:rFonts w:eastAsia="Cambria" w:cs="Cambria"/>
          <w:b w:val="false"/>
          <w:bCs w:val="false"/>
          <w:i w:val="false"/>
          <w:iCs w:val="false"/>
          <w:sz w:val="22"/>
          <w:szCs w:val="22"/>
        </w:rPr>
        <w:t xml:space="preserv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auffälligsten wird das im Supermarkt: Willst du an jemandem vorbei, der vor dem Regal steht, hörst du ein „Excuse me“, bevor sich die Person überhaupt bewegt –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und öffnet fast jede Lücke, auch die, die eigentlich zu eng dafür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beginnt in Seattle bei einem Technologieunternehmen. Jeden Morgen fragt der Kollege am Nebentisch „How’s it going?“. Am Mittwoch antwortet sie ehrlich: schlecht geschlafen, die Wohnung sei laut, das Bankkonto noch nicht eröffnet. Er nickt freundlich, das Gespräch endet. Am Freitag hört sie zu, wie andere antworten: „Good, busy, you?“ Fast immer folgt eine zweite Frage: „Any plans for the weekend?“ Sabine übernimmt das Muster, erzählt von einer geplanten Wanderung und bekommt zwei Wegtipps. Nach zwei Wochen kennt sie drei Kollegen mit Namen und Hobby. Für mehr braucht es Zeit und Verabredungen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18"/>
        <w:gridCol w:w="1517"/>
        <w:gridCol w:w="2027"/>
        <w:gridCol w:w="1417"/>
      </w:tblGrid>
      <w:tr>
        <w:trPr>
          <w:tblHeader w:val="true"/>
          <w:cantSplit w:val="true"/>
        </w:trPr>
        <w:tc>
          <w:tcPr>
            <w:tcW w:w="15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Begrüßung</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Wie geht’s?“ fragt nach dem Befinden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How are you?“ ist ein Gruß</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 antworten, zurückfragen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Wir sollten uns mal treffen“</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ernst gemeint</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Höflichkeitsformel</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Tag und Ort nennen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erst Positives</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Frage oder Vorschlag formulieren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Selten, zurückhaltend</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überschwänglich</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Annehmen, selbst konkret loben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Siezen, Titel, später Duzen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ab dem ersten Treffen</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 nur bei Ärzten und Älteren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Körperkontakt</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 unter Freunden Umarmung</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Umarmung abwarten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liegt der Ton in der Verpackung, in Deutschland in der Sache. Wer beides beherrscht, verliert nichts von seiner Klarheit.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Amerikanisches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während US-Alltagssprache eigene Wörter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statt </w:t>
      </w:r>
      <w:r>
        <w:rPr>
          <w:rFonts w:eastAsia="Cambria" w:cs="Cambria"/>
          <w:b w:val="false"/>
          <w:bCs w:val="false"/>
          <w:i/>
          <w:iCs/>
          <w:sz w:val="22"/>
          <w:szCs w:val="22"/>
        </w:rPr>
        <w:t>flat</w:t>
      </w:r>
      <w:r>
        <w:rPr>
          <w:rFonts w:eastAsia="Cambria" w:cs="Cambria"/>
          <w:b w:val="false"/>
          <w:bCs w:val="false"/>
          <w:i w:val="false"/>
          <w:iCs w:val="false"/>
          <w:sz w:val="22"/>
          <w:szCs w:val="22"/>
        </w:rPr>
        <w:t xml:space="preserve">, </w:t>
      </w:r>
      <w:r>
        <w:rPr>
          <w:rFonts w:eastAsia="Cambria" w:cs="Cambria"/>
          <w:b w:val="false"/>
          <w:bCs w:val="false"/>
          <w:i/>
          <w:iCs/>
          <w:sz w:val="22"/>
          <w:szCs w:val="22"/>
        </w:rPr>
        <w:t>elevator</w:t>
      </w:r>
      <w:r>
        <w:rPr>
          <w:rFonts w:eastAsia="Cambria" w:cs="Cambria"/>
          <w:b w:val="false"/>
          <w:bCs w:val="false"/>
          <w:i w:val="false"/>
          <w:iCs w:val="false"/>
          <w:sz w:val="22"/>
          <w:szCs w:val="22"/>
        </w:rPr>
        <w:t xml:space="preserve"> statt </w:t>
      </w:r>
      <w:r>
        <w:rPr>
          <w:rFonts w:eastAsia="Cambria" w:cs="Cambria"/>
          <w:b w:val="false"/>
          <w:bCs w:val="false"/>
          <w:i/>
          <w:iCs/>
          <w:sz w:val="22"/>
          <w:szCs w:val="22"/>
        </w:rPr>
        <w:t>lift</w:t>
      </w:r>
      <w:r>
        <w:rPr>
          <w:rFonts w:eastAsia="Cambria" w:cs="Cambria"/>
          <w:b w:val="false"/>
          <w:bCs w:val="false"/>
          <w:i w:val="false"/>
          <w:iCs w:val="false"/>
          <w:sz w:val="22"/>
          <w:szCs w:val="22"/>
        </w:rPr>
        <w: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 General American klingt anders als Südstaaten-, Boston- oder Minnesota-Englisch.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gezielte Regionalakzente eignen sich Serien wie „Fargo“ (oberer Mittlerer Westen) oder „Justified“ (Kentucky); für den Alltagston allgemein hilft jede beliebige US-Serie im Original statt in deutscher Synchronisation.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gilt eine andere, altersabhängige Auswahl – dazu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 und Rhythmus</w:t>
      </w:r>
    </w:p>
    <w:p>
      <w:pPr>
        <w:pStyle w:val="Normal"/>
        <w:keepNext w:val="false"/>
        <w:keepLines w:val="false"/>
        <w:spacing w:lineRule="exact" w:line="288" w:before="0" w:after="140"/>
        <w:jc w:val="left"/>
        <w:rPr/>
      </w:pPr>
      <w:r>
        <w:rPr>
          <w:rFonts w:eastAsia="Cambria" w:cs="Cambria"/>
          <w:b/>
          <w:bCs/>
          <w:i w:val="false"/>
          <w:iCs w:val="false"/>
          <w:sz w:val="22"/>
          <w:szCs w:val="22"/>
        </w:rPr>
        <w:t>Pünktlichkeit und RSVP.</w:t>
      </w:r>
      <w:r>
        <w:rPr>
          <w:rFonts w:eastAsia="Cambria" w:cs="Cambria"/>
          <w:b w:val="false"/>
          <w:bCs w:val="false"/>
          <w:i w:val="false"/>
          <w:iCs w:val="false"/>
          <w:sz w:val="22"/>
          <w:szCs w:val="22"/>
        </w:rPr>
        <w:t xml:space="preserve">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w:t>
      </w:r>
      <w:r>
        <w:rPr>
          <w:rFonts w:eastAsia="Cambria" w:cs="Cambria"/>
          <w:b w:val="false"/>
          <w:bCs w:val="false"/>
          <w:i/>
          <w:iCs/>
          <w:sz w:val="22"/>
          <w:szCs w:val="22"/>
        </w:rPr>
        <w:t>RSVP</w:t>
      </w:r>
      <w:r>
        <w:rPr>
          <w:rFonts w:eastAsia="Cambria" w:cs="Cambria"/>
          <w:b w:val="false"/>
          <w:bCs w:val="false"/>
          <w:i w:val="false"/>
          <w:iCs w:val="false"/>
          <w:sz w:val="22"/>
          <w:szCs w:val="22"/>
        </w:rPr>
        <w:t>, von französisch „répondez s’il vous plaît“: Bitte um Zu- oder Absage), auch bei Kindergeburtstagen und bis zum genannten Datum. Spontan vorbeizukommen ist unüblich; schreibe vorher eine kurze Nachricht.</w:t>
      </w:r>
    </w:p>
    <w:p>
      <w:pPr>
        <w:pStyle w:val="Normal"/>
        <w:keepNext w:val="false"/>
        <w:keepLines w:val="false"/>
        <w:spacing w:lineRule="exact" w:line="288" w:before="0" w:after="140"/>
        <w:jc w:val="left"/>
        <w:rPr/>
      </w:pPr>
      <w:r>
        <w:rPr>
          <w:rFonts w:eastAsia="Cambria" w:cs="Cambria"/>
          <w:b/>
          <w:bCs/>
          <w:i w:val="false"/>
          <w:iCs w:val="false"/>
          <w:sz w:val="22"/>
          <w:szCs w:val="22"/>
        </w:rPr>
        <w:t>Tagesrhythmus und Sonntag.</w:t>
      </w:r>
      <w:r>
        <w:rPr>
          <w:rFonts w:eastAsia="Cambria" w:cs="Cambria"/>
          <w:b w:val="false"/>
          <w:bCs w:val="false"/>
          <w:i w:val="false"/>
          <w:iCs w:val="false"/>
          <w:sz w:val="22"/>
          <w:szCs w:val="22"/>
        </w:rP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Datum und Uhr.</w:t>
      </w:r>
      <w:r>
        <w:rPr>
          <w:rFonts w:eastAsia="Cambria" w:cs="Cambria"/>
          <w:b w:val="false"/>
          <w:bCs w:val="false"/>
          <w:i w:val="false"/>
          <w:iCs w:val="false"/>
          <w:sz w:val="22"/>
          <w:szCs w:val="22"/>
        </w:rPr>
        <w:t xml:space="preserve"> Das amerikanische Datum beginnt mit dem Monat: 7/4/2026 ist der 4. Juli, nicht der 7. April. Die Uhr zählt zweimal zwölf Stunden (a.m. und p.m.), Temperaturen stehen in °F, Strecken in Meilen.</w:t>
      </w:r>
    </w:p>
    <w:tbl>
      <w:tblPr>
        <w:tblW w:w="6480" w:type="dxa"/>
        <w:jc w:val="left"/>
        <w:tblInd w:w="0" w:type="dxa"/>
        <w:tblLayout w:type="fixed"/>
        <w:tblCellMar>
          <w:top w:w="50" w:type="dxa"/>
          <w:left w:w="80" w:type="dxa"/>
          <w:bottom w:w="50" w:type="dxa"/>
          <w:right w:w="80" w:type="dxa"/>
        </w:tblCellMar>
      </w:tblPr>
      <w:tblGrid>
        <w:gridCol w:w="1735"/>
        <w:gridCol w:w="1970"/>
        <w:gridCol w:w="1155"/>
        <w:gridCol w:w="1619"/>
      </w:tblGrid>
      <w:tr>
        <w:trPr>
          <w:tblHeader w:val="true"/>
          <w:cantSplit w:val="true"/>
        </w:trPr>
        <w:tc>
          <w:tcPr>
            <w:tcW w:w="17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1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Essen um 18 Uhr</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Pünktlich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15 Minuten später</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früher klingeln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ohne Antwort</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oft stillschweigend</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RSVP</w:t>
            </w:r>
            <w:r>
              <w:rPr>
                <w:rFonts w:eastAsia="Cambria" w:cs="Cambria"/>
                <w:b w:val="false"/>
                <w:bCs w:val="false"/>
                <w:i w:val="false"/>
                <w:iCs w:val="false"/>
                <w:sz w:val="18"/>
                <w:szCs w:val="18"/>
              </w:rPr>
              <w:t xml:space="preserve"> wird erwartet</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zum Stichtag antworten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Freunden üblich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Unüblich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eine Nachricht schreiben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Sonntag</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Ruhetag, Läden zu</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meist offen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Ruhezeiten im Mietvertrag prüfen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7. April</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4. Juli</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Termine ausschreiben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Werte, Religion, Politik, Waffen</w:t>
      </w:r>
    </w:p>
    <w:p>
      <w:pPr>
        <w:pStyle w:val="Normal"/>
        <w:keepNext w:val="false"/>
        <w:keepLines w:val="false"/>
        <w:spacing w:lineRule="exact" w:line="288" w:before="0" w:after="140"/>
        <w:jc w:val="left"/>
        <w:rPr/>
      </w:pPr>
      <w:r>
        <w:rPr>
          <w:rFonts w:eastAsia="Cambria" w:cs="Cambria"/>
          <w:b/>
          <w:bCs/>
          <w:i w:val="false"/>
          <w:iCs w:val="false"/>
          <w:sz w:val="22"/>
          <w:szCs w:val="22"/>
        </w:rPr>
        <w:t>Individualismus und Optimismus.</w:t>
      </w:r>
      <w:r>
        <w:rPr>
          <w:rFonts w:eastAsia="Cambria" w:cs="Cambria"/>
          <w:b w:val="false"/>
          <w:bCs w:val="false"/>
          <w:i w:val="false"/>
          <w:iCs w:val="false"/>
          <w:sz w:val="22"/>
          <w:szCs w:val="22"/>
        </w:rPr>
        <w:t xml:space="preserve"> Amerikaner betonen Eigeninitiative und Selbstverantwortung; vom Staat erwartet man weniger als in Deutschland, spürbar bei Krankenversicherung, Rente und Ausbildung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pPr>
        <w:pStyle w:val="Normal"/>
        <w:keepNext w:val="false"/>
        <w:keepLines w:val="false"/>
        <w:spacing w:lineRule="exact" w:line="288" w:before="0" w:after="140"/>
        <w:jc w:val="left"/>
        <w:rPr/>
      </w:pPr>
      <w:r>
        <w:rPr>
          <w:rFonts w:eastAsia="Cambria" w:cs="Cambria"/>
          <w:b/>
          <w:bCs/>
          <w:i w:val="false"/>
          <w:iCs w:val="false"/>
          <w:sz w:val="22"/>
          <w:szCs w:val="22"/>
        </w:rPr>
        <w:t>Patriotismus.</w:t>
      </w:r>
      <w:r>
        <w:rPr>
          <w:rFonts w:eastAsia="Cambria" w:cs="Cambria"/>
          <w:b w:val="false"/>
          <w:bCs w:val="false"/>
          <w:i w:val="false"/>
          <w:iCs w:val="false"/>
          <w:sz w:val="22"/>
          <w:szCs w:val="22"/>
        </w:rPr>
        <w:t xml:space="preserve"> Flaggen an Häusern, die Hymne vor Sportspielen, in vielen Schulen der Treueschwur (</w:t>
      </w:r>
      <w:r>
        <w:rPr>
          <w:rFonts w:eastAsia="Cambria" w:cs="Cambria"/>
          <w:b w:val="false"/>
          <w:bCs w:val="false"/>
          <w:i/>
          <w:iCs/>
          <w:sz w:val="22"/>
          <w:szCs w:val="22"/>
        </w:rPr>
        <w:t>Pledge of Allegiance</w:t>
      </w:r>
      <w:r>
        <w:rPr>
          <w:rFonts w:eastAsia="Cambria" w:cs="Cambria"/>
          <w:b w:val="false"/>
          <w:bCs w:val="false"/>
          <w:i w:val="false"/>
          <w:iCs w:val="false"/>
          <w:sz w:val="22"/>
          <w:szCs w:val="22"/>
        </w:rPr>
        <w:t>),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pPr>
        <w:pStyle w:val="Normal"/>
        <w:keepNext w:val="false"/>
        <w:keepLines w:val="false"/>
        <w:spacing w:lineRule="exact" w:line="288" w:before="0" w:after="140"/>
        <w:jc w:val="left"/>
        <w:rPr/>
      </w:pPr>
      <w:r>
        <w:rPr>
          <w:rFonts w:eastAsia="Cambria" w:cs="Cambria"/>
          <w:b/>
          <w:bCs/>
          <w:i w:val="false"/>
          <w:iCs w:val="false"/>
          <w:sz w:val="22"/>
          <w:szCs w:val="22"/>
        </w:rPr>
        <w:t>Religion.</w:t>
      </w:r>
      <w:r>
        <w:rPr>
          <w:rFonts w:eastAsia="Cambria" w:cs="Cambria"/>
          <w:b w:val="false"/>
          <w:bCs w:val="false"/>
          <w:i w:val="false"/>
          <w:iCs w:val="false"/>
          <w:sz w:val="22"/>
          <w:szCs w:val="22"/>
        </w:rP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„Where do you go to church?” ist in manchen Regionen Small Talk; ein freundliches „We’re not religious, but thanks for asking” genügt.</w:t>
      </w:r>
    </w:p>
    <w:p>
      <w:pPr>
        <w:pStyle w:val="Normal"/>
        <w:keepNext w:val="false"/>
        <w:keepLines w:val="false"/>
        <w:spacing w:lineRule="exact" w:line="288" w:before="0" w:after="140"/>
        <w:jc w:val="left"/>
        <w:rPr/>
      </w:pPr>
      <w:r>
        <w:rPr>
          <w:rFonts w:eastAsia="Cambria" w:cs="Cambria"/>
          <w:b/>
          <w:bCs/>
          <w:i w:val="false"/>
          <w:iCs w:val="false"/>
          <w:sz w:val="22"/>
          <w:szCs w:val="22"/>
        </w:rPr>
        <w:t>Politik und Polarisierung.</w:t>
      </w:r>
      <w:r>
        <w:rPr>
          <w:rFonts w:eastAsia="Cambria" w:cs="Cambria"/>
          <w:b w:val="false"/>
          <w:bCs w:val="false"/>
          <w:i w:val="false"/>
          <w:iCs w:val="false"/>
          <w:sz w:val="22"/>
          <w:szCs w:val="22"/>
        </w:rPr>
        <w:t xml:space="preserve"> Für viele Amerikaner ist die politische Zugehörigkeit mehr als eine Wahlentscheidung; sie prägt Medienkonsum, Nachbarschaft und Freundeskreis. Praktisch heißt das: Frage Fremde nie, wen sie wählen, und lass Wahlplakate im Vorgarten (</w:t>
      </w:r>
      <w:r>
        <w:rPr>
          <w:rFonts w:eastAsia="Cambria" w:cs="Cambria"/>
          <w:b w:val="false"/>
          <w:bCs w:val="false"/>
          <w:i/>
          <w:iCs/>
          <w:sz w:val="22"/>
          <w:szCs w:val="22"/>
        </w:rPr>
        <w:t>Yard Signs</w:t>
      </w:r>
      <w:r>
        <w:rPr>
          <w:rFonts w:eastAsia="Cambria" w:cs="Cambria"/>
          <w:b w:val="false"/>
          <w:bCs w:val="false"/>
          <w:i w:val="false"/>
          <w:iCs w:val="false"/>
          <w:sz w:val="22"/>
          <w:szCs w:val="22"/>
        </w:rP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Vielfalt.</w:t>
      </w:r>
      <w:r>
        <w:rPr>
          <w:rFonts w:eastAsia="Cambria" w:cs="Cambria"/>
          <w:b w:val="false"/>
          <w:bCs w:val="false"/>
          <w:i w:val="false"/>
          <w:iCs w:val="false"/>
          <w:sz w:val="22"/>
          <w:szCs w:val="22"/>
        </w:rPr>
        <w:t xml:space="preserve"> Die USA sind ein Einwanderungsland; ein deutscher Akzent fällt in den meisten Metropolregionen nicht auf. Formulare fragen freiwillig nach </w:t>
      </w:r>
      <w:r>
        <w:rPr>
          <w:rFonts w:eastAsia="Cambria" w:cs="Cambria"/>
          <w:b w:val="false"/>
          <w:bCs w:val="false"/>
          <w:i/>
          <w:iCs/>
          <w:sz w:val="22"/>
          <w:szCs w:val="22"/>
        </w:rPr>
        <w:t>Race</w:t>
      </w:r>
      <w:r>
        <w:rPr>
          <w:rFonts w:eastAsia="Cambria" w:cs="Cambria"/>
          <w:b w:val="false"/>
          <w:bCs w:val="false"/>
          <w:i w:val="false"/>
          <w:iCs w:val="false"/>
          <w:sz w:val="22"/>
          <w:szCs w:val="22"/>
        </w:rPr>
        <w:t xml:space="preserve"> und </w:t>
      </w:r>
      <w:r>
        <w:rPr>
          <w:rFonts w:eastAsia="Cambria" w:cs="Cambria"/>
          <w:b w:val="false"/>
          <w:bCs w:val="false"/>
          <w:i/>
          <w:iCs/>
          <w:sz w:val="22"/>
          <w:szCs w:val="22"/>
        </w:rPr>
        <w:t>Ethnicity</w:t>
      </w:r>
      <w:r>
        <w:rPr>
          <w:rFonts w:eastAsia="Cambria" w:cs="Cambria"/>
          <w:b w:val="false"/>
          <w:bCs w:val="false"/>
          <w:i w:val="false"/>
          <w:iCs w:val="false"/>
          <w:sz w:val="22"/>
          <w:szCs w:val="22"/>
        </w:rPr>
        <w:t xml:space="preserve"> (Herkunftsgruppe), gebräuchlich sind Begriffe wie „Black“, „Asian American“, „Hispanic“ oder „Latino“ und „Native Americans“. Das N-Wort ist in jeder Form tabu, auch beim Mitsingen von Liedtexten.</w:t>
      </w:r>
    </w:p>
    <w:p>
      <w:pPr>
        <w:pStyle w:val="Normal"/>
        <w:keepNext w:val="false"/>
        <w:keepLines w:val="false"/>
        <w:spacing w:lineRule="exact" w:line="288" w:before="0" w:after="140"/>
        <w:jc w:val="left"/>
        <w:rPr/>
      </w:pPr>
      <w:r>
        <w:rPr>
          <w:rFonts w:eastAsia="Cambria" w:cs="Cambria"/>
          <w:b/>
          <w:bCs/>
          <w:i w:val="false"/>
          <w:iCs w:val="false"/>
          <w:sz w:val="22"/>
          <w:szCs w:val="22"/>
        </w:rPr>
        <w:t>Waffen.</w:t>
      </w:r>
      <w:r>
        <w:rPr>
          <w:rFonts w:eastAsia="Cambria" w:cs="Cambria"/>
          <w:b w:val="false"/>
          <w:bCs w:val="false"/>
          <w:i w:val="false"/>
          <w:iCs w:val="false"/>
          <w:sz w:val="22"/>
          <w:szCs w:val="22"/>
        </w:rP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Prüfung und Erlaubnis gebunden. Ob im Haus, in dem deine Kinder spielen, Waffen liegen und wie sie gesichert sind, darfst du fragen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Regeln und Recht</w:t>
      </w:r>
    </w:p>
    <w:p>
      <w:pPr>
        <w:pStyle w:val="Normal"/>
        <w:keepNext w:val="false"/>
        <w:keepLines w:val="false"/>
        <w:spacing w:lineRule="exact" w:line="288" w:before="0" w:after="140"/>
        <w:jc w:val="left"/>
        <w:rPr/>
      </w:pPr>
      <w:r>
        <w:rPr>
          <w:rFonts w:eastAsia="Cambria" w:cs="Cambria"/>
          <w:b/>
          <w:bCs/>
          <w:i w:val="false"/>
          <w:iCs w:val="false"/>
          <w:sz w:val="22"/>
          <w:szCs w:val="22"/>
        </w:rPr>
        <w:t>Klagekultur, Haftung und Warnhinweise.</w:t>
      </w:r>
      <w:r>
        <w:rPr>
          <w:rFonts w:eastAsia="Cambria" w:cs="Cambria"/>
          <w:b w:val="false"/>
          <w:bCs w:val="false"/>
          <w:i w:val="false"/>
          <w:iCs w:val="false"/>
          <w:sz w:val="22"/>
          <w:szCs w:val="22"/>
        </w:rPr>
        <w:t xml:space="preserve"> Anwälte übernehmen Schadensersatzklagen oft gegen ein Erfolgshonorar (</w:t>
      </w:r>
      <w:r>
        <w:rPr>
          <w:rFonts w:eastAsia="Cambria" w:cs="Cambria"/>
          <w:b w:val="false"/>
          <w:bCs w:val="false"/>
          <w:i/>
          <w:iCs/>
          <w:sz w:val="22"/>
          <w:szCs w:val="22"/>
        </w:rPr>
        <w:t>Contingency Fee</w:t>
      </w:r>
      <w:r>
        <w:rPr>
          <w:rFonts w:eastAsia="Cambria" w:cs="Cambria"/>
          <w:b w:val="false"/>
          <w:bCs w:val="false"/>
          <w:i w:val="false"/>
          <w:iCs w:val="false"/>
          <w:sz w:val="22"/>
          <w:szCs w:val="22"/>
        </w:rP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rFonts w:eastAsia="Cambria" w:cs="Cambria"/>
          <w:b w:val="false"/>
          <w:bCs w:val="false"/>
          <w:i/>
          <w:iCs/>
          <w:sz w:val="22"/>
          <w:szCs w:val="22"/>
        </w:rPr>
        <w:t>Waivers</w:t>
      </w:r>
      <w:r>
        <w:rPr>
          <w:rFonts w:eastAsia="Cambria" w:cs="Cambria"/>
          <w:b w:val="false"/>
          <w:bCs w:val="false"/>
          <w:i w:val="false"/>
          <w:iCs w:val="false"/>
          <w:sz w:val="22"/>
          <w:szCs w:val="22"/>
        </w:rPr>
        <w:t>), die du vor Trampolinpark, Skilift oder Kinderturnen unterschreibst. Lies sie vor der Unterschrift. Stürzt ein Gast auf deiner vereisten Treppe, haftest du; die Mieter- oder Hausversicherung enthält meist Haftpflichtschutz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 und Tabak.</w:t>
      </w:r>
      <w:r>
        <w:rPr>
          <w:rFonts w:eastAsia="Cambria" w:cs="Cambria"/>
          <w:b w:val="false"/>
          <w:bCs w:val="false"/>
          <w:i w:val="false"/>
          <w:iCs w:val="false"/>
          <w:sz w:val="22"/>
          <w:szCs w:val="22"/>
        </w:rP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Bier im Park, Sekt am Flussufer: In den meisten Städten verbieten </w:t>
            </w:r>
            <w:r>
              <w:rPr>
                <w:rFonts w:eastAsia="Cambria" w:cs="Cambria"/>
                <w:b w:val="false"/>
                <w:bCs w:val="false"/>
                <w:i/>
                <w:iCs/>
                <w:sz w:val="20"/>
                <w:szCs w:val="20"/>
              </w:rPr>
              <w:t>Open-Container</w:t>
            </w:r>
            <w:r>
              <w:rPr>
                <w:rFonts w:eastAsia="Cambria" w:cs="Cambria"/>
                <w:b w:val="false"/>
                <w:bCs w:val="false"/>
                <w:i w:val="false"/>
                <w:iCs w:val="false"/>
                <w:sz w:val="20"/>
                <w:szCs w:val="20"/>
              </w:rPr>
              <w:t>-Regeln offene alkoholische Getränke in der Öffentlichkeit, im Auto sowieso. Das kostet ein Bußgeld und kann je nach Ort als Vergehen (</w:t>
            </w:r>
            <w:r>
              <w:rPr>
                <w:rFonts w:eastAsia="Cambria" w:cs="Cambria"/>
                <w:b w:val="false"/>
                <w:bCs w:val="false"/>
                <w:i/>
                <w:iCs/>
                <w:sz w:val="20"/>
                <w:szCs w:val="20"/>
              </w:rPr>
              <w:t>Misdemeanor</w:t>
            </w:r>
            <w:r>
              <w:rPr>
                <w:rFonts w:eastAsia="Cambria" w:cs="Cambria"/>
                <w:b w:val="false"/>
                <w:bCs w:val="false"/>
                <w:i w:val="false"/>
                <w:iCs w:val="false"/>
                <w:sz w:val="20"/>
                <w:szCs w:val="20"/>
              </w:rPr>
              <w:t>) gelten. Ausnahmen gibt es nur an einzelnen Orten wie dem French Quarter in New Orleans.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w:t>
      </w:r>
      <w:r>
        <w:rPr>
          <w:rFonts w:eastAsia="Cambria" w:cs="Cambria"/>
          <w:b w:val="false"/>
          <w:bCs w:val="false"/>
          <w:i/>
          <w:iCs/>
          <w:sz w:val="22"/>
          <w:szCs w:val="22"/>
        </w:rPr>
        <w:t>Controlled Substances Act</w:t>
      </w:r>
      <w:r>
        <w:rPr>
          <w:rFonts w:eastAsia="Cambria" w:cs="Cambria"/>
          <w:b w:val="false"/>
          <w:bCs w:val="false"/>
          <w:i w:val="false"/>
          <w:iCs w:val="false"/>
          <w:sz w:val="22"/>
          <w:szCs w:val="22"/>
        </w:rPr>
        <w:t xml:space="preserve"> (Bundesgesetz über kontrollierte Substanzen) eingestuft; über eine breitere Umstufung läuft ein Verfahren der Drogenbehörde DEA (Stand August 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Keine Meldepflicht.</w:t>
      </w:r>
      <w:r>
        <w:rPr>
          <w:rFonts w:eastAsia="Cambria" w:cs="Cambria"/>
          <w:b w:val="false"/>
          <w:bCs w:val="false"/>
          <w:i w:val="false"/>
          <w:iCs w:val="false"/>
          <w:sz w:val="22"/>
          <w:szCs w:val="22"/>
        </w:rPr>
        <w:t xml:space="preserve"> Ein Einwohnermeldeamt gibt es nicht; du meldest dich nirgends „an“. Deine Adresse teilst du Vermieter, Führerscheinbehörde (</w:t>
      </w:r>
      <w:r>
        <w:rPr>
          <w:rFonts w:eastAsia="Cambria" w:cs="Cambria"/>
          <w:b w:val="false"/>
          <w:bCs w:val="false"/>
          <w:i/>
          <w:iCs/>
          <w:sz w:val="22"/>
          <w:szCs w:val="22"/>
        </w:rPr>
        <w:t>DMV</w:t>
      </w:r>
      <w:r>
        <w:rPr>
          <w:rFonts w:eastAsia="Cambria" w:cs="Cambria"/>
          <w:b w:val="false"/>
          <w:bCs w:val="false"/>
          <w:i w:val="false"/>
          <w:iCs w:val="false"/>
          <w:sz w:val="22"/>
          <w:szCs w:val="22"/>
        </w:rPr>
        <w:t xml:space="preserve">), Bank, Steuerbehörde und Post mit. Einen Personalausweis kennt das Land nicht: Als Ausweis dienen Führerschein oder </w:t>
      </w:r>
      <w:r>
        <w:rPr>
          <w:rFonts w:eastAsia="Cambria" w:cs="Cambria"/>
          <w:b w:val="false"/>
          <w:bCs w:val="false"/>
          <w:i/>
          <w:iCs/>
          <w:sz w:val="22"/>
          <w:szCs w:val="22"/>
        </w:rPr>
        <w:t>State ID</w:t>
      </w:r>
      <w:r>
        <w:rPr>
          <w:rFonts w:eastAsia="Cambria" w:cs="Cambria"/>
          <w:b w:val="false"/>
          <w:bCs w:val="false"/>
          <w:i w:val="false"/>
          <w:iCs w:val="false"/>
          <w:sz w:val="22"/>
          <w:szCs w:val="22"/>
        </w:rPr>
        <w:t>. Für Nichtstaatsbürger gilt eine Ausnahme: Jede Adressänderung ist binnen 10 Tagen mit Form AR-11 zu melden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Rundfunkbeitrag und Kirchensteuer entfallen.</w:t>
      </w:r>
    </w:p>
    <w:p>
      <w:pPr>
        <w:pStyle w:val="Normal"/>
        <w:keepNext w:val="false"/>
        <w:keepLines w:val="false"/>
        <w:spacing w:lineRule="exact" w:line="288" w:before="0" w:after="140"/>
        <w:jc w:val="left"/>
        <w:rPr/>
      </w:pPr>
      <w:r>
        <w:rPr>
          <w:rFonts w:eastAsia="Cambria" w:cs="Cambria"/>
          <w:b/>
          <w:bCs/>
          <w:i w:val="false"/>
          <w:iCs w:val="false"/>
          <w:sz w:val="22"/>
          <w:szCs w:val="22"/>
        </w:rPr>
        <w:t>Datenschutz.</w:t>
      </w:r>
      <w:r>
        <w:rPr>
          <w:rFonts w:eastAsia="Cambria" w:cs="Cambria"/>
          <w:b w:val="false"/>
          <w:bCs w:val="false"/>
          <w:i w:val="false"/>
          <w:iCs w:val="false"/>
          <w:sz w:val="22"/>
          <w:szCs w:val="22"/>
        </w:rP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Unternehmen dürfen Daten oft sammeln und weitergeben, solange du nicht widersprichst (</w:t>
      </w:r>
      <w:r>
        <w:rPr>
          <w:rFonts w:eastAsia="Cambria" w:cs="Cambria"/>
          <w:b w:val="false"/>
          <w:bCs w:val="false"/>
          <w:i/>
          <w:iCs/>
          <w:sz w:val="22"/>
          <w:szCs w:val="22"/>
        </w:rPr>
        <w:t>Opt-out</w:t>
      </w:r>
      <w:r>
        <w:rPr>
          <w:rFonts w:eastAsia="Cambria" w:cs="Cambria"/>
          <w:b w:val="false"/>
          <w:bCs w:val="false"/>
          <w:i w:val="false"/>
          <w:iCs w:val="false"/>
          <w:sz w:val="22"/>
          <w:szCs w:val="22"/>
        </w:rPr>
        <w:t>); Kameras an Türen, in Läden und im Auto sind üblich. Nenne deine Sozialversicherungsnummer nur, wo sie nötig ist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076"/>
        <w:gridCol w:w="1670"/>
        <w:gridCol w:w="1867"/>
        <w:gridCol w:w="1866"/>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kaufen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und Wein ab 16, Spirituosen ab 18</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 Ausweis oft verlangt</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oder Führerschein mitnehmen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im Park</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erlaubt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Open Container</w:t>
            </w:r>
            <w:r>
              <w:rPr>
                <w:rFonts w:eastAsia="Cambria" w:cs="Cambria"/>
                <w:b w:val="false"/>
                <w:bCs w:val="false"/>
                <w:i w:val="false"/>
                <w:iCs w:val="false"/>
                <w:sz w:val="18"/>
                <w:szCs w:val="18"/>
              </w:rPr>
              <w:t xml:space="preserve"> meist verboten</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in Bars, Restaurants, Privaträumen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4/2024 teilweise legal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Bundesrecht verboten, 24 Staaten erlauben ab 21</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meiden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binnen zwei Wochen</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Anmeldung; AR-11 für Nichtstaatsbürger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in 10 Tagen melden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 Schaden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selten Klage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Klagen häufiger, </w:t>
            </w:r>
            <w:r>
              <w:rPr>
                <w:rFonts w:eastAsia="Cambria" w:cs="Cambria"/>
                <w:b w:val="false"/>
                <w:bCs w:val="false"/>
                <w:i/>
                <w:iCs/>
                <w:sz w:val="18"/>
                <w:szCs w:val="18"/>
              </w:rPr>
              <w:t>Waivers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abschließen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Ausweis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Personalausweis</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Führerschein oder </w:t>
            </w:r>
            <w:r>
              <w:rPr>
                <w:rFonts w:eastAsia="Cambria" w:cs="Cambria"/>
                <w:b w:val="false"/>
                <w:bCs w:val="false"/>
                <w:i/>
                <w:iCs/>
                <w:sz w:val="18"/>
                <w:szCs w:val="18"/>
              </w:rPr>
              <w:t>State ID</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Beides früh beantragen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Trinkgeld, Preise ohne Steuer, Rechnung teilen</w:t>
      </w:r>
    </w:p>
    <w:p>
      <w:pPr>
        <w:pStyle w:val="Normal"/>
        <w:keepNext w:val="false"/>
        <w:keepLines w:val="false"/>
        <w:spacing w:lineRule="exact" w:line="288" w:before="0" w:after="140"/>
        <w:jc w:val="left"/>
        <w:rPr/>
      </w:pPr>
      <w:r>
        <w:rPr>
          <w:rFonts w:eastAsia="Cambria" w:cs="Cambria"/>
          <w:b/>
          <w:bCs/>
          <w:i w:val="false"/>
          <w:iCs w:val="false"/>
          <w:sz w:val="22"/>
          <w:szCs w:val="22"/>
        </w:rPr>
        <w:t>Trinkgeld.</w:t>
      </w:r>
      <w:r>
        <w:rPr>
          <w:rFonts w:eastAsia="Cambria" w:cs="Cambria"/>
          <w:b w:val="false"/>
          <w:bCs w:val="false"/>
          <w:i w:val="false"/>
          <w:iCs w:val="false"/>
          <w:sz w:val="22"/>
          <w:szCs w:val="22"/>
        </w:rP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Richtwerte (Stand 2026, Spannen je nach Ort und Anlass):</w:t>
      </w:r>
    </w:p>
    <w:p>
      <w:pPr>
        <w:pStyle w:val="ListParagraph"/>
        <w:numPr>
          <w:ilvl w:val="0"/>
          <w:numId w:val="1"/>
        </w:numPr>
        <w:spacing w:lineRule="exact" w:line="288" w:before="0" w:after="60"/>
        <w:rPr/>
      </w:pPr>
      <w:r>
        <w:rPr>
          <w:rFonts w:eastAsia="Cambria" w:cs="Cambria"/>
          <w:b/>
          <w:bCs/>
          <w:i w:val="false"/>
          <w:iCs w:val="false"/>
          <w:sz w:val="22"/>
          <w:szCs w:val="22"/>
        </w:rPr>
        <w:t>Restaurant mit Bedienung:</w:t>
      </w:r>
      <w:r>
        <w:rPr>
          <w:rFonts w:eastAsia="Cambria" w:cs="Cambria"/>
          <w:b w:val="false"/>
          <w:bCs w:val="false"/>
          <w:i w:val="false"/>
          <w:iCs w:val="false"/>
          <w:sz w:val="22"/>
          <w:szCs w:val="22"/>
        </w:rPr>
        <w:t xml:space="preserve"> 18–20 % vom Betrag vor Steuer; 15 % ist das untere Ende, für hervorragenden Service gibt man mehr.</w:t>
      </w:r>
    </w:p>
    <w:p>
      <w:pPr>
        <w:pStyle w:val="ListParagraph"/>
        <w:numPr>
          <w:ilvl w:val="0"/>
          <w:numId w:val="1"/>
        </w:numPr>
        <w:spacing w:lineRule="exact" w:line="288" w:before="0" w:after="60"/>
        <w:rPr/>
      </w:pPr>
      <w:r>
        <w:rPr>
          <w:rFonts w:eastAsia="Cambria" w:cs="Cambria"/>
          <w:b/>
          <w:bCs/>
          <w:i w:val="false"/>
          <w:iCs w:val="false"/>
          <w:sz w:val="22"/>
          <w:szCs w:val="22"/>
        </w:rPr>
        <w:t>Bar:</w:t>
      </w:r>
      <w:r>
        <w:rPr>
          <w:rFonts w:eastAsia="Cambria" w:cs="Cambria"/>
          <w:b w:val="false"/>
          <w:bCs w:val="false"/>
          <w:i w:val="false"/>
          <w:iCs w:val="false"/>
          <w:sz w:val="22"/>
          <w:szCs w:val="22"/>
        </w:rPr>
        <w:t xml:space="preserve"> 1–2 $ pro Getränk oder 18–20 % der Rechnung.</w:t>
      </w:r>
    </w:p>
    <w:p>
      <w:pPr>
        <w:pStyle w:val="ListParagraph"/>
        <w:numPr>
          <w:ilvl w:val="0"/>
          <w:numId w:val="1"/>
        </w:numPr>
        <w:spacing w:lineRule="exact" w:line="288" w:before="0" w:after="60"/>
        <w:rPr/>
      </w:pPr>
      <w:r>
        <w:rPr>
          <w:rFonts w:eastAsia="Cambria" w:cs="Cambria"/>
          <w:b/>
          <w:bCs/>
          <w:i w:val="false"/>
          <w:iCs w:val="false"/>
          <w:sz w:val="22"/>
          <w:szCs w:val="22"/>
        </w:rPr>
        <w:t>Taxi und Rideshare:</w:t>
      </w:r>
      <w:r>
        <w:rPr>
          <w:rFonts w:eastAsia="Cambria" w:cs="Cambria"/>
          <w:b w:val="false"/>
          <w:bCs w:val="false"/>
          <w:i w:val="false"/>
          <w:iCs w:val="false"/>
          <w:sz w:val="22"/>
          <w:szCs w:val="22"/>
        </w:rPr>
        <w:t xml:space="preserve"> 15–20 %; bei sehr kurzen Fahrten 1–2 $.</w:t>
      </w:r>
    </w:p>
    <w:p>
      <w:pPr>
        <w:pStyle w:val="ListParagraph"/>
        <w:numPr>
          <w:ilvl w:val="0"/>
          <w:numId w:val="1"/>
        </w:numPr>
        <w:spacing w:lineRule="exact" w:line="288" w:before="0" w:after="60"/>
        <w:rPr/>
      </w:pPr>
      <w:r>
        <w:rPr>
          <w:rFonts w:eastAsia="Cambria" w:cs="Cambria"/>
          <w:b/>
          <w:bCs/>
          <w:i w:val="false"/>
          <w:iCs w:val="false"/>
          <w:sz w:val="22"/>
          <w:szCs w:val="22"/>
        </w:rPr>
        <w:t>Friseur, Nagelstudio, Massage:</w:t>
      </w:r>
      <w:r>
        <w:rPr>
          <w:rFonts w:eastAsia="Cambria" w:cs="Cambria"/>
          <w:b w:val="false"/>
          <w:bCs w:val="false"/>
          <w:i w:val="false"/>
          <w:iCs w:val="false"/>
          <w:sz w:val="22"/>
          <w:szCs w:val="22"/>
        </w:rPr>
        <w:t xml:space="preserve"> 18–20 %.</w:t>
      </w:r>
    </w:p>
    <w:p>
      <w:pPr>
        <w:pStyle w:val="ListParagraph"/>
        <w:numPr>
          <w:ilvl w:val="0"/>
          <w:numId w:val="1"/>
        </w:numPr>
        <w:spacing w:lineRule="exact" w:line="288" w:before="0" w:after="60"/>
        <w:rPr/>
      </w:pPr>
      <w:r>
        <w:rPr>
          <w:rFonts w:eastAsia="Cambria" w:cs="Cambria"/>
          <w:b/>
          <w:bCs/>
          <w:i w:val="false"/>
          <w:iCs w:val="false"/>
          <w:sz w:val="22"/>
          <w:szCs w:val="22"/>
        </w:rPr>
        <w:t>Hotelreinigung:</w:t>
      </w:r>
      <w:r>
        <w:rPr>
          <w:rFonts w:eastAsia="Cambria" w:cs="Cambria"/>
          <w:b w:val="false"/>
          <w:bCs w:val="false"/>
          <w:i w:val="false"/>
          <w:iCs w:val="false"/>
          <w:sz w:val="22"/>
          <w:szCs w:val="22"/>
        </w:rPr>
        <w:t xml:space="preserve"> 2–5 $ pro Nacht, täglich neu hingelegt, weil verschiedene Kräfte reinigen; </w:t>
      </w:r>
      <w:r>
        <w:rPr>
          <w:rFonts w:eastAsia="Cambria" w:cs="Cambria"/>
          <w:b/>
          <w:bCs/>
          <w:i w:val="false"/>
          <w:iCs w:val="false"/>
          <w:sz w:val="22"/>
          <w:szCs w:val="22"/>
        </w:rPr>
        <w:t>Gepäckträger</w:t>
      </w:r>
      <w:r>
        <w:rPr>
          <w:rFonts w:eastAsia="Cambria" w:cs="Cambria"/>
          <w:b w:val="false"/>
          <w:bCs w:val="false"/>
          <w:i w:val="false"/>
          <w:iCs w:val="false"/>
          <w:sz w:val="22"/>
          <w:szCs w:val="22"/>
        </w:rPr>
        <w:t xml:space="preserve"> 1–2 $ pro Stück.</w:t>
      </w:r>
    </w:p>
    <w:p>
      <w:pPr>
        <w:pStyle w:val="ListParagraph"/>
        <w:numPr>
          <w:ilvl w:val="0"/>
          <w:numId w:val="1"/>
        </w:numPr>
        <w:spacing w:lineRule="exact" w:line="288" w:before="0" w:after="60"/>
        <w:rPr/>
      </w:pPr>
      <w:r>
        <w:rPr>
          <w:rFonts w:eastAsia="Cambria" w:cs="Cambria"/>
          <w:b/>
          <w:bCs/>
          <w:i w:val="false"/>
          <w:iCs w:val="false"/>
          <w:sz w:val="22"/>
          <w:szCs w:val="22"/>
        </w:rPr>
        <w:t>Lieferdienst:</w:t>
      </w:r>
      <w:r>
        <w:rPr>
          <w:rFonts w:eastAsia="Cambria" w:cs="Cambria"/>
          <w:b w:val="false"/>
          <w:bCs w:val="false"/>
          <w:i w:val="false"/>
          <w:iCs w:val="false"/>
          <w:sz w:val="22"/>
          <w:szCs w:val="22"/>
        </w:rPr>
        <w:t xml:space="preserve"> rund 15–20 %, mindestens 3 bis 5 $.</w:t>
      </w:r>
    </w:p>
    <w:p>
      <w:pPr>
        <w:pStyle w:val="ListParagraph"/>
        <w:numPr>
          <w:ilvl w:val="0"/>
          <w:numId w:val="1"/>
        </w:numPr>
        <w:spacing w:lineRule="exact" w:line="288" w:before="0" w:after="60"/>
        <w:rPr/>
      </w:pPr>
      <w:r>
        <w:rPr>
          <w:rFonts w:eastAsia="Cambria" w:cs="Cambria"/>
          <w:b/>
          <w:bCs/>
          <w:i w:val="false"/>
          <w:iCs w:val="false"/>
          <w:sz w:val="22"/>
          <w:szCs w:val="22"/>
        </w:rPr>
        <w:t>Selbstbedienung</w:t>
      </w:r>
      <w:r>
        <w:rPr>
          <w:rFonts w:eastAsia="Cambria" w:cs="Cambria"/>
          <w:b w:val="false"/>
          <w:bCs w:val="false"/>
          <w:i w:val="false"/>
          <w:iCs w:val="false"/>
          <w:sz w:val="22"/>
          <w:szCs w:val="22"/>
        </w:rPr>
        <w:t xml:space="preserve"> (Imbiss, Kaffeetheke): kein Trinkgeld erwartet; Bildschirmabfragen sind freiwillig.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Kartenlesegeräte schlagen meist Prozentwerte zwischen 18 und 30 % vor; wähle bei Bedarf „Custom“.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Prüfe den Beleg, bevor du das Trinkgeldfeld ausfüllst. Bei größeren Gruppen und in manchen Restaurants ist ein Aufschlag von 18–20 % bereits als </w:t>
            </w:r>
            <w:r>
              <w:rPr>
                <w:rFonts w:eastAsia="Cambria" w:cs="Cambria"/>
                <w:b w:val="false"/>
                <w:bCs w:val="false"/>
                <w:i/>
                <w:iCs/>
                <w:sz w:val="20"/>
                <w:szCs w:val="20"/>
              </w:rPr>
              <w:t>Service Charge</w:t>
            </w:r>
            <w:r>
              <w:rPr>
                <w:rFonts w:eastAsia="Cambria" w:cs="Cambria"/>
                <w:b w:val="false"/>
                <w:bCs w:val="false"/>
                <w:i w:val="false"/>
                <w:iCs w:val="false"/>
                <w:sz w:val="20"/>
                <w:szCs w:val="20"/>
              </w:rPr>
              <w:t xml:space="preserve"> oder </w:t>
            </w:r>
            <w:r>
              <w:rPr>
                <w:rFonts w:eastAsia="Cambria" w:cs="Cambria"/>
                <w:b w:val="false"/>
                <w:bCs w:val="false"/>
                <w:i/>
                <w:iCs/>
                <w:sz w:val="20"/>
                <w:szCs w:val="20"/>
              </w:rPr>
              <w:t>Gratuity</w:t>
            </w:r>
            <w:r>
              <w:rPr>
                <w:rFonts w:eastAsia="Cambria" w:cs="Cambria"/>
                <w:b w:val="false"/>
                <w:bCs w:val="false"/>
                <w:i w:val="false"/>
                <w:iCs w:val="false"/>
                <w:sz w:val="20"/>
                <w:szCs w:val="20"/>
              </w:rPr>
              <w:t xml:space="preserve"> enthalten. Wer zusätzlich zahlt, gibt doppelt.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Preise ohne Steuer.</w:t>
      </w:r>
      <w:r>
        <w:rPr>
          <w:rFonts w:eastAsia="Cambria" w:cs="Cambria"/>
          <w:b w:val="false"/>
          <w:bCs w:val="false"/>
          <w:i w:val="false"/>
          <w:iCs w:val="false"/>
          <w:sz w:val="22"/>
          <w:szCs w:val="22"/>
        </w:rPr>
        <w:t xml:space="preserve"> Schilder, Speisekarten und Online-Shops zeigen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ausgenommen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isst in der ersten Woche in Michigan zu viert im Restaurant. Die Karte ergibt 78 $. Dazu kommen 6 % Verkaufssteuer (4,68 $). Die Kellnerin erwartet rund 20 % vom Nettobetrag (15,60 $), das Kartenlesegerät schlägt höhere Werte vor; Markus wählt „Custom“. Am Ende zahlt die Familie 98,28 $, gut ein Viertel mehr als der Kartenpreis. Anna lässt die Reste einpacken („Could we get a box, please?“), Lena und Jonas trinken Leitungswasser mit Eis, das nichts kostet. Für künftige Restaurantbesuche planen die Brandts 25 bis 30 % Aufschlag ein.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Rechnung teilen.</w:t>
      </w:r>
      <w:r>
        <w:rPr>
          <w:rFonts w:eastAsia="Cambria" w:cs="Cambria"/>
          <w:b w:val="false"/>
          <w:bCs w:val="false"/>
          <w:i w:val="false"/>
          <w:iCs w:val="false"/>
          <w:sz w:val="22"/>
          <w:szCs w:val="22"/>
        </w:rPr>
        <w:t xml:space="preserve"> In Deutschland fragt die Bedienung „Zusammen oder getrennt?“. In den USA lässt sich die Rechnung ebenfalls trennen (</w:t>
      </w:r>
      <w:r>
        <w:rPr>
          <w:rFonts w:eastAsia="Cambria" w:cs="Cambria"/>
          <w:b w:val="false"/>
          <w:bCs w:val="false"/>
          <w:i/>
          <w:iCs/>
          <w:sz w:val="22"/>
          <w:szCs w:val="22"/>
        </w:rPr>
        <w:t>Separate Checks</w:t>
      </w:r>
      <w:r>
        <w:rPr>
          <w:rFonts w:eastAsia="Cambria" w:cs="Cambria"/>
          <w:b w:val="false"/>
          <w:bCs w:val="false"/>
          <w:i w:val="false"/>
          <w:iCs w:val="false"/>
          <w:sz w:val="22"/>
          <w:szCs w:val="22"/>
        </w:rPr>
        <w:t>), aber besser sagst du es vor der Bestellung. Bei Gruppen teilt man oft gleichmäßig, auch wenn du nur einen Salat hattest; einer zahlt, die anderen überweisen per App wie Venmo oder Zelle (brauchen ein US-Konto,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Wer lieber nach Verzehr teilt, sagt es freundlich: „Could we split by what we ordered?“ Die Rechnung kommt nicht ungefragt; du bittest darum („Check, please“).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bei Lieferdiensten zum Abholen (</w:t>
            </w:r>
            <w:r>
              <w:rPr>
                <w:rFonts w:eastAsia="Cambria" w:cs="Cambria"/>
                <w:b w:val="false"/>
                <w:bCs w:val="false"/>
                <w:i/>
                <w:iCs/>
                <w:sz w:val="20"/>
                <w:szCs w:val="20"/>
              </w:rPr>
              <w:t>Pickup</w:t>
            </w:r>
            <w:r>
              <w:rPr>
                <w:rFonts w:eastAsia="Cambria" w:cs="Cambria"/>
                <w:b w:val="false"/>
                <w:bCs w:val="false"/>
                <w:i w:val="false"/>
                <w:iCs w:val="false"/>
                <w:sz w:val="20"/>
                <w:szCs w:val="20"/>
              </w:rPr>
              <w:t>). Dann entfallen Liefergebühr, Serviceaufschlag der App und das Trinkgeld für den Fahrer. Mittagsangebote (</w:t>
            </w:r>
            <w:r>
              <w:rPr>
                <w:rFonts w:eastAsia="Cambria" w:cs="Cambria"/>
                <w:b w:val="false"/>
                <w:bCs w:val="false"/>
                <w:i/>
                <w:iCs/>
                <w:sz w:val="20"/>
                <w:szCs w:val="20"/>
              </w:rPr>
              <w:t>Lunch Specials</w:t>
            </w:r>
            <w:r>
              <w:rPr>
                <w:rFonts w:eastAsia="Cambria" w:cs="Cambria"/>
                <w:b w:val="false"/>
                <w:bCs w:val="false"/>
                <w:i w:val="false"/>
                <w:iCs w:val="false"/>
                <w:sz w:val="20"/>
                <w:szCs w:val="20"/>
              </w:rPr>
              <w:t xml:space="preserve">) und die </w:t>
            </w:r>
            <w:r>
              <w:rPr>
                <w:rFonts w:eastAsia="Cambria" w:cs="Cambria"/>
                <w:b w:val="false"/>
                <w:bCs w:val="false"/>
                <w:i/>
                <w:iCs/>
                <w:sz w:val="20"/>
                <w:szCs w:val="20"/>
              </w:rPr>
              <w:t>Happy Hour</w:t>
            </w:r>
            <w:r>
              <w:rPr>
                <w:rFonts w:eastAsia="Cambria" w:cs="Cambria"/>
                <w:b w:val="false"/>
                <w:bCs w:val="false"/>
                <w:i w:val="false"/>
                <w:iCs w:val="false"/>
                <w:sz w:val="20"/>
                <w:szCs w:val="20"/>
              </w:rPr>
              <w:t xml:space="preserve"> in Bars sind günstiger als die Abendkarte.</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04"/>
        <w:gridCol w:w="1851"/>
        <w:gridCol w:w="1505"/>
        <w:gridCol w:w="1619"/>
      </w:tblGrid>
      <w:tr>
        <w:trPr>
          <w:tblHeader w:val="true"/>
          <w:cantSplit w:val="true"/>
        </w:trPr>
        <w:tc>
          <w:tcPr>
            <w:tcW w:w="15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8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 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 vom Nettobetrag</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 prüfen: schon enthalten?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 pro Getränk</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jeder Runde geben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 Rideshare</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App wählen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Friseur, Nagelstudio</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 oder per App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Preisschild</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mit Mehrwertsteuer</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Nettopreis, Steuer an der Kasse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Steuersatz des Wohnorts nachschlagen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Rechnung</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Zusammen oder getrennt?“</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eine Rechnung, Aufteilung per App</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Trennung vor der Bestellung nennen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Portionen, Auto, Rückgabe, Kundenservice</w:t>
      </w:r>
    </w:p>
    <w:p>
      <w:pPr>
        <w:pStyle w:val="Normal"/>
        <w:keepNext w:val="false"/>
        <w:keepLines w:val="false"/>
        <w:spacing w:lineRule="exact" w:line="288" w:before="0" w:after="140"/>
        <w:jc w:val="left"/>
        <w:rPr/>
      </w:pPr>
      <w:r>
        <w:rPr>
          <w:rFonts w:eastAsia="Cambria" w:cs="Cambria"/>
          <w:b/>
          <w:bCs/>
          <w:i w:val="false"/>
          <w:iCs w:val="false"/>
          <w:sz w:val="22"/>
          <w:szCs w:val="22"/>
        </w:rPr>
        <w:t>Portionen.</w:t>
      </w:r>
      <w:r>
        <w:rPr>
          <w:rFonts w:eastAsia="Cambria" w:cs="Cambria"/>
          <w:b w:val="false"/>
          <w:bCs w:val="false"/>
          <w:i w:val="false"/>
          <w:iCs w:val="false"/>
          <w:sz w:val="22"/>
          <w:szCs w:val="22"/>
        </w:rPr>
        <w:t xml:space="preserve"> Restaurantportionen fallen größer aus als in Deutschland. Getränke kommen mit Eis, Softdrinks oft mit kostenlosem Nachschenken (</w:t>
      </w:r>
      <w:r>
        <w:rPr>
          <w:rFonts w:eastAsia="Cambria" w:cs="Cambria"/>
          <w:b w:val="false"/>
          <w:bCs w:val="false"/>
          <w:i/>
          <w:iCs/>
          <w:sz w:val="22"/>
          <w:szCs w:val="22"/>
        </w:rPr>
        <w:t>Free Refills</w:t>
      </w:r>
      <w:r>
        <w:rPr>
          <w:rFonts w:eastAsia="Cambria" w:cs="Cambria"/>
          <w:b w:val="false"/>
          <w:bCs w:val="false"/>
          <w:i w:val="false"/>
          <w:iCs w:val="false"/>
          <w:sz w:val="22"/>
          <w:szCs w:val="22"/>
        </w:rPr>
        <w:t xml:space="preserve">), Leitungswasser unaufgefordert und gratis. Reste nimmst du in der </w:t>
      </w:r>
      <w:r>
        <w:rPr>
          <w:rFonts w:eastAsia="Cambria" w:cs="Cambria"/>
          <w:b w:val="false"/>
          <w:bCs w:val="false"/>
          <w:i/>
          <w:iCs/>
          <w:sz w:val="22"/>
          <w:szCs w:val="22"/>
        </w:rPr>
        <w:t>To-go Box</w:t>
      </w:r>
      <w:r>
        <w:rPr>
          <w:rFonts w:eastAsia="Cambria" w:cs="Cambria"/>
          <w:b w:val="false"/>
          <w:bCs w:val="false"/>
          <w:i w:val="false"/>
          <w:iCs w:val="false"/>
          <w:sz w:val="22"/>
          <w:szCs w:val="22"/>
        </w:rPr>
        <w:t xml:space="preserve"> mit; das ist normal und keine Verlegenheit. Zu Einkaufsgrößen und Lebensmitteln siehe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Autokultur.</w:t>
      </w:r>
      <w:r>
        <w:rPr>
          <w:rFonts w:eastAsia="Cambria" w:cs="Cambria"/>
          <w:b w:val="false"/>
          <w:bCs w:val="false"/>
          <w:i w:val="false"/>
          <w:iCs w:val="false"/>
          <w:sz w:val="22"/>
          <w:szCs w:val="22"/>
        </w:rPr>
        <w:t xml:space="preserve"> Außerhalb weniger Großstädte wie New York, Boston, Chicago, San Francisco oder Washington, D.C. läuft der Alltag im Auto: Supermarkt, Schule, Arzt und Arbeit liegen weit auseinander, Kaffee, Apotheke und Bank gibt es im </w:t>
      </w:r>
      <w:r>
        <w:rPr>
          <w:rFonts w:eastAsia="Cambria" w:cs="Cambria"/>
          <w:b w:val="false"/>
          <w:bCs w:val="false"/>
          <w:i/>
          <w:iCs/>
          <w:sz w:val="22"/>
          <w:szCs w:val="22"/>
        </w:rPr>
        <w:t>Drive-through</w:t>
      </w:r>
      <w:r>
        <w:rPr>
          <w:rFonts w:eastAsia="Cambria" w:cs="Cambria"/>
          <w:b w:val="false"/>
          <w:bCs w:val="false"/>
          <w:i w:val="false"/>
          <w:iCs w:val="false"/>
          <w:sz w:val="22"/>
          <w:szCs w:val="22"/>
        </w:rPr>
        <w:t>, manche Wohngebiete haben keine Gehwege. Führerschein, Kauf und Versicherung: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was die Autoabhängigkeit für die Wohnortwahl heißt: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Rückgabe und Kundenservice.</w:t>
      </w:r>
      <w:r>
        <w:rPr>
          <w:rFonts w:eastAsia="Cambria" w:cs="Cambria"/>
          <w:b w:val="false"/>
          <w:bCs w:val="false"/>
          <w:i w:val="false"/>
          <w:iCs w:val="false"/>
          <w:sz w:val="22"/>
          <w:szCs w:val="22"/>
        </w:rPr>
        <w:t xml:space="preserve"> Ein gesetzliches Widerrufsrecht wie die 14 Tage im deutschen Onlinehandel gibt es nicht; die Rückgaberegel (</w:t>
      </w:r>
      <w:r>
        <w:rPr>
          <w:rFonts w:eastAsia="Cambria" w:cs="Cambria"/>
          <w:b w:val="false"/>
          <w:bCs w:val="false"/>
          <w:i/>
          <w:iCs/>
          <w:sz w:val="22"/>
          <w:szCs w:val="22"/>
        </w:rPr>
        <w:t>Return Policy</w:t>
      </w:r>
      <w:r>
        <w:rPr>
          <w:rFonts w:eastAsia="Cambria" w:cs="Cambria"/>
          <w:b w:val="false"/>
          <w:bCs w:val="false"/>
          <w:i w:val="false"/>
          <w:iCs w:val="false"/>
          <w:sz w:val="22"/>
          <w:szCs w:val="22"/>
        </w:rPr>
        <w:t xml:space="preserve">)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 ein zufriedener Kunde kauft mehr und kommt wieder. Das macht sie im Alltag nicht weniger angenehm, nur eben kalkuliert statt zufällig. Beschwerden wirken ruhig und mit Lösungsvorschlag am besten; hilft es nicht, bittest du um den </w:t>
      </w:r>
      <w:r>
        <w:rPr>
          <w:rFonts w:eastAsia="Cambria" w:cs="Cambria"/>
          <w:b w:val="false"/>
          <w:bCs w:val="false"/>
          <w:i/>
          <w:iCs/>
          <w:sz w:val="22"/>
          <w:szCs w:val="22"/>
        </w:rPr>
        <w:t>Manager</w:t>
      </w:r>
      <w:r>
        <w:rPr>
          <w:rFonts w:eastAsia="Cambria" w:cs="Cambria"/>
          <w:b w:val="false"/>
          <w:bCs w:val="false"/>
          <w:i w:val="false"/>
          <w:iCs w:val="false"/>
          <w:sz w:val="22"/>
          <w:szCs w:val="22"/>
        </w:rPr>
        <w:t>. Umgekehrt erwartet das Personal einen Gruß, bevor du bestellst; wer ohne „Hi, how are you?“ sofort loslegt, gilt schnell als schroff.</w:t>
      </w:r>
    </w:p>
    <w:tbl>
      <w:tblPr>
        <w:tblW w:w="6480" w:type="dxa"/>
        <w:jc w:val="left"/>
        <w:tblInd w:w="0" w:type="dxa"/>
        <w:tblLayout w:type="fixed"/>
        <w:tblCellMar>
          <w:top w:w="50" w:type="dxa"/>
          <w:left w:w="80" w:type="dxa"/>
          <w:bottom w:w="50" w:type="dxa"/>
          <w:right w:w="80" w:type="dxa"/>
        </w:tblCellMar>
      </w:tblPr>
      <w:tblGrid>
        <w:gridCol w:w="1896"/>
        <w:gridCol w:w="1294"/>
        <w:gridCol w:w="1795"/>
        <w:gridCol w:w="1494"/>
      </w:tblGrid>
      <w:tr>
        <w:trPr>
          <w:tblHeader w:val="true"/>
          <w:cantSplit w:val="true"/>
        </w:trPr>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7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Rückgabe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 Widerruf online</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des Händlers, 15 bis 90 Tage</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 und Verpackung aufbewahren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Beschwerde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direkt</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 mit Lösungsvorschlag</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Bei Bedarf nach dem </w:t>
            </w:r>
            <w:r>
              <w:rPr>
                <w:rFonts w:eastAsia="Cambria" w:cs="Cambria"/>
                <w:b w:val="false"/>
                <w:bCs w:val="false"/>
                <w:i/>
                <w:iCs/>
                <w:sz w:val="18"/>
                <w:szCs w:val="18"/>
              </w:rPr>
              <w:t>Manager</w:t>
            </w:r>
            <w:r>
              <w:rPr>
                <w:rFonts w:eastAsia="Cambria" w:cs="Cambria"/>
                <w:b w:val="false"/>
                <w:bCs w:val="false"/>
                <w:i w:val="false"/>
                <w:iCs w:val="false"/>
                <w:sz w:val="18"/>
                <w:szCs w:val="18"/>
              </w:rPr>
              <w:t xml:space="preserve"> fragen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Restaurantportion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Reste selten mitgenommen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 Mitnehmen üblich</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I get a box?“</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Fuß, Rad, Bahn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Auto</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vor der Wohnungssuche einplanen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Kasse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Knapp, sachlich</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Kurzer Small Talk</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Grüßen, dann bezahlen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bestimmen das amerikanische Wochenende: Sportturniere, Vereinstermine und Geburtstagsfeiern füllen den Kalender. Kindergeburtstage laufen oft in einer gemieteten Location, mit schriftlicher Einladung und </w:t>
      </w:r>
      <w:r>
        <w:rPr>
          <w:rFonts w:eastAsia="Cambria" w:cs="Cambria"/>
          <w:b w:val="false"/>
          <w:bCs w:val="false"/>
          <w:i/>
          <w:iCs/>
          <w:sz w:val="22"/>
          <w:szCs w:val="22"/>
        </w:rPr>
        <w:t>RSVP</w:t>
      </w:r>
      <w:r>
        <w:rPr>
          <w:rFonts w:eastAsia="Cambria" w:cs="Cambria"/>
          <w:b w:val="false"/>
          <w:bCs w:val="false"/>
          <w:i w:val="false"/>
          <w:iCs w:val="false"/>
          <w:sz w:val="22"/>
          <w:szCs w:val="22"/>
        </w:rPr>
        <w:t xml:space="preserve">. Verabredungen der Kinder heißen </w:t>
      </w:r>
      <w:r>
        <w:rPr>
          <w:rFonts w:eastAsia="Cambria" w:cs="Cambria"/>
          <w:b w:val="false"/>
          <w:bCs w:val="false"/>
          <w:i/>
          <w:iCs/>
          <w:sz w:val="22"/>
          <w:szCs w:val="22"/>
        </w:rPr>
        <w:t>Playdates</w:t>
      </w:r>
      <w:r>
        <w:rPr>
          <w:rFonts w:eastAsia="Cambria" w:cs="Cambria"/>
          <w:b w:val="false"/>
          <w:bCs w:val="false"/>
          <w:i w:val="false"/>
          <w:iCs w:val="false"/>
          <w:sz w:val="22"/>
          <w:szCs w:val="22"/>
        </w:rPr>
        <w:t xml:space="preserve"> und werden zwischen den Eltern abgesprochen, denn Kinder bringt und holt man; „einfach klingeln“ ist unüblich. Im Umgang mit Kindern dominieren Lob und positive Verstärkung, im Süden gehören „Yes, ma’am“ und „No, sir“ zur Erziehung. Wie oft Kinder allein unterwegs sind, prägen Ort und Gemeinde; bei Schulweg, Spielplatz und Allein-zu-Hause-Bleiben (Rechtslage und Erwartungen)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7"/>
        <w:gridCol w:w="1669"/>
        <w:gridCol w:w="1571"/>
        <w:gridCol w:w="1472"/>
      </w:tblGrid>
      <w:tr>
        <w:trPr>
          <w:tblHeader w:val="true"/>
          <w:cantSplit w:val="true"/>
        </w:trPr>
        <w:tc>
          <w:tcPr>
            <w:tcW w:w="17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Hause, lockere Zusage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Einladung mit </w:t>
            </w:r>
            <w:r>
              <w:rPr>
                <w:rFonts w:eastAsia="Cambria" w:cs="Cambria"/>
                <w:b w:val="false"/>
                <w:bCs w:val="false"/>
                <w:i/>
                <w:iCs/>
                <w:sz w:val="18"/>
                <w:szCs w:val="18"/>
              </w:rPr>
              <w:t>RSVP</w:t>
            </w:r>
            <w:r>
              <w:rPr>
                <w:rFonts w:eastAsia="Cambria" w:cs="Cambria"/>
                <w:b w:val="false"/>
                <w:bCs w:val="false"/>
                <w:i w:val="false"/>
                <w:iCs w:val="false"/>
                <w:sz w:val="18"/>
                <w:szCs w:val="18"/>
              </w:rPr>
              <w:t>, oft Party-Location</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Zusagen, Allergien nennen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Verabredung der Kinder</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Komm einfach vorbei“</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Playdate</w:t>
            </w:r>
            <w:r>
              <w:rPr>
                <w:rFonts w:eastAsia="Cambria" w:cs="Cambria"/>
                <w:b w:val="false"/>
                <w:bCs w:val="false"/>
                <w:i w:val="false"/>
                <w:iCs w:val="false"/>
                <w:sz w:val="18"/>
                <w:szCs w:val="18"/>
              </w:rPr>
              <w:t xml:space="preserve"> nach Absprache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kontaktieren, Abholung klären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allein unterwegs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Grundschulalter verbreitet</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Erwartungen und Regeln je Ort</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fragen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Erziehungston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Fehler benennen</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Lob, positive Verstärkung</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 loben üben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Wochenende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Ausflüge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Turniere, Vereinstermine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Kalender früh abstimmen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Feiertage: Thanksgiving, 4. Juli, Halloween, Super Bowl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Bund gibt es elf Feiertage (</w:t>
      </w:r>
      <w:r>
        <w:rPr>
          <w:rFonts w:eastAsia="Cambria" w:cs="Cambria"/>
          <w:b w:val="false"/>
          <w:bCs w:val="false"/>
          <w:i/>
          <w:iCs/>
          <w:sz w:val="22"/>
          <w:szCs w:val="22"/>
        </w:rPr>
        <w:t>Federal Holidays</w:t>
      </w:r>
      <w:r>
        <w:rPr>
          <w:rFonts w:eastAsia="Cambria" w:cs="Cambria"/>
          <w:b w:val="false"/>
          <w:bCs w:val="false"/>
          <w:i w:val="false"/>
          <w:iCs w:val="false"/>
          <w:sz w:val="22"/>
          <w:szCs w:val="22"/>
        </w:rPr>
        <w:t>): Neujahr, Martin Luther King Jr. Day (dritter Montag im Januar), Presidents’ Day (dritter Montag im Februar), Memorial Day (letzter Montag im Mai), Juneteenth (19. Juni), Independence Day (4. Juli), Labor Day (erster Montag im September), Columbus Day oder Indigenous Peoples’ Day (zweiter Montag im Oktober), Veterans Day (11. November), Thanksgiving (vierter Donnerstag im November) und Weihnachten (25. Dezember). In der Privatwirtschaft besteht kein gesetzlicher Anspruch auf freie Tage; der Arbeitgeber entscheidet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Die Montagsregel schafft lange Wochenenden.</w:t>
      </w:r>
    </w:p>
    <w:p>
      <w:pPr>
        <w:pStyle w:val="Normal"/>
        <w:keepNext w:val="false"/>
        <w:keepLines w:val="false"/>
        <w:spacing w:lineRule="exact" w:line="288" w:before="0" w:after="140"/>
        <w:jc w:val="left"/>
        <w:rPr/>
      </w:pPr>
      <w:r>
        <w:rPr>
          <w:rFonts w:eastAsia="Cambria" w:cs="Cambria"/>
          <w:b/>
          <w:bCs/>
          <w:i w:val="false"/>
          <w:iCs w:val="false"/>
          <w:sz w:val="22"/>
          <w:szCs w:val="22"/>
        </w:rPr>
        <w:t>Thanksgiving</w:t>
      </w:r>
      <w:r>
        <w:rPr>
          <w:rFonts w:eastAsia="Cambria" w:cs="Cambria"/>
          <w:b w:val="false"/>
          <w:bCs w:val="false"/>
          <w:i w:val="false"/>
          <w:iCs w:val="false"/>
          <w:sz w:val="22"/>
          <w:szCs w:val="22"/>
        </w:rPr>
        <w:t xml:space="preserve"> (2026: 26. November) ist das große Familienfest mit Truthahn, Füllung, Süßkartoffeln und Kürbiskuchen, verbunden mit dem größten Reiseverkehr des Jahres. Viele große Ketten wie Walmart und Target bleiben geschlossen; am Tag danach folgt der </w:t>
      </w:r>
      <w:r>
        <w:rPr>
          <w:rFonts w:eastAsia="Cambria" w:cs="Cambria"/>
          <w:b w:val="false"/>
          <w:bCs w:val="false"/>
          <w:i/>
          <w:iCs/>
          <w:sz w:val="22"/>
          <w:szCs w:val="22"/>
        </w:rPr>
        <w:t>Black Friday</w:t>
      </w:r>
      <w:r>
        <w:rPr>
          <w:rFonts w:eastAsia="Cambria" w:cs="Cambria"/>
          <w:b w:val="false"/>
          <w:bCs w:val="false"/>
          <w:i w:val="false"/>
          <w:iCs w:val="false"/>
          <w:sz w:val="22"/>
          <w:szCs w:val="22"/>
        </w:rPr>
        <w:t>. Wer weit von der Familie lebt, feiert oft mit Freunden („Friendsgiving“). Bist du eingeladen, frage, was du mitbringen sollst; Wein, Nachtisch oder eine Beilage sind willkommen.</w:t>
      </w:r>
    </w:p>
    <w:p>
      <w:pPr>
        <w:pStyle w:val="Normal"/>
        <w:keepNext w:val="false"/>
        <w:keepLines w:val="false"/>
        <w:spacing w:lineRule="exact" w:line="288" w:before="0" w:after="140"/>
        <w:jc w:val="left"/>
        <w:rPr/>
      </w:pPr>
      <w:r>
        <w:rPr>
          <w:rFonts w:eastAsia="Cambria" w:cs="Cambria"/>
          <w:b/>
          <w:bCs/>
          <w:i w:val="false"/>
          <w:iCs w:val="false"/>
          <w:sz w:val="22"/>
          <w:szCs w:val="22"/>
        </w:rPr>
        <w:t>Der 4. Juli</w:t>
      </w:r>
      <w:r>
        <w:rPr>
          <w:rFonts w:eastAsia="Cambria" w:cs="Cambria"/>
          <w:b w:val="false"/>
          <w:bCs w:val="false"/>
          <w:i w:val="false"/>
          <w:iCs w:val="false"/>
          <w:sz w:val="22"/>
          <w:szCs w:val="22"/>
        </w:rP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pPr>
        <w:pStyle w:val="Normal"/>
        <w:keepNext w:val="false"/>
        <w:keepLines w:val="false"/>
        <w:spacing w:lineRule="exact" w:line="288" w:before="0" w:after="140"/>
        <w:jc w:val="left"/>
        <w:rPr/>
      </w:pPr>
      <w:r>
        <w:rPr>
          <w:rFonts w:eastAsia="Cambria" w:cs="Cambria"/>
          <w:b/>
          <w:bCs/>
          <w:i w:val="false"/>
          <w:iCs w:val="false"/>
          <w:sz w:val="22"/>
          <w:szCs w:val="22"/>
        </w:rPr>
        <w:t>Halloween</w:t>
      </w:r>
      <w:r>
        <w:rPr>
          <w:rFonts w:eastAsia="Cambria" w:cs="Cambria"/>
          <w:b w:val="false"/>
          <w:bCs w:val="false"/>
          <w:i w:val="false"/>
          <w:iCs w:val="false"/>
          <w:sz w:val="22"/>
          <w:szCs w:val="22"/>
        </w:rPr>
        <w:t xml:space="preserve"> (31. Oktober, 2026 ein Samstag) gehört den Kindern, die verkleidet von Haus zu Haus ziehen (</w:t>
      </w:r>
      <w:r>
        <w:rPr>
          <w:rFonts w:eastAsia="Cambria" w:cs="Cambria"/>
          <w:b w:val="false"/>
          <w:bCs w:val="false"/>
          <w:i/>
          <w:iCs/>
          <w:sz w:val="22"/>
          <w:szCs w:val="22"/>
        </w:rPr>
        <w:t>Trick-or-Treating</w:t>
      </w:r>
      <w:r>
        <w:rPr>
          <w:rFonts w:eastAsia="Cambria" w:cs="Cambria"/>
          <w:b w:val="false"/>
          <w:bCs w:val="false"/>
          <w:i w:val="false"/>
          <w:iCs w:val="false"/>
          <w:sz w:val="22"/>
          <w:szCs w:val="22"/>
        </w:rPr>
        <w:t>). Brennt das Außenlicht, gibt es Süßigkeiten, ein dunkles Haus heißt „nichts“. Plane rechtzeitig große Tüten ein; zu Kostümen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Super Bowl</w:t>
      </w:r>
      <w:r>
        <w:rPr>
          <w:rFonts w:eastAsia="Cambria" w:cs="Cambria"/>
          <w:b w:val="false"/>
          <w:bCs w:val="false"/>
          <w:i w:val="false"/>
          <w:iCs w:val="false"/>
          <w:sz w:val="22"/>
          <w:szCs w:val="22"/>
        </w:rPr>
        <w:t xml:space="preserve">, das Endspiel der Football-Liga NFL, findet an einem Sonntag im Februar statt und erreichte in den USA zuletzt deutlich mehr als 100 Millionen Zuschauer. Man trifft sich zur </w:t>
      </w:r>
      <w:r>
        <w:rPr>
          <w:rFonts w:eastAsia="Cambria" w:cs="Cambria"/>
          <w:b w:val="false"/>
          <w:bCs w:val="false"/>
          <w:i/>
          <w:iCs/>
          <w:sz w:val="22"/>
          <w:szCs w:val="22"/>
        </w:rPr>
        <w:t>Super Bowl Party</w:t>
      </w:r>
      <w:r>
        <w:rPr>
          <w:rFonts w:eastAsia="Cambria" w:cs="Cambria"/>
          <w:b w:val="false"/>
          <w:bCs w:val="false"/>
          <w:i w:val="false"/>
          <w:iCs w:val="false"/>
          <w:sz w:val="22"/>
          <w:szCs w:val="22"/>
        </w:rPr>
        <w:t xml:space="preserve"> mit Chicken Wings, Dips und Werbespots. Eine Einladung lohnt sich, auch wenn dich Football nicht interessiert. </w:t>
      </w:r>
      <w:r>
        <w:rPr>
          <w:rFonts w:eastAsia="Cambria" w:cs="Cambria"/>
          <w:b/>
          <w:bCs/>
          <w:i w:val="false"/>
          <w:iCs w:val="false"/>
          <w:sz w:val="22"/>
          <w:szCs w:val="22"/>
        </w:rPr>
        <w:t>Weihnachten</w:t>
      </w:r>
      <w:r>
        <w:rPr>
          <w:rFonts w:eastAsia="Cambria" w:cs="Cambria"/>
          <w:b w:val="false"/>
          <w:bCs w:val="false"/>
          <w:i w:val="false"/>
          <w:iCs w:val="false"/>
          <w:sz w:val="22"/>
          <w:szCs w:val="22"/>
        </w:rPr>
        <w:t xml:space="preserve"> fällt auf den 25. Dezember (Bescherung morgens); im Büro hörst du oft „Happy Holidays“, privat „Merry Christmas“. Christkindlmärkte, etwa in Chicago, bringen deutsche Traditionen mit.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Amerikaner an Deutschen schätzen und was sie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Erfahrungen, keine Messwerte, und sie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w:t>
      </w:r>
    </w:p>
    <w:p>
      <w:pPr>
        <w:pStyle w:val="ListParagraph"/>
        <w:numPr>
          <w:ilvl w:val="0"/>
          <w:numId w:val="1"/>
        </w:numPr>
        <w:spacing w:lineRule="exact" w:line="288" w:before="0" w:after="60"/>
        <w:rPr/>
      </w:pPr>
      <w:r>
        <w:rPr>
          <w:rFonts w:eastAsia="Cambria" w:cs="Cambria"/>
          <w:b/>
          <w:bCs/>
          <w:i w:val="false"/>
          <w:iCs w:val="false"/>
          <w:sz w:val="22"/>
          <w:szCs w:val="22"/>
        </w:rPr>
        <w:t>Verlässlichkeit:</w:t>
      </w:r>
      <w:r>
        <w:rPr>
          <w:rFonts w:eastAsia="Cambria" w:cs="Cambria"/>
          <w:b w:val="false"/>
          <w:bCs w:val="false"/>
          <w:i w:val="false"/>
          <w:iCs w:val="false"/>
          <w:sz w:val="22"/>
          <w:szCs w:val="22"/>
        </w:rPr>
        <w:t xml:space="preserve"> Zusagen werden gehalten, Termine eingehalten.</w:t>
      </w:r>
    </w:p>
    <w:p>
      <w:pPr>
        <w:pStyle w:val="ListParagraph"/>
        <w:numPr>
          <w:ilvl w:val="0"/>
          <w:numId w:val="1"/>
        </w:numPr>
        <w:spacing w:lineRule="exact" w:line="288" w:before="0" w:after="60"/>
        <w:rPr/>
      </w:pPr>
      <w:r>
        <w:rPr>
          <w:rFonts w:eastAsia="Cambria" w:cs="Cambria"/>
          <w:b/>
          <w:bCs/>
          <w:i w:val="false"/>
          <w:iCs w:val="false"/>
          <w:sz w:val="22"/>
          <w:szCs w:val="22"/>
        </w:rPr>
        <w:t>Klare Ansagen:</w:t>
      </w:r>
      <w:r>
        <w:rPr>
          <w:rFonts w:eastAsia="Cambria" w:cs="Cambria"/>
          <w:b w:val="false"/>
          <w:bCs w:val="false"/>
          <w:i w:val="false"/>
          <w:iCs w:val="false"/>
          <w:sz w:val="22"/>
          <w:szCs w:val="22"/>
        </w:rPr>
        <w:t xml:space="preserve"> Man weiß, woran man ist.</w:t>
      </w:r>
    </w:p>
    <w:p>
      <w:pPr>
        <w:pStyle w:val="ListParagraph"/>
        <w:numPr>
          <w:ilvl w:val="0"/>
          <w:numId w:val="1"/>
        </w:numPr>
        <w:spacing w:lineRule="exact" w:line="288" w:before="0" w:after="60"/>
        <w:rPr/>
      </w:pPr>
      <w:r>
        <w:rPr>
          <w:rFonts w:eastAsia="Cambria" w:cs="Cambria"/>
          <w:b/>
          <w:bCs/>
          <w:i w:val="false"/>
          <w:iCs w:val="false"/>
          <w:sz w:val="22"/>
          <w:szCs w:val="22"/>
        </w:rPr>
        <w:t>Fachliche Gründlichkeit:</w:t>
      </w:r>
      <w:r>
        <w:rPr>
          <w:rFonts w:eastAsia="Cambria" w:cs="Cambria"/>
          <w:b w:val="false"/>
          <w:bCs w:val="false"/>
          <w:i w:val="false"/>
          <w:iCs w:val="false"/>
          <w:sz w:val="22"/>
          <w:szCs w:val="22"/>
        </w:rPr>
        <w:t xml:space="preserve"> „German engineering“ und die Ausbildungstradition haben einen guten Ruf, der Türen öffnet.</w:t>
      </w:r>
    </w:p>
    <w:p>
      <w:pPr>
        <w:pStyle w:val="ListParagraph"/>
        <w:numPr>
          <w:ilvl w:val="0"/>
          <w:numId w:val="1"/>
        </w:numPr>
        <w:spacing w:lineRule="exact" w:line="288" w:before="0" w:after="60"/>
        <w:rPr/>
      </w:pPr>
      <w:r>
        <w:rPr>
          <w:rFonts w:eastAsia="Cambria" w:cs="Cambria"/>
          <w:b/>
          <w:bCs/>
          <w:i w:val="false"/>
          <w:iCs w:val="false"/>
          <w:sz w:val="22"/>
          <w:szCs w:val="22"/>
        </w:rPr>
        <w:t>Andere Prioritäten:</w:t>
      </w:r>
      <w:r>
        <w:rPr>
          <w:rFonts w:eastAsia="Cambria" w:cs="Cambria"/>
          <w:b w:val="false"/>
          <w:bCs w:val="false"/>
          <w:i w:val="false"/>
          <w:iCs w:val="false"/>
          <w:sz w:val="22"/>
          <w:szCs w:val="22"/>
        </w:rPr>
        <w:t xml:space="preserve"> Viele fragen neugierig nach Urlaub, Feierabend, Bahn und Recycling.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w:t>
      </w:r>
    </w:p>
    <w:p>
      <w:pPr>
        <w:pStyle w:val="ListParagraph"/>
        <w:numPr>
          <w:ilvl w:val="0"/>
          <w:numId w:val="1"/>
        </w:numPr>
        <w:spacing w:lineRule="exact" w:line="288" w:before="0" w:after="60"/>
        <w:rPr/>
      </w:pPr>
      <w:r>
        <w:rPr>
          <w:rFonts w:eastAsia="Cambria" w:cs="Cambria"/>
          <w:b/>
          <w:bCs/>
          <w:i w:val="false"/>
          <w:iCs w:val="false"/>
          <w:sz w:val="22"/>
          <w:szCs w:val="22"/>
        </w:rPr>
        <w:t>Ungebetene Kritik am Land:</w:t>
      </w:r>
      <w:r>
        <w:rPr>
          <w:rFonts w:eastAsia="Cambria" w:cs="Cambria"/>
          <w:b w:val="false"/>
          <w:bCs w:val="false"/>
          <w:i w:val="false"/>
          <w:iCs w:val="false"/>
          <w:sz w:val="22"/>
          <w:szCs w:val="22"/>
        </w:rPr>
        <w:t xml:space="preserve"> Wer Waffen, Krankenversicherung, Trinkgeld oder Essen kommentiert, wirkt belehrend.</w:t>
      </w:r>
    </w:p>
    <w:p>
      <w:pPr>
        <w:pStyle w:val="ListParagraph"/>
        <w:numPr>
          <w:ilvl w:val="0"/>
          <w:numId w:val="1"/>
        </w:numPr>
        <w:spacing w:lineRule="exact" w:line="288" w:before="0" w:after="60"/>
        <w:rPr/>
      </w:pPr>
      <w:r>
        <w:rPr>
          <w:rFonts w:eastAsia="Cambria" w:cs="Cambria"/>
          <w:b/>
          <w:bCs/>
          <w:i w:val="false"/>
          <w:iCs w:val="false"/>
          <w:sz w:val="22"/>
          <w:szCs w:val="22"/>
        </w:rPr>
        <w:t>Knappe Begrüßung, wenig Lächeln:</w:t>
      </w:r>
      <w:r>
        <w:rPr>
          <w:rFonts w:eastAsia="Cambria" w:cs="Cambria"/>
          <w:b w:val="false"/>
          <w:bCs w:val="false"/>
          <w:i w:val="false"/>
          <w:iCs w:val="false"/>
          <w:sz w:val="22"/>
          <w:szCs w:val="22"/>
        </w:rPr>
        <w:t xml:space="preserve"> Wer sofort zur Sache kommt, wirkt kühl.</w:t>
      </w:r>
    </w:p>
    <w:p>
      <w:pPr>
        <w:pStyle w:val="ListParagraph"/>
        <w:numPr>
          <w:ilvl w:val="0"/>
          <w:numId w:val="1"/>
        </w:numPr>
        <w:spacing w:lineRule="exact" w:line="288" w:before="0" w:after="60"/>
        <w:rPr/>
      </w:pPr>
      <w:r>
        <w:rPr>
          <w:rFonts w:eastAsia="Cambria" w:cs="Cambria"/>
          <w:b/>
          <w:bCs/>
          <w:i w:val="false"/>
          <w:iCs w:val="false"/>
          <w:sz w:val="22"/>
          <w:szCs w:val="22"/>
        </w:rPr>
        <w:t>Feedback ohne Verpackung:</w:t>
      </w:r>
      <w:r>
        <w:rPr>
          <w:rFonts w:eastAsia="Cambria" w:cs="Cambria"/>
          <w:b w:val="false"/>
          <w:bCs w:val="false"/>
          <w:i w:val="false"/>
          <w:iCs w:val="false"/>
          <w:sz w:val="22"/>
          <w:szCs w:val="22"/>
        </w:rPr>
        <w:t xml:space="preserve"> Klare Kritik wird als persönlich erlebt.</w:t>
      </w:r>
    </w:p>
    <w:p>
      <w:pPr>
        <w:pStyle w:val="ListParagraph"/>
        <w:numPr>
          <w:ilvl w:val="0"/>
          <w:numId w:val="1"/>
        </w:numPr>
        <w:spacing w:lineRule="exact" w:line="288" w:before="0" w:after="60"/>
        <w:rPr/>
      </w:pPr>
      <w:r>
        <w:rPr>
          <w:rFonts w:eastAsia="Cambria" w:cs="Cambria"/>
          <w:b/>
          <w:bCs/>
          <w:i w:val="false"/>
          <w:iCs w:val="false"/>
          <w:sz w:val="22"/>
          <w:szCs w:val="22"/>
        </w:rPr>
        <w:t>Regeln durchsetzen:</w:t>
      </w:r>
      <w:r>
        <w:rPr>
          <w:rFonts w:eastAsia="Cambria" w:cs="Cambria"/>
          <w:b w:val="false"/>
          <w:bCs w:val="false"/>
          <w:i w:val="false"/>
          <w:iCs w:val="false"/>
          <w:sz w:val="22"/>
          <w:szCs w:val="22"/>
        </w:rPr>
        <w:t xml:space="preserve"> Nachbarn wegen Lärm oder Parkens zu ermahnen, statt freundlich zu fragen, gilt als übergriffig.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sind willkommen, wenn sie neugierig klingen („In Germany we do it differently, how does it work here?“), und unwillkommen, wenn sie wie Urteile klingen.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offene Alltagsatmosphäre: Kontakt fällt leicht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bleibt oft oberflächlich; echte Freundschaften brauchen Zeit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 Optimismus und Machen-statt-Zaudern motivieren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positive Ton verdeckt Probleme; Kritik kommt indirekt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Kundenservice, großzügige Rückgabe bei vielen Ketten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Trinkgeld und Steuer erhöhen die Restaurantrechnung um rund ein Viertel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gegenüber Zugewanderten und Akzenten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Gespräche, Themenwahl wird zur Übung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 Freiräume: keine Meldepflicht, wenig Alltagsbürokratie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Waivers und Haftungsrisiken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wie Thanksgiving und Super Bowl verbinden schnell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gesetzlicher Urlaub oder Feiertagsanspruch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Spenden und Nachbarschaftshilfe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außerhalb weniger Städte schwer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15 Faustregeln für Deutsche</w:t>
      </w:r>
    </w:p>
    <w:p>
      <w:pPr>
        <w:pStyle w:val="ListParagraph"/>
        <w:numPr>
          <w:ilvl w:val="0"/>
          <w:numId w:val="188"/>
        </w:numPr>
        <w:spacing w:lineRule="exact" w:line="288" w:before="0" w:after="60"/>
        <w:rPr/>
      </w:pPr>
      <w:r>
        <w:rPr>
          <w:rFonts w:eastAsia="Cambria" w:cs="Cambria"/>
          <w:b w:val="false"/>
          <w:bCs w:val="false"/>
          <w:i w:val="false"/>
          <w:iCs w:val="false"/>
          <w:sz w:val="22"/>
          <w:szCs w:val="22"/>
        </w:rPr>
        <w:t>Beantworte „How are you?“ in einem Satz und frage zurück.</w:t>
      </w:r>
    </w:p>
    <w:p>
      <w:pPr>
        <w:pStyle w:val="ListParagraph"/>
        <w:numPr>
          <w:ilvl w:val="0"/>
          <w:numId w:val="189"/>
        </w:numPr>
        <w:spacing w:lineRule="exact" w:line="288" w:before="0" w:after="60"/>
        <w:rPr/>
      </w:pPr>
      <w:r>
        <w:rPr>
          <w:rFonts w:eastAsia="Cambria" w:cs="Cambria"/>
          <w:b w:val="false"/>
          <w:bCs w:val="false"/>
          <w:i w:val="false"/>
          <w:iCs w:val="false"/>
          <w:sz w:val="22"/>
          <w:szCs w:val="22"/>
        </w:rPr>
        <w:t>Nimm „Let’s get lunch sometime“ nicht wörtlich; schlage selbst einen Termin vor, wenn du es ernst meinst.</w:t>
      </w:r>
    </w:p>
    <w:p>
      <w:pPr>
        <w:pStyle w:val="ListParagraph"/>
        <w:numPr>
          <w:ilvl w:val="0"/>
          <w:numId w:val="190"/>
        </w:numPr>
        <w:spacing w:lineRule="exact" w:line="288" w:before="0" w:after="60"/>
        <w:rPr/>
      </w:pPr>
      <w:r>
        <w:rPr>
          <w:rFonts w:eastAsia="Cambria" w:cs="Cambria"/>
          <w:b w:val="false"/>
          <w:bCs w:val="false"/>
          <w:i w:val="false"/>
          <w:iCs w:val="false"/>
          <w:sz w:val="22"/>
          <w:szCs w:val="22"/>
        </w:rPr>
        <w:t>Verpacke Kritik: erst Anerkennung, dann Frage oder Vorschlag, nie „Das ist falsch“.</w:t>
      </w:r>
    </w:p>
    <w:p>
      <w:pPr>
        <w:pStyle w:val="ListParagraph"/>
        <w:numPr>
          <w:ilvl w:val="0"/>
          <w:numId w:val="191"/>
        </w:numPr>
        <w:spacing w:lineRule="exact" w:line="288" w:before="0" w:after="60"/>
        <w:rPr/>
      </w:pPr>
      <w:r>
        <w:rPr>
          <w:rFonts w:eastAsia="Cambria" w:cs="Cambria"/>
          <w:b w:val="false"/>
          <w:bCs w:val="false"/>
          <w:i w:val="false"/>
          <w:iCs w:val="false"/>
          <w:sz w:val="22"/>
          <w:szCs w:val="22"/>
        </w:rPr>
        <w:t>Lobe konkret und oft, und nimm Lob mit „Thank you“ an.</w:t>
      </w:r>
    </w:p>
    <w:p>
      <w:pPr>
        <w:pStyle w:val="ListParagraph"/>
        <w:numPr>
          <w:ilvl w:val="0"/>
          <w:numId w:val="192"/>
        </w:numPr>
        <w:spacing w:lineRule="exact" w:line="288" w:before="0" w:after="60"/>
        <w:rPr/>
      </w:pPr>
      <w:r>
        <w:rPr>
          <w:rFonts w:eastAsia="Cambria" w:cs="Cambria"/>
          <w:b w:val="false"/>
          <w:bCs w:val="false"/>
          <w:i w:val="false"/>
          <w:iCs w:val="false"/>
          <w:sz w:val="22"/>
          <w:szCs w:val="22"/>
        </w:rPr>
        <w:t>Nutze Vornamen; Titel nur bei Ärzten, Lehrkräften und Älteren, im Süden „Sir“ und „Ma’am“.</w:t>
      </w:r>
    </w:p>
    <w:p>
      <w:pPr>
        <w:pStyle w:val="ListParagraph"/>
        <w:numPr>
          <w:ilvl w:val="0"/>
          <w:numId w:val="193"/>
        </w:numPr>
        <w:spacing w:lineRule="exact" w:line="288" w:before="0" w:after="60"/>
        <w:rPr/>
      </w:pPr>
      <w:r>
        <w:rPr>
          <w:rFonts w:eastAsia="Cambria" w:cs="Cambria"/>
          <w:b w:val="false"/>
          <w:bCs w:val="false"/>
          <w:i w:val="false"/>
          <w:iCs w:val="false"/>
          <w:sz w:val="22"/>
          <w:szCs w:val="22"/>
        </w:rPr>
        <w:t>Halte eine Armlänge Abstand, gib die Hand und warte bei der Umarmung ab.</w:t>
      </w:r>
    </w:p>
    <w:p>
      <w:pPr>
        <w:pStyle w:val="ListParagraph"/>
        <w:numPr>
          <w:ilvl w:val="0"/>
          <w:numId w:val="194"/>
        </w:numPr>
        <w:spacing w:lineRule="exact" w:line="288" w:before="0" w:after="60"/>
        <w:rPr/>
      </w:pPr>
      <w:r>
        <w:rPr>
          <w:rFonts w:eastAsia="Cambria" w:cs="Cambria"/>
          <w:b w:val="false"/>
          <w:bCs w:val="false"/>
          <w:i w:val="false"/>
          <w:iCs w:val="false"/>
          <w:sz w:val="22"/>
          <w:szCs w:val="22"/>
        </w:rPr>
        <w:t>Sei im Job pünktlich, zu privaten Einladungen 5 bis 15 Minuten später, und beantworte jedes RSVP.</w:t>
      </w:r>
    </w:p>
    <w:p>
      <w:pPr>
        <w:pStyle w:val="ListParagraph"/>
        <w:numPr>
          <w:ilvl w:val="0"/>
          <w:numId w:val="195"/>
        </w:numPr>
        <w:spacing w:lineRule="exact" w:line="288" w:before="0" w:after="60"/>
        <w:rPr/>
      </w:pPr>
      <w:r>
        <w:rPr>
          <w:rFonts w:eastAsia="Cambria" w:cs="Cambria"/>
          <w:b w:val="false"/>
          <w:bCs w:val="false"/>
          <w:i w:val="false"/>
          <w:iCs w:val="false"/>
          <w:sz w:val="22"/>
          <w:szCs w:val="22"/>
        </w:rPr>
        <w:t>Rechne im Restaurant mit 25–30 % Aufschlag auf die Karte und im Laden mit Steuer an der Kasse.</w:t>
      </w:r>
    </w:p>
    <w:p>
      <w:pPr>
        <w:pStyle w:val="ListParagraph"/>
        <w:numPr>
          <w:ilvl w:val="0"/>
          <w:numId w:val="196"/>
        </w:numPr>
        <w:spacing w:lineRule="exact" w:line="288" w:before="0" w:after="60"/>
        <w:rPr/>
      </w:pPr>
      <w:r>
        <w:rPr>
          <w:rFonts w:eastAsia="Cambria" w:cs="Cambria"/>
          <w:b w:val="false"/>
          <w:bCs w:val="false"/>
          <w:i w:val="false"/>
          <w:iCs w:val="false"/>
          <w:sz w:val="22"/>
          <w:szCs w:val="22"/>
        </w:rPr>
        <w:t>Halte kleine Scheine für Trinkgeld bereit: Gepäckträger, Parkservice, Hotelreinigung.</w:t>
      </w:r>
    </w:p>
    <w:p>
      <w:pPr>
        <w:pStyle w:val="ListParagraph"/>
        <w:numPr>
          <w:ilvl w:val="0"/>
          <w:numId w:val="197"/>
        </w:numPr>
        <w:spacing w:lineRule="exact" w:line="288" w:before="0" w:after="60"/>
        <w:rPr/>
      </w:pPr>
      <w:r>
        <w:rPr>
          <w:rFonts w:eastAsia="Cambria" w:cs="Cambria"/>
          <w:b w:val="false"/>
          <w:bCs w:val="false"/>
          <w:i w:val="false"/>
          <w:iCs w:val="false"/>
          <w:sz w:val="22"/>
          <w:szCs w:val="22"/>
        </w:rPr>
        <w:t>Meide bei Fremden Politik, Religion, Gehalt und Waffen; frage nie, wen jemand wählt.</w:t>
      </w:r>
    </w:p>
    <w:p>
      <w:pPr>
        <w:pStyle w:val="ListParagraph"/>
        <w:numPr>
          <w:ilvl w:val="0"/>
          <w:numId w:val="198"/>
        </w:numPr>
        <w:spacing w:lineRule="exact" w:line="288" w:before="0" w:after="60"/>
        <w:rPr/>
      </w:pPr>
      <w:r>
        <w:rPr>
          <w:rFonts w:eastAsia="Cambria" w:cs="Cambria"/>
          <w:b w:val="false"/>
          <w:bCs w:val="false"/>
          <w:i w:val="false"/>
          <w:iCs w:val="false"/>
          <w:sz w:val="22"/>
          <w:szCs w:val="22"/>
        </w:rPr>
        <w:t>Kommentiere Flaggen, Wahlplakate und Abzeichen nicht und stehe bei der Hymne auf.</w:t>
      </w:r>
    </w:p>
    <w:p>
      <w:pPr>
        <w:pStyle w:val="ListParagraph"/>
        <w:numPr>
          <w:ilvl w:val="0"/>
          <w:numId w:val="199"/>
        </w:numPr>
        <w:spacing w:lineRule="exact" w:line="288" w:before="0" w:after="60"/>
        <w:rPr/>
      </w:pPr>
      <w:r>
        <w:rPr>
          <w:rFonts w:eastAsia="Cambria" w:cs="Cambria"/>
          <w:b w:val="false"/>
          <w:bCs w:val="false"/>
          <w:i w:val="false"/>
          <w:iCs w:val="false"/>
          <w:sz w:val="22"/>
          <w:szCs w:val="22"/>
        </w:rPr>
        <w:t>Lies jeden Haftungsverzicht und schließe eine Haftpflicht ab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200"/>
        </w:numPr>
        <w:spacing w:lineRule="exact" w:line="288" w:before="0" w:after="60"/>
        <w:rPr/>
      </w:pPr>
      <w:r>
        <w:rPr>
          <w:rFonts w:eastAsia="Cambria" w:cs="Cambria"/>
          <w:b w:val="false"/>
          <w:bCs w:val="false"/>
          <w:i w:val="false"/>
          <w:iCs w:val="false"/>
          <w:sz w:val="22"/>
          <w:szCs w:val="22"/>
        </w:rPr>
        <w:t>Trinke nur in Bars, Restaurants und Privaträumen, nimm den Ausweis mit und meide Cannabis, solange du kein Staatsbürger bist.</w:t>
      </w:r>
    </w:p>
    <w:p>
      <w:pPr>
        <w:pStyle w:val="ListParagraph"/>
        <w:numPr>
          <w:ilvl w:val="0"/>
          <w:numId w:val="201"/>
        </w:numPr>
        <w:spacing w:lineRule="exact" w:line="288" w:before="0" w:after="60"/>
        <w:rPr/>
      </w:pPr>
      <w:r>
        <w:rPr>
          <w:rFonts w:eastAsia="Cambria" w:cs="Cambria"/>
          <w:b w:val="false"/>
          <w:bCs w:val="false"/>
          <w:i w:val="false"/>
          <w:iCs w:val="false"/>
          <w:sz w:val="22"/>
          <w:szCs w:val="22"/>
        </w:rPr>
        <w:t>Melde als Nichtstaatsbürger jeden Umzug binnen 10 Tagen mit Form AR-11, obwohl es keine Anmeldepflicht gibt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02"/>
        </w:numPr>
        <w:spacing w:lineRule="exact" w:line="288" w:before="0" w:after="60"/>
        <w:rPr/>
      </w:pPr>
      <w:r>
        <w:rPr>
          <w:rFonts w:eastAsia="Cambria" w:cs="Cambria"/>
          <w:b w:val="false"/>
          <w:bCs w:val="false"/>
          <w:i w:val="false"/>
          <w:iCs w:val="false"/>
          <w:sz w:val="22"/>
          <w:szCs w:val="22"/>
        </w:rPr>
        <w:t>Beschreibe Unterschiede neugierig statt wertend, und gib dir Zeit zur Eingewöhnung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 in den ersten Wochen die Rituale (Begrüßung, Small Talk, Trinkgeld) und beobachte, wie Kolleginnen, Nachbarn und andere Eltern es machen. Wenn dich die Unterschiede mehr belasten als amüsieren, lies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für Anschluss und Einladungen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Antworten auf „How are you?“ und drei Small-Talk-Themen (Wetter, Wochenende, Reisen) einüben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Restaurants 25–30 % Aufschlag einplanen und kleine Scheine für Trinkgeld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Steuersatz des Wohnorts bei der Finanzbehörde des Bundesstaats nachschlagen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oder US-Führerschein für Bars und Läden (Altersgrenze 21)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Haftpflichtschutz in der Mieter- oder Hausversicherung prüfen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Waivers vor der Unterschrift 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mit RSVP beantworten und Termine im US-Datumsformat (Monat zuerst) gegenprüfen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Kassenbons und Rückgabefristen von Käufen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Nichtstaatsbürger: Cannabis meiden, keine Wahlspenden bei befristetem Visum, Umzüge mit AR-11 melden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Öffentliche Social-Media-Profile darauf prüfen, was Behörden und Arbeitgeber sehen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Feiertage (Thanksgiving, Halloween, Super Bowl) eintragen und Einladungen annehmen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Pew Research Center — Religion und Waffenbesitz in den USA (</w:t>
      </w:r>
      <w:hyperlink r:id="rId300">
        <w:r>
          <w:rPr>
            <w:rStyle w:val="ListLabel113"/>
            <w:rFonts w:eastAsia="Cambria" w:cs="Cambria"/>
            <w:b w:val="false"/>
            <w:bCs w:val="false"/>
            <w:i w:val="false"/>
            <w:iCs w:val="false"/>
            <w:color w:val="0563C1"/>
            <w:sz w:val="22"/>
            <w:szCs w:val="22"/>
            <w:u w:val="single"/>
          </w:rPr>
          <w:t>pewresearch.org/religion</w:t>
        </w:r>
      </w:hyperlink>
      <w:r>
        <w:rPr>
          <w:rFonts w:eastAsia="Cambria" w:cs="Cambria"/>
          <w:b w:val="false"/>
          <w:bCs w:val="false"/>
          <w:i w:val="false"/>
          <w:iCs w:val="false"/>
          <w:sz w:val="22"/>
          <w:szCs w:val="22"/>
        </w:rPr>
        <w:t xml:space="preserve">, </w:t>
      </w:r>
      <w:hyperlink r:id="rId301">
        <w:r>
          <w:rPr>
            <w:rStyle w:val="ListLabel113"/>
            <w:rFonts w:eastAsia="Cambria" w:cs="Cambria"/>
            <w:b w:val="false"/>
            <w:bCs w:val="false"/>
            <w:i w:val="false"/>
            <w:iCs w:val="false"/>
            <w:color w:val="0563C1"/>
            <w:sz w:val="22"/>
            <w:szCs w:val="22"/>
            <w:u w:val="single"/>
          </w:rPr>
          <w:t>pewresearch.org/short-reads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(DOL) — Mindestlohn für Trinkgeldempfänger (</w:t>
      </w:r>
      <w:hyperlink r:id="rId302">
        <w:r>
          <w:rPr>
            <w:rStyle w:val="ListLabel113"/>
            <w:rFonts w:eastAsia="Cambria" w:cs="Cambria"/>
            <w:b w:val="false"/>
            <w:bCs w:val="false"/>
            <w:i w:val="false"/>
            <w:iCs w:val="false"/>
            <w:color w:val="0563C1"/>
            <w:sz w:val="22"/>
            <w:szCs w:val="22"/>
            <w:u w:val="single"/>
          </w:rPr>
          <w:t>dol.gov/agencies/whd</w:t>
        </w:r>
      </w:hyperlink>
      <w:r>
        <w:rPr>
          <w:rFonts w:eastAsia="Cambria" w:cs="Cambria"/>
          <w:b w:val="false"/>
          <w:bCs w:val="false"/>
          <w:i w:val="false"/>
          <w:iCs w:val="false"/>
          <w:sz w:val="22"/>
          <w:szCs w:val="22"/>
        </w:rPr>
        <w:t>, Suche: tipped employees)</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Regel gegen versteckte Gebühren (</w:t>
      </w:r>
      <w:hyperlink r:id="rId303">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Rule on Unfair or Deceptive Fees)</w:t>
      </w:r>
    </w:p>
    <w:p>
      <w:pPr>
        <w:pStyle w:val="ListParagraph"/>
        <w:numPr>
          <w:ilvl w:val="0"/>
          <w:numId w:val="1"/>
        </w:numPr>
        <w:spacing w:lineRule="exact" w:line="288" w:before="0" w:after="60"/>
        <w:rPr/>
      </w:pPr>
      <w:r>
        <w:rPr>
          <w:rFonts w:eastAsia="Cambria" w:cs="Cambria"/>
          <w:b w:val="false"/>
          <w:bCs w:val="false"/>
          <w:i w:val="false"/>
          <w:iCs w:val="false"/>
          <w:sz w:val="22"/>
          <w:szCs w:val="22"/>
        </w:rPr>
        <w:t>Wahlkommission FEC — Wahlspenden von Ausländern (</w:t>
      </w:r>
      <w:hyperlink r:id="rId304">
        <w:r>
          <w:rPr>
            <w:rStyle w:val="ListLabel113"/>
            <w:rFonts w:eastAsia="Cambria" w:cs="Cambria"/>
            <w:b w:val="false"/>
            <w:bCs w:val="false"/>
            <w:i w:val="false"/>
            <w:iCs w:val="false"/>
            <w:color w:val="0563C1"/>
            <w:sz w:val="22"/>
            <w:szCs w:val="22"/>
            <w:u w:val="single"/>
          </w:rPr>
          <w:t>fec.gov</w:t>
        </w:r>
      </w:hyperlink>
      <w:r>
        <w:rPr>
          <w:rFonts w:eastAsia="Cambria" w:cs="Cambria"/>
          <w:b w:val="false"/>
          <w:bCs w:val="false"/>
          <w:i w:val="false"/>
          <w:iCs w:val="false"/>
          <w:sz w:val="22"/>
          <w:szCs w:val="22"/>
        </w:rPr>
        <w:t>, Suche: foreign nationals)</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Cannabis und Einwanderungsrecht (</w:t>
      </w:r>
      <w:hyperlink r:id="rId305">
        <w:r>
          <w:rPr>
            <w:rStyle w:val="ListLabel113"/>
            <w:rFonts w:eastAsia="Cambria" w:cs="Cambria"/>
            <w:b w:val="false"/>
            <w:bCs w:val="false"/>
            <w:i w:val="false"/>
            <w:iCs w:val="false"/>
            <w:color w:val="0563C1"/>
            <w:sz w:val="22"/>
            <w:szCs w:val="22"/>
            <w:u w:val="single"/>
          </w:rPr>
          <w:t>uscis.gov/policy-manual</w:t>
        </w:r>
      </w:hyperlink>
      <w:r>
        <w:rPr>
          <w:rFonts w:eastAsia="Cambria" w:cs="Cambria"/>
          <w:b w:val="false"/>
          <w:bCs w:val="false"/>
          <w:i w:val="false"/>
          <w:iCs w:val="false"/>
          <w:sz w:val="22"/>
          <w:szCs w:val="22"/>
        </w:rPr>
        <w:t>, Suche: marijuana)</w:t>
      </w:r>
    </w:p>
    <w:p>
      <w:pPr>
        <w:pStyle w:val="ListParagraph"/>
        <w:numPr>
          <w:ilvl w:val="0"/>
          <w:numId w:val="1"/>
        </w:numPr>
        <w:spacing w:lineRule="exact" w:line="288" w:before="0" w:after="60"/>
        <w:rPr/>
      </w:pPr>
      <w:r>
        <w:rPr>
          <w:rFonts w:eastAsia="Cambria" w:cs="Cambria"/>
          <w:b w:val="false"/>
          <w:bCs w:val="false"/>
          <w:i w:val="false"/>
          <w:iCs w:val="false"/>
          <w:sz w:val="22"/>
          <w:szCs w:val="22"/>
        </w:rPr>
        <w:t>Drogenbehörde DEA — Stand der Cannabis-Umstufung (</w:t>
      </w:r>
      <w:hyperlink r:id="rId30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Personalverwaltung OPM — Bundesfeiertage (</w:t>
      </w:r>
      <w:hyperlink r:id="rId307">
        <w:r>
          <w:rPr>
            <w:rStyle w:val="ListLabel113"/>
            <w:rFonts w:eastAsia="Cambria" w:cs="Cambria"/>
            <w:b w:val="false"/>
            <w:bCs w:val="false"/>
            <w:i w:val="false"/>
            <w:iCs w:val="false"/>
            <w:color w:val="0563C1"/>
            <w:sz w:val="22"/>
            <w:szCs w:val="22"/>
            <w:u w:val="single"/>
          </w:rPr>
          <w:t>opm.gov/policy-data-oversight/pay-leave/federal-holidays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Alkoholforschungsinstitut NIAAA — Alkoholgesetze der Bundesstaaten (</w:t>
      </w:r>
      <w:hyperlink r:id="rId308">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9" w:name="__RefHeading___Toc56504_3457424410"/>
      <w:bookmarkStart w:id="80" w:name="k32"/>
      <w:bookmarkEnd w:id="79"/>
      <w:r>
        <w:rPr>
          <w:rFonts w:eastAsia="Amazon Ember" w:cs="Amazon Ember" w:ascii="Amazon Ember" w:hAnsi="Amazon Ember"/>
          <w:b/>
          <w:bCs/>
          <w:color w:val="0000FF"/>
          <w:sz w:val="36"/>
          <w:szCs w:val="36"/>
        </w:rPr>
        <w:t>Kapitel 32: Freunde finden in einem neuen Land</w:t>
      </w:r>
      <w:bookmarkEnd w:id="80"/>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wie aus Höflichkeitsfloskeln Verabredungen werden und wie du die Freundschaften in der Heimat nicht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Freundschaft ist eine Frage der Zeit: Eine US-Studie nennt rund 50 Stunden gemeinsamer Zeit bis zur lockeren Freundschaft und über 200 bis zur engen. Bei zwei Stunden pro Woche sind das etwa ein halbes Jahr und zwei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Wiederholung schlägt Intensität: dieselbe Gruppe, derselbe Ort, jede Woche.</w:t>
            </w:r>
          </w:p>
          <w:p>
            <w:pPr>
              <w:pStyle w:val="ListParagraph"/>
              <w:numPr>
                <w:ilvl w:val="0"/>
                <w:numId w:val="1"/>
              </w:numPr>
              <w:spacing w:lineRule="exact" w:line="264" w:before="0" w:after="50"/>
              <w:rPr/>
            </w:pPr>
            <w:r>
              <w:rPr>
                <w:rFonts w:eastAsia="Cambria" w:cs="Cambria"/>
                <w:b w:val="false"/>
                <w:bCs w:val="false"/>
                <w:i w:val="false"/>
                <w:iCs w:val="false"/>
                <w:sz w:val="20"/>
                <w:szCs w:val="20"/>
              </w:rPr>
              <w:t>Die Initiative liegt meist bei dir. „Let’s get coffee“ wird erst mit Tag, Uhrzeit und Ort zur Verabredung.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schnellsten gelingt es über Kinder, Sport, Gemeinde, Ehrenamt und Kurse; Apps öffnen Türen, ersetzen aber keine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Zu Einladungen gehören Zu- oder Absage (</w:t>
            </w:r>
            <w:r>
              <w:rPr>
                <w:rFonts w:eastAsia="Cambria" w:cs="Cambria"/>
                <w:b w:val="false"/>
                <w:bCs w:val="false"/>
                <w:i/>
                <w:iCs/>
                <w:sz w:val="20"/>
                <w:szCs w:val="20"/>
              </w:rPr>
              <w:t>RSVP</w:t>
            </w:r>
            <w:r>
              <w:rPr>
                <w:rFonts w:eastAsia="Cambria" w:cs="Cambria"/>
                <w:b w:val="false"/>
                <w:bCs w:val="false"/>
                <w:i w:val="false"/>
                <w:iCs w:val="false"/>
                <w:sz w:val="20"/>
                <w:szCs w:val="20"/>
              </w:rPr>
              <w:t>), eine kleine Gabe und später die Gegeneinladung.</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braucht feste Termine außerhalb der Wohnung; Freunde in Deutschland brauchen feste Rituale.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es länger dauert, als du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stammen viele Freundschaften aus Schule, Studium oder Verein und sind über Jahre gewachsen. In den USA beginnst du ohne diese Abkürzung. Drei Dinge bremsen zusätzlich.</w:t>
      </w:r>
    </w:p>
    <w:p>
      <w:pPr>
        <w:pStyle w:val="Normal"/>
        <w:keepNext w:val="false"/>
        <w:keepLines w:val="false"/>
        <w:spacing w:lineRule="exact" w:line="288" w:before="0" w:after="140"/>
        <w:jc w:val="left"/>
        <w:rPr/>
      </w:pPr>
      <w:r>
        <w:rPr>
          <w:rFonts w:eastAsia="Cambria" w:cs="Cambria"/>
          <w:b/>
          <w:bCs/>
          <w:i w:val="false"/>
          <w:iCs w:val="false"/>
          <w:sz w:val="22"/>
          <w:szCs w:val="22"/>
        </w:rPr>
        <w:t>Verbreiteter Irrtum: Amerikaner sind so offen, da hat man schnell Freunde.</w:t>
      </w:r>
      <w:r>
        <w:rPr>
          <w:rFonts w:eastAsia="Cambria" w:cs="Cambria"/>
          <w:b w:val="false"/>
          <w:bCs w:val="false"/>
          <w:i w:val="false"/>
          <w:iCs w:val="false"/>
          <w:sz w:val="22"/>
          <w:szCs w:val="22"/>
        </w:rPr>
        <w:t xml:space="preserve"> Viele Amerikaner sprechen Fremde offen an, loben deine Jacke und wünschen dir einen schönen Tag. Tatsächlich ist das gelebte Höflichkeit, noch keine Einladung in ihr Leben – der Abstand zwischen Kontakt und Freundschaft ist in den USA eher größer als in Deutschland, nur die erste Tür geht leichter auf. Warum das so ist, erklärt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hier geht es darum, was du daraus machst.</w:t>
      </w:r>
    </w:p>
    <w:p>
      <w:pPr>
        <w:pStyle w:val="Normal"/>
        <w:keepNext w:val="false"/>
        <w:keepLines w:val="false"/>
        <w:spacing w:lineRule="exact" w:line="288" w:before="0" w:after="140"/>
        <w:jc w:val="left"/>
        <w:rPr/>
      </w:pPr>
      <w:r>
        <w:rPr>
          <w:rFonts w:eastAsia="Cambria" w:cs="Cambria"/>
          <w:b/>
          <w:bCs/>
          <w:i w:val="false"/>
          <w:iCs w:val="false"/>
          <w:sz w:val="22"/>
          <w:szCs w:val="22"/>
        </w:rPr>
        <w:t>Hohe Mobilität.</w:t>
      </w:r>
      <w:r>
        <w:rPr>
          <w:rFonts w:eastAsia="Cambria" w:cs="Cambria"/>
          <w:b w:val="false"/>
          <w:bCs w:val="false"/>
          <w:i w:val="false"/>
          <w:iCs w:val="false"/>
          <w:sz w:val="22"/>
          <w:szCs w:val="22"/>
        </w:rPr>
        <w:t xml:space="preserve"> Nach Daten des Census Bureau (amtliche Statistikbehörde) zogen 2024 rund 12 % der Bevölkerung innerhalb eines Jahres um, gut 2 % in einen anderen Bundesstaat. Kollegen wechseln den Arbeitgeber, Nachbarn die Stadt, viele Visainhaber Stelle oder Land. Neue Kontakte entstehen dadurch leicht, laufen aber ebenso leicht wieder auseinander.</w:t>
      </w:r>
    </w:p>
    <w:p>
      <w:pPr>
        <w:pStyle w:val="Normal"/>
        <w:keepNext w:val="false"/>
        <w:keepLines w:val="false"/>
        <w:spacing w:lineRule="exact" w:line="288" w:before="0" w:after="140"/>
        <w:jc w:val="left"/>
        <w:rPr/>
      </w:pPr>
      <w:r>
        <w:rPr>
          <w:rFonts w:eastAsia="Cambria" w:cs="Cambria"/>
          <w:b/>
          <w:bCs/>
          <w:i w:val="false"/>
          <w:iCs w:val="false"/>
          <w:sz w:val="22"/>
          <w:szCs w:val="22"/>
        </w:rPr>
        <w:t>Volle Kalender.</w:t>
      </w:r>
      <w:r>
        <w:rPr>
          <w:rFonts w:eastAsia="Cambria" w:cs="Cambria"/>
          <w:b w:val="false"/>
          <w:bCs w:val="false"/>
          <w:i w:val="false"/>
          <w:iCs w:val="false"/>
          <w:sz w:val="22"/>
          <w:szCs w:val="22"/>
        </w:rPr>
        <w:t xml:space="preserve"> Berufstätige Eltern jonglieren Arbeit, Fahrdienste, Turniere am Wochenende und Kindergeburtstage. Wer für morgen fragt, hört häufig: „Not this week, but how about the week after?“ Verabredungen mit Erwachsenen liegen oft Wochen in der Zukunft.</w:t>
      </w:r>
    </w:p>
    <w:p>
      <w:pPr>
        <w:pStyle w:val="Normal"/>
        <w:keepNext w:val="false"/>
        <w:keepLines w:val="false"/>
        <w:spacing w:lineRule="exact" w:line="288" w:before="0" w:after="140"/>
        <w:jc w:val="left"/>
        <w:rPr/>
      </w:pPr>
      <w:r>
        <w:rPr>
          <w:rFonts w:eastAsia="Cambria" w:cs="Cambria"/>
          <w:b/>
          <w:bCs/>
          <w:i w:val="false"/>
          <w:iCs w:val="false"/>
          <w:sz w:val="22"/>
          <w:szCs w:val="22"/>
        </w:rPr>
        <w:t>Die Rechnung.</w:t>
      </w:r>
      <w:r>
        <w:rPr>
          <w:rFonts w:eastAsia="Cambria" w:cs="Cambria"/>
          <w:b w:val="false"/>
          <w:bCs w:val="false"/>
          <w:i w:val="false"/>
          <w:iCs w:val="false"/>
          <w:sz w:val="22"/>
          <w:szCs w:val="22"/>
        </w:rPr>
        <w:t xml:space="preserve">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aber sie erklären, warum sich die ersten Monate zäh anfühlen.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Freundschaft entsteht durch Wiederholung, nicht durch einen einzelnen großen Abend. Suche dir wenige Orte, an denen du dieselben Menschen regelmäßig triffst, und bleib mindestens zwei Monate am Ball, bevor du urteilst.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 „Let’s get coffee“ wird ein Termin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pPr>
        <w:pStyle w:val="ListParagraph"/>
        <w:numPr>
          <w:ilvl w:val="0"/>
          <w:numId w:val="203"/>
        </w:numPr>
        <w:spacing w:lineRule="exact" w:line="288" w:before="0" w:after="60"/>
        <w:rPr/>
      </w:pPr>
      <w:r>
        <w:rPr>
          <w:rFonts w:eastAsia="Cambria" w:cs="Cambria"/>
          <w:b w:val="false"/>
          <w:bCs w:val="false"/>
          <w:i w:val="false"/>
          <w:iCs w:val="false"/>
          <w:sz w:val="22"/>
          <w:szCs w:val="22"/>
        </w:rPr>
        <w:t>Tausche die Handynummer aus. Verabredungen laufen in den USA meist per Kurznachricht (</w:t>
      </w:r>
      <w:r>
        <w:rPr>
          <w:rFonts w:eastAsia="Cambria" w:cs="Cambria"/>
          <w:b w:val="false"/>
          <w:bCs w:val="false"/>
          <w:i/>
          <w:iCs/>
          <w:sz w:val="22"/>
          <w:szCs w:val="22"/>
        </w:rPr>
        <w:t>Text</w:t>
      </w:r>
      <w:r>
        <w:rPr>
          <w:rFonts w:eastAsia="Cambria" w:cs="Cambria"/>
          <w:b w:val="false"/>
          <w:bCs w:val="false"/>
          <w:i w:val="false"/>
          <w:iCs w:val="false"/>
          <w:sz w:val="22"/>
          <w:szCs w:val="22"/>
        </w:rPr>
        <w:t>: SMS oder iMessage); WhatsApp ist weniger verbreitet als in Deutschland.</w:t>
      </w:r>
    </w:p>
    <w:p>
      <w:pPr>
        <w:pStyle w:val="ListParagraph"/>
        <w:numPr>
          <w:ilvl w:val="0"/>
          <w:numId w:val="204"/>
        </w:numPr>
        <w:spacing w:lineRule="exact" w:line="288" w:before="0" w:after="60"/>
        <w:rPr/>
      </w:pPr>
      <w:r>
        <w:rPr>
          <w:rFonts w:eastAsia="Cambria" w:cs="Cambria"/>
          <w:b w:val="false"/>
          <w:bCs w:val="false"/>
          <w:i w:val="false"/>
          <w:iCs w:val="false"/>
          <w:sz w:val="22"/>
          <w:szCs w:val="22"/>
        </w:rPr>
        <w:t>Schreibe innerhalb von zwei bis drei Tagen und nenne zwei konkrete Termine: „Hi Jordan, great chatting on Tuesday! Coffee on Saturday at 10 or Thursday after work? I know a café near your office.“</w:t>
      </w:r>
    </w:p>
    <w:p>
      <w:pPr>
        <w:pStyle w:val="ListParagraph"/>
        <w:numPr>
          <w:ilvl w:val="0"/>
          <w:numId w:val="205"/>
        </w:numPr>
        <w:spacing w:lineRule="exact" w:line="288" w:before="0" w:after="60"/>
        <w:rPr/>
      </w:pPr>
      <w:r>
        <w:rPr>
          <w:rFonts w:eastAsia="Cambria" w:cs="Cambria"/>
          <w:b w:val="false"/>
          <w:bCs w:val="false"/>
          <w:i w:val="false"/>
          <w:iCs w:val="false"/>
          <w:sz w:val="22"/>
          <w:szCs w:val="22"/>
        </w:rPr>
        <w:t>Halte es klein: 30 bis 60 Minuten, ein Getränk, ein öffentlicher Ort. Das gemeinsame Abendessen kommt später.</w:t>
      </w:r>
    </w:p>
    <w:p>
      <w:pPr>
        <w:pStyle w:val="ListParagraph"/>
        <w:numPr>
          <w:ilvl w:val="0"/>
          <w:numId w:val="206"/>
        </w:numPr>
        <w:spacing w:lineRule="exact" w:line="288" w:before="0" w:after="60"/>
        <w:rPr/>
      </w:pPr>
      <w:r>
        <w:rPr>
          <w:rFonts w:eastAsia="Cambria" w:cs="Cambria"/>
          <w:b w:val="false"/>
          <w:bCs w:val="false"/>
          <w:i w:val="false"/>
          <w:iCs w:val="false"/>
          <w:sz w:val="22"/>
          <w:szCs w:val="22"/>
        </w:rP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pPr>
        <w:pStyle w:val="ListParagraph"/>
        <w:numPr>
          <w:ilvl w:val="0"/>
          <w:numId w:val="207"/>
        </w:numPr>
        <w:spacing w:lineRule="exact" w:line="288" w:before="0" w:after="60"/>
        <w:rPr/>
      </w:pPr>
      <w:r>
        <w:rPr>
          <w:rFonts w:eastAsia="Cambria" w:cs="Cambria"/>
          <w:b w:val="false"/>
          <w:bCs w:val="false"/>
          <w:i w:val="false"/>
          <w:iCs w:val="false"/>
          <w:sz w:val="22"/>
          <w:szCs w:val="22"/>
        </w:rPr>
        <w:t>Kommt eine Absage mit „Let’s reschedule“, schlage einen neuen Termin vor. Wird auch der verschoben, verteile deine Energie auf andere Kontakte.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842"/>
        <w:gridCol w:w="2022"/>
        <w:gridCol w:w="2616"/>
      </w:tblGrid>
      <w:tr>
        <w:trPr>
          <w:tblHeader w:val="true"/>
          <w:cantSplit w:val="true"/>
        </w:trPr>
        <w:tc>
          <w:tcPr>
            <w:tcW w:w="1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hörst</w:t>
            </w:r>
          </w:p>
        </w:tc>
        <w:tc>
          <w:tcPr>
            <w:tcW w:w="2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meist gemeint ist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 nächster Schritt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hang out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Höflichkeit, oft mit echter Sympathie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Terminvorschläge senden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Let me know when you’re free.“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Ball liegt bei dir</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konkretes Datum nennen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You should come over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Tür, noch keine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Gern! Passt der Samstag in zwei Wochen?“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We’re having people over Saturday at 6. Can you make it?“</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Echte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Zeitnah antworten, fragen, was du mitbringst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Maybe next 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Absage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nachhaken, später etwas anderes anbieten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lernst du wen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Ort passt für alle. Die Tabelle ordnet die wichtigsten Wege nach Zielgruppe, Aufwand und Tempo; die folgenden Abschnitte erklären sie.</w:t>
      </w:r>
    </w:p>
    <w:tbl>
      <w:tblPr>
        <w:tblW w:w="6480" w:type="dxa"/>
        <w:jc w:val="left"/>
        <w:tblInd w:w="0" w:type="dxa"/>
        <w:tblLayout w:type="fixed"/>
        <w:tblCellMar>
          <w:top w:w="50" w:type="dxa"/>
          <w:left w:w="80" w:type="dxa"/>
          <w:bottom w:w="50" w:type="dxa"/>
          <w:right w:w="80" w:type="dxa"/>
        </w:tblCellMar>
      </w:tblPr>
      <w:tblGrid>
        <w:gridCol w:w="2163"/>
        <w:gridCol w:w="1669"/>
        <w:gridCol w:w="1274"/>
        <w:gridCol w:w="1373"/>
      </w:tblGrid>
      <w:tr>
        <w:trPr>
          <w:tblHeader w:val="true"/>
          <w:cantSplit w:val="true"/>
        </w:trPr>
        <w:tc>
          <w:tcPr>
            <w:tcW w:w="21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Aufwand</w:t>
            </w:r>
          </w:p>
        </w:tc>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Kindersport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Termine, Fahrdienste</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Employee Resource Groups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Berufstätige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Kontakte wechseln oft</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Laufgruppe, Pickleball, Kletterhalle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Bibliothek, Community College, Kurse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ideal ohne Job</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Glaubensgemeinschaft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Suchende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 bis 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Ehrenamt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ohne Job, Alleinstehende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und Apps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und Expat-Gruppen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Neuankömmlinge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zieht im März nach Seattle. Die Kollegen sind freundlich, doch nach sechs Wochen hat sie noch keine einzige Einladung. Sie ändert ihre Strategie, belegt einen Anfängerkurs in einer Kletterhalle (sechs Wochentermine) und schließt sich einer Wandergruppe an, die sich über Meetup verabredet. Nach dem dritten Kurstermin schreibt sie einer Mitschülerin: „Coffee after class on Thursday? There’s a café around the corner.“ Von fünf solchen Vorschlägen im ersten Vierteljahr führen zwei zu einem Treffen, einer zu einer festen Kletterverabredung. Im September lädt Sabine erstmals selbst ein, zu Kaffee und Kuchen auf dem Balkon. Sechs Personen sagen zu, vier kommen; eine bringt unaufgefordert eine Flasche Wein mit und bleibt, als die anderen längst gegangen sind, noch eine Stunde sitzen – das erste Gespräch, das sich nicht mehr wie Small Talk anfühlt. Ihr Fazit: Es dauerte länger als gedacht, aber es lag an der Zahl der Wiederholungen, nicht an der Stadt.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Kindern: Schule, Sport, Playdates, Geburtstage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sind der schnellste Weg zu neuen Kontakten, denn sie bringen Eltern regelmäßig an denselben Ort. An der Schule (mehr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siehst du beim Bringen, am Elternabend und beim Herbstfest immer wieder dieselben Gesichter. 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Association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Organization</w:t>
      </w:r>
      <w:r>
        <w:rPr>
          <w:rFonts w:eastAsia="Cambria" w:cs="Cambria"/>
          <w:b w:val="false"/>
          <w:bCs w:val="false"/>
          <w:i w:val="false"/>
          <w:iCs w:val="false"/>
          <w:sz w:val="22"/>
          <w:szCs w:val="22"/>
        </w:rPr>
        <w:t>), der Elternverein der Schule, sucht ständig Helfer für Feste und Spendenaktionen; wer sich meldet, kennt nach einem Halbjahr viele Eltern. Dasselbe gilt für Klassenausflüge und Elterngruppen der Kita. Beim Kindersport (Fußball, Baseball, Schwimmen, Pfadfinder) stehen Eltern wöchentlich am Spielfeldrand, und Fahrgemeinschaften (</w:t>
      </w:r>
      <w:r>
        <w:rPr>
          <w:rFonts w:eastAsia="Cambria" w:cs="Cambria"/>
          <w:b w:val="false"/>
          <w:bCs w:val="false"/>
          <w:i/>
          <w:iCs/>
          <w:sz w:val="22"/>
          <w:szCs w:val="22"/>
        </w:rPr>
        <w:t>Carpools</w:t>
      </w:r>
      <w:r>
        <w:rPr>
          <w:rFonts w:eastAsia="Cambria" w:cs="Cambria"/>
          <w:b w:val="false"/>
          <w:bCs w:val="false"/>
          <w:i w:val="false"/>
          <w:iCs w:val="false"/>
          <w:sz w:val="22"/>
          <w:szCs w:val="22"/>
        </w:rPr>
        <w:t>) entstehen fast von selbst. Für Kleinkinder eignen sich Spielplätze und die Vorlesestunden der Bibliothek (</w:t>
      </w:r>
      <w:r>
        <w:rPr>
          <w:rFonts w:eastAsia="Cambria" w:cs="Cambria"/>
          <w:b w:val="false"/>
          <w:bCs w:val="false"/>
          <w:i/>
          <w:iCs/>
          <w:sz w:val="22"/>
          <w:szCs w:val="22"/>
        </w:rPr>
        <w:t>Story Time</w:t>
      </w:r>
      <w:r>
        <w:rPr>
          <w:rFonts w:eastAsia="Cambria" w:cs="Cambria"/>
          <w:b w:val="false"/>
          <w:bCs w:val="false"/>
          <w:i w:val="false"/>
          <w:iCs w:val="false"/>
          <w:sz w:val="22"/>
          <w:szCs w:val="22"/>
        </w:rPr>
        <w:t>), meist kostenlos.</w:t>
      </w:r>
    </w:p>
    <w:p>
      <w:pPr>
        <w:pStyle w:val="Normal"/>
        <w:keepNext w:val="false"/>
        <w:keepLines w:val="false"/>
        <w:spacing w:lineRule="exact" w:line="288" w:before="0" w:after="140"/>
        <w:jc w:val="left"/>
        <w:rPr/>
      </w:pPr>
      <w:r>
        <w:rPr>
          <w:rFonts w:eastAsia="Cambria" w:cs="Cambria"/>
          <w:b/>
          <w:bCs/>
          <w:i w:val="false"/>
          <w:iCs w:val="false"/>
          <w:sz w:val="22"/>
          <w:szCs w:val="22"/>
        </w:rPr>
        <w:t>Playdates.</w:t>
      </w:r>
      <w:r>
        <w:rPr>
          <w:rFonts w:eastAsia="Cambria" w:cs="Cambria"/>
          <w:b w:val="false"/>
          <w:bCs w:val="false"/>
          <w:i w:val="false"/>
          <w:iCs w:val="false"/>
          <w:sz w:val="22"/>
          <w:szCs w:val="22"/>
        </w:rPr>
        <w:t xml:space="preserve"> Ein </w:t>
      </w:r>
      <w:r>
        <w:rPr>
          <w:rFonts w:eastAsia="Cambria" w:cs="Cambria"/>
          <w:b w:val="false"/>
          <w:bCs w:val="false"/>
          <w:i/>
          <w:iCs/>
          <w:sz w:val="22"/>
          <w:szCs w:val="22"/>
        </w:rPr>
        <w:t>Playdate</w:t>
      </w:r>
      <w:r>
        <w:rPr>
          <w:rFonts w:eastAsia="Cambria" w:cs="Cambria"/>
          <w:b w:val="false"/>
          <w:bCs w:val="false"/>
          <w:i w:val="false"/>
          <w:iCs w:val="false"/>
          <w:sz w:val="22"/>
          <w:szCs w:val="22"/>
        </w:rP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Geburtstagspartys.</w:t>
      </w:r>
      <w:r>
        <w:rPr>
          <w:rFonts w:eastAsia="Cambria" w:cs="Cambria"/>
          <w:b w:val="false"/>
          <w:bCs w:val="false"/>
          <w:i w:val="false"/>
          <w:iCs w:val="false"/>
          <w:sz w:val="22"/>
          <w:szCs w:val="22"/>
        </w:rPr>
        <w:t xml:space="preserve">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Job: Kollegen, Happy Hour,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Kollegen sind ein guter Start, aber selten das Ziel: Nach Halls Zahlen zählt Zeit bei der Arbeit weniger als gemeinsame Freizeit. Nutze die Übergänge: Mittagessen zu zweit, Kaffee in der Küche, die </w:t>
      </w:r>
      <w:r>
        <w:rPr>
          <w:rFonts w:eastAsia="Cambria" w:cs="Cambria"/>
          <w:b w:val="false"/>
          <w:bCs w:val="false"/>
          <w:i/>
          <w:iCs/>
          <w:sz w:val="22"/>
          <w:szCs w:val="22"/>
        </w:rPr>
        <w:t>Happy Hour</w:t>
      </w:r>
      <w:r>
        <w:rPr>
          <w:rFonts w:eastAsia="Cambria" w:cs="Cambria"/>
          <w:b w:val="false"/>
          <w:bCs w:val="false"/>
          <w:i w:val="false"/>
          <w:iCs w:val="false"/>
          <w:sz w:val="22"/>
          <w:szCs w:val="22"/>
        </w:rPr>
        <w:t xml:space="preserve"> (Getränke und Snacks nach Feierabend in einer Bar, meist ein bis zwei Stunden; alkoholfrei bestellen ist normal, Bleiben keine Pflicht). Firmenfeste und Team-Events sind Gelegenheiten für private Gespräche.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Unternehmen haben </w:t>
      </w:r>
      <w:r>
        <w:rPr>
          <w:rFonts w:eastAsia="Cambria" w:cs="Cambria"/>
          <w:b w:val="false"/>
          <w:bCs w:val="false"/>
          <w:i/>
          <w:iCs/>
          <w:sz w:val="22"/>
          <w:szCs w:val="22"/>
        </w:rPr>
        <w:t>Employee Resource Groups</w:t>
      </w:r>
      <w:r>
        <w:rPr>
          <w:rFonts w:eastAsia="Cambria" w:cs="Cambria"/>
          <w:b w:val="false"/>
          <w:bCs w:val="false"/>
          <w:i w:val="false"/>
          <w:iCs w:val="false"/>
          <w:sz w:val="22"/>
          <w:szCs w:val="22"/>
        </w:rPr>
        <w:t xml:space="preserve"> (ERGs), freiwillige, von der Firma getragene Netzwerke, etwa für Eltern, Frauen in der Technik, Veteranen, LGBTQ+ oder bestimmte Herkunftsländer; manche stehen auch Unterstützern (</w:t>
      </w:r>
      <w:r>
        <w:rPr>
          <w:rFonts w:eastAsia="Cambria" w:cs="Cambria"/>
          <w:b w:val="false"/>
          <w:bCs w:val="false"/>
          <w:i/>
          <w:iCs/>
          <w:sz w:val="22"/>
          <w:szCs w:val="22"/>
        </w:rPr>
        <w:t>Allies</w:t>
      </w:r>
      <w:r>
        <w:rPr>
          <w:rFonts w:eastAsia="Cambria" w:cs="Cambria"/>
          <w:b w:val="false"/>
          <w:bCs w:val="false"/>
          <w:i w:val="false"/>
          <w:iCs w:val="false"/>
          <w:sz w:val="22"/>
          <w:szCs w:val="22"/>
        </w:rPr>
        <w:t>) offen. Frage die Personalabteilung nach der Liste. Weil Kollegen häufig den Arbeitgeber wechseln, bleibt ein Kontakt nur bestehen, wenn ihr euch auch außerhalb der Firma seht.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per Text an. Gemeinschaftsanlässe: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(Straßenfest der Anwohner), Feste der Eigentümergemeinschaft (</w:t>
      </w:r>
      <w:r>
        <w:rPr>
          <w:rFonts w:eastAsia="Cambria" w:cs="Cambria"/>
          <w:b w:val="false"/>
          <w:bCs w:val="false"/>
          <w:i/>
          <w:iCs/>
          <w:sz w:val="22"/>
          <w:szCs w:val="22"/>
        </w:rPr>
        <w:t>HOA</w:t>
      </w:r>
      <w:r>
        <w:rPr>
          <w:rFonts w:eastAsia="Cambria" w:cs="Cambria"/>
          <w:b w:val="false"/>
          <w:bCs w:val="false"/>
          <w:i w:val="false"/>
          <w:iCs w:val="false"/>
          <w:sz w:val="22"/>
          <w:szCs w:val="22"/>
        </w:rPr>
        <w:t xml:space="preserve">), Halloween (Süßigkeiten an der Haustür) und die </w:t>
      </w:r>
      <w:r>
        <w:rPr>
          <w:rFonts w:eastAsia="Cambria" w:cs="Cambria"/>
          <w:b w:val="false"/>
          <w:bCs w:val="false"/>
          <w:i/>
          <w:iCs/>
          <w:sz w:val="22"/>
          <w:szCs w:val="22"/>
        </w:rPr>
        <w:t>National Night Out</w:t>
      </w:r>
      <w:r>
        <w:rPr>
          <w:rFonts w:eastAsia="Cambria" w:cs="Cambria"/>
          <w:b w:val="false"/>
          <w:bCs w:val="false"/>
          <w:i w:val="false"/>
          <w:iCs w:val="false"/>
          <w:sz w:val="22"/>
          <w:szCs w:val="22"/>
        </w:rPr>
        <w:t xml:space="preserve"> (Nachbarschaftsabend, meist erster Dienstag im August, in manchen Regionen im Oktober). Wer noch eine Wohnung sucht, achte auf Anlagen mit Gemeinschaftsraum, Spielplatz und Veranstaltungen.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Hobbys, Vereine und Kurse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deutsche Vereinswesen gibt es in den USA kaum; stattdessen findest du offene Gruppen, Ligen und Kurse:</w:t>
      </w:r>
    </w:p>
    <w:p>
      <w:pPr>
        <w:pStyle w:val="ListParagraph"/>
        <w:numPr>
          <w:ilvl w:val="0"/>
          <w:numId w:val="1"/>
        </w:numPr>
        <w:spacing w:lineRule="exact" w:line="288" w:before="0" w:after="60"/>
        <w:rPr/>
      </w:pPr>
      <w:r>
        <w:rPr>
          <w:rFonts w:eastAsia="Cambria" w:cs="Cambria"/>
          <w:b w:val="false"/>
          <w:bCs w:val="false"/>
          <w:i/>
          <w:iCs/>
          <w:sz w:val="22"/>
          <w:szCs w:val="22"/>
        </w:rPr>
        <w:t>Run Clubs</w:t>
      </w:r>
      <w:r>
        <w:rPr>
          <w:rFonts w:eastAsia="Cambria" w:cs="Cambria"/>
          <w:b w:val="false"/>
          <w:bCs w:val="false"/>
          <w:i w:val="false"/>
          <w:iCs w:val="false"/>
          <w:sz w:val="22"/>
          <w:szCs w:val="22"/>
        </w:rPr>
        <w:t xml:space="preserve"> (Laufgruppen), oft von Laufgeschäften getragen und kostenlos, meist mit Kaffee oder Bier danach.</w:t>
      </w:r>
    </w:p>
    <w:p>
      <w:pPr>
        <w:pStyle w:val="ListParagraph"/>
        <w:numPr>
          <w:ilvl w:val="0"/>
          <w:numId w:val="1"/>
        </w:numPr>
        <w:spacing w:lineRule="exact" w:line="288" w:before="0" w:after="60"/>
        <w:rPr/>
      </w:pPr>
      <w:r>
        <w:rPr>
          <w:rFonts w:eastAsia="Cambria" w:cs="Cambria"/>
          <w:b w:val="false"/>
          <w:bCs w:val="false"/>
          <w:i w:val="false"/>
          <w:iCs w:val="false"/>
          <w:sz w:val="22"/>
          <w:szCs w:val="22"/>
        </w:rPr>
        <w:t>Pickleball, eine Mischung aus Tennis, Badminton und Tischtennis auf kleinem Feld: seit Jahren stark wachsend, in vielen Städten mit offenen Spielzeiten auf öffentlichen Plätzen.</w:t>
      </w:r>
    </w:p>
    <w:p>
      <w:pPr>
        <w:pStyle w:val="ListParagraph"/>
        <w:numPr>
          <w:ilvl w:val="0"/>
          <w:numId w:val="1"/>
        </w:numPr>
        <w:spacing w:lineRule="exact" w:line="288" w:before="0" w:after="60"/>
        <w:rPr/>
      </w:pPr>
      <w:r>
        <w:rPr>
          <w:rFonts w:eastAsia="Cambria" w:cs="Cambria"/>
          <w:b w:val="false"/>
          <w:bCs w:val="false"/>
          <w:i w:val="false"/>
          <w:iCs w:val="false"/>
          <w:sz w:val="22"/>
          <w:szCs w:val="22"/>
        </w:rPr>
        <w:t>Kletterhallen mit Anfängerkursen und Community-Abenden.</w:t>
      </w:r>
    </w:p>
    <w:p>
      <w:pPr>
        <w:pStyle w:val="ListParagraph"/>
        <w:numPr>
          <w:ilvl w:val="0"/>
          <w:numId w:val="1"/>
        </w:numPr>
        <w:spacing w:lineRule="exact" w:line="288" w:before="0" w:after="60"/>
        <w:rPr/>
      </w:pPr>
      <w:r>
        <w:rPr>
          <w:rFonts w:eastAsia="Cambria" w:cs="Cambria"/>
          <w:b w:val="false"/>
          <w:bCs w:val="false"/>
          <w:i w:val="false"/>
          <w:iCs w:val="false"/>
          <w:sz w:val="22"/>
          <w:szCs w:val="22"/>
        </w:rPr>
        <w:t>Wandergruppen und Outdoor-Clubs, zum Beispiel Ortsgruppen des Sierra Club.</w:t>
      </w:r>
    </w:p>
    <w:p>
      <w:pPr>
        <w:pStyle w:val="ListParagraph"/>
        <w:numPr>
          <w:ilvl w:val="0"/>
          <w:numId w:val="1"/>
        </w:numPr>
        <w:spacing w:lineRule="exact" w:line="288" w:before="0" w:after="60"/>
        <w:rPr/>
      </w:pPr>
      <w:r>
        <w:rPr>
          <w:rFonts w:eastAsia="Cambria" w:cs="Cambria"/>
          <w:b w:val="false"/>
          <w:bCs w:val="false"/>
          <w:i w:val="false"/>
          <w:iCs w:val="false"/>
          <w:sz w:val="22"/>
          <w:szCs w:val="22"/>
        </w:rPr>
        <w:t>Chöre und Community-Orchester, oft ohne Vorspiel.</w:t>
      </w:r>
    </w:p>
    <w:p>
      <w:pPr>
        <w:pStyle w:val="ListParagraph"/>
        <w:numPr>
          <w:ilvl w:val="0"/>
          <w:numId w:val="1"/>
        </w:numPr>
        <w:spacing w:lineRule="exact" w:line="288" w:before="0" w:after="60"/>
        <w:rPr/>
      </w:pPr>
      <w:r>
        <w:rPr>
          <w:rFonts w:eastAsia="Cambria" w:cs="Cambria"/>
          <w:b w:val="false"/>
          <w:bCs w:val="false"/>
          <w:i w:val="false"/>
          <w:iCs w:val="false"/>
          <w:sz w:val="22"/>
          <w:szCs w:val="22"/>
        </w:rPr>
        <w:t>Die städtische Freizeitverwaltung (</w:t>
      </w:r>
      <w:r>
        <w:rPr>
          <w:rFonts w:eastAsia="Cambria" w:cs="Cambria"/>
          <w:b w:val="false"/>
          <w:bCs w:val="false"/>
          <w:i/>
          <w:iCs/>
          <w:sz w:val="22"/>
          <w:szCs w:val="22"/>
        </w:rPr>
        <w:t>Parks and Recreation</w:t>
      </w:r>
      <w:r>
        <w:rPr>
          <w:rFonts w:eastAsia="Cambria" w:cs="Cambria"/>
          <w:b w:val="false"/>
          <w:bCs w:val="false"/>
          <w:i w:val="false"/>
          <w:iCs w:val="false"/>
          <w:sz w:val="22"/>
          <w:szCs w:val="22"/>
        </w:rPr>
        <w:t>) mit Erwachsenenligen (Volleyball, Softball, Kickball, Fußball) und günstigen Kursen.</w:t>
      </w:r>
    </w:p>
    <w:p>
      <w:pPr>
        <w:pStyle w:val="ListParagraph"/>
        <w:numPr>
          <w:ilvl w:val="0"/>
          <w:numId w:val="1"/>
        </w:numPr>
        <w:spacing w:lineRule="exact" w:line="288" w:before="0" w:after="60"/>
        <w:rPr/>
      </w:pPr>
      <w:r>
        <w:rPr>
          <w:rFonts w:eastAsia="Cambria" w:cs="Cambria"/>
          <w:b w:val="false"/>
          <w:bCs w:val="false"/>
          <w:i w:val="false"/>
          <w:iCs w:val="false"/>
          <w:sz w:val="22"/>
          <w:szCs w:val="22"/>
        </w:rPr>
        <w:t>Öffentliche Bibliotheken mit Buchclubs, Vorträgen, Handarbeitsgruppen und Konversationsrunden.</w:t>
      </w:r>
    </w:p>
    <w:p>
      <w:pPr>
        <w:pStyle w:val="ListParagraph"/>
        <w:numPr>
          <w:ilvl w:val="0"/>
          <w:numId w:val="1"/>
        </w:numPr>
        <w:spacing w:lineRule="exact" w:line="288" w:before="0" w:after="60"/>
        <w:rPr/>
      </w:pPr>
      <w:r>
        <w:rPr>
          <w:rFonts w:eastAsia="Cambria" w:cs="Cambria"/>
          <w:b w:val="false"/>
          <w:bCs w:val="false"/>
          <w:i/>
          <w:iCs/>
          <w:sz w:val="22"/>
          <w:szCs w:val="22"/>
        </w:rPr>
        <w:t>Community Colleges</w:t>
      </w:r>
      <w:r>
        <w:rPr>
          <w:rFonts w:eastAsia="Cambria" w:cs="Cambria"/>
          <w:b w:val="false"/>
          <w:bCs w:val="false"/>
          <w:i w:val="false"/>
          <w:iCs w:val="false"/>
          <w:sz w:val="22"/>
          <w:szCs w:val="22"/>
        </w:rPr>
        <w:t xml:space="preserve"> (zweijährige, lokal getragene Hochschulen) mit Weiterbildungskursen, etwa Kochen, Fotografie oder Sprachen, auch ohne Abschluss.</w:t>
      </w:r>
    </w:p>
    <w:p>
      <w:pPr>
        <w:pStyle w:val="ListParagraph"/>
        <w:numPr>
          <w:ilvl w:val="0"/>
          <w:numId w:val="1"/>
        </w:numPr>
        <w:spacing w:lineRule="exact" w:line="288" w:before="0" w:after="60"/>
        <w:rPr/>
      </w:pPr>
      <w:r>
        <w:rPr>
          <w:rFonts w:eastAsia="Cambria" w:cs="Cambria"/>
          <w:b w:val="false"/>
          <w:bCs w:val="false"/>
          <w:i w:val="false"/>
          <w:iCs w:val="false"/>
          <w:sz w:val="22"/>
          <w:szCs w:val="22"/>
        </w:rPr>
        <w:t>Toastmasters-Clubs, in denen du das freie Sprechen auf Englisch übst.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 als Türöffner.</w:t>
      </w:r>
      <w:r>
        <w:rPr>
          <w:rFonts w:eastAsia="Cambria" w:cs="Cambria"/>
          <w:b w:val="false"/>
          <w:bCs w:val="false"/>
          <w:i w:val="false"/>
          <w:iCs w:val="false"/>
          <w:sz w:val="22"/>
          <w:szCs w:val="22"/>
        </w:rPr>
        <w:t xml:space="preserve"> Wie im Abschnitt „Mit Kindern“ beschrieben, ist das oft der schnellste Zugang: Trainingszeiten, Elternabende und die Autoschlange beim Abholen (</w:t>
      </w:r>
      <w:r>
        <w:rPr>
          <w:rFonts w:eastAsia="Cambria" w:cs="Cambria"/>
          <w:b w:val="false"/>
          <w:bCs w:val="false"/>
          <w:i/>
          <w:iCs/>
          <w:sz w:val="22"/>
          <w:szCs w:val="22"/>
        </w:rPr>
        <w:t>Carpool Line</w:t>
      </w:r>
      <w:r>
        <w:rPr>
          <w:rFonts w:eastAsia="Cambria" w:cs="Cambria"/>
          <w:b w:val="false"/>
          <w:bCs w:val="false"/>
          <w:i w:val="false"/>
          <w:iCs w:val="false"/>
          <w:sz w:val="22"/>
          <w:szCs w:val="22"/>
        </w:rPr>
        <w:t>) bringen dieselben Gesichter so regelmäßig zusammen, dass Small Talk fast von selbst zur Bekanntschaft wird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Bibliotheksprogramme, Laufgruppen und Wanderungen kosten meist nichts, kommunale Kurse und Ligen wenig, und ein Kaffee zu zweit ein paar Dollar. Für den Aufbau eines Freundeskreises brauchst du kein Restaurantbudget.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Glaubensgemeinschaft und Ehrenamt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zum Beispiel Unitarian-Universalist-Gemeinden. Ein freundliches „No, thank you“ genügt, wenn dir etwas zu weit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Ehrenamt (</w:t>
      </w:r>
      <w:r>
        <w:rPr>
          <w:rFonts w:eastAsia="Cambria" w:cs="Cambria"/>
          <w:b w:val="false"/>
          <w:bCs w:val="false"/>
          <w:i/>
          <w:iCs/>
          <w:sz w:val="22"/>
          <w:szCs w:val="22"/>
        </w:rPr>
        <w:t>Volunteering</w:t>
      </w:r>
      <w:r>
        <w:rPr>
          <w:rFonts w:eastAsia="Cambria" w:cs="Cambria"/>
          <w:b w:val="false"/>
          <w:bCs w:val="false"/>
          <w:i w:val="false"/>
          <w:iCs w:val="false"/>
          <w:sz w:val="22"/>
          <w:szCs w:val="22"/>
        </w:rPr>
        <w:t>) triffst du Menschen, die Zeit übrig haben und gern helfen: bei Tafeln und Essensausgaben (</w:t>
      </w:r>
      <w:r>
        <w:rPr>
          <w:rFonts w:eastAsia="Cambria" w:cs="Cambria"/>
          <w:b w:val="false"/>
          <w:bCs w:val="false"/>
          <w:i/>
          <w:iCs/>
          <w:sz w:val="22"/>
          <w:szCs w:val="22"/>
        </w:rPr>
        <w:t>Food Pantries</w:t>
      </w:r>
      <w:r>
        <w:rPr>
          <w:rFonts w:eastAsia="Cambria" w:cs="Cambria"/>
          <w:b w:val="false"/>
          <w:bCs w:val="false"/>
          <w:i w:val="false"/>
          <w:iCs w:val="false"/>
          <w:sz w:val="22"/>
          <w:szCs w:val="22"/>
        </w:rPr>
        <w:t>), Tierheimen, Bibliotheken, Schulen oder Parkpflege. Eine gemeinsame Aufgabe macht Gespräche leicht. Freiwilligenstellen findest du bei idealist.org, das 2025 mit VolunteerMatch verschmolzen ist, oder direkt bei der Organisation.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keine Arbeitserlaubnis hat, etwa als H-4-Partner ohne </w:t>
            </w:r>
            <w:r>
              <w:rPr>
                <w:rFonts w:eastAsia="Cambria" w:cs="Cambria"/>
                <w:b w:val="false"/>
                <w:bCs w:val="false"/>
                <w:i/>
                <w:iCs/>
                <w:sz w:val="20"/>
                <w:szCs w:val="20"/>
              </w:rPr>
              <w:t>EAD</w:t>
            </w:r>
            <w:r>
              <w:rPr>
                <w:rFonts w:eastAsia="Cambria" w:cs="Cambria"/>
                <w:b w:val="false"/>
                <w:bCs w:val="false"/>
                <w:i w:val="false"/>
                <w:iCs w:val="false"/>
                <w:sz w:val="20"/>
                <w:szCs w:val="20"/>
              </w:rPr>
              <w:t xml:space="preserve"> (</w:t>
            </w:r>
            <w:r>
              <w:rPr>
                <w:rFonts w:eastAsia="Cambria" w:cs="Cambria"/>
                <w:b w:val="false"/>
                <w:bCs w:val="false"/>
                <w:i/>
                <w:iCs/>
                <w:sz w:val="20"/>
                <w:szCs w:val="20"/>
              </w:rPr>
              <w:t>Employment Authorization Document</w:t>
            </w:r>
            <w:r>
              <w:rPr>
                <w:rFonts w:eastAsia="Cambria" w:cs="Cambria"/>
                <w:b w:val="false"/>
                <w:bCs w:val="false"/>
                <w:i w:val="false"/>
                <w:iCs w:val="false"/>
                <w:sz w:val="20"/>
                <w:szCs w:val="20"/>
              </w:rPr>
              <w: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Apps und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Apps helfen beim ersten Kontakt, besonders für Alleinstehende und in der Zeit vor dem Umzug:</w:t>
      </w:r>
    </w:p>
    <w:tbl>
      <w:tblPr>
        <w:tblW w:w="6480" w:type="dxa"/>
        <w:jc w:val="left"/>
        <w:tblInd w:w="0" w:type="dxa"/>
        <w:tblLayout w:type="fixed"/>
        <w:tblCellMar>
          <w:top w:w="50" w:type="dxa"/>
          <w:left w:w="80" w:type="dxa"/>
          <w:bottom w:w="50" w:type="dxa"/>
          <w:right w:w="80" w:type="dxa"/>
        </w:tblCellMar>
      </w:tblPr>
      <w:tblGrid>
        <w:gridCol w:w="2120"/>
        <w:gridCol w:w="2239"/>
        <w:gridCol w:w="2121"/>
      </w:tblGrid>
      <w:tr>
        <w:trPr>
          <w:tblHeader w:val="true"/>
          <w:cantSplit w:val="true"/>
        </w:trPr>
        <w:tc>
          <w:tcPr>
            <w:tcW w:w="21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Interessengruppen und Termine: Wandern, Brettspiele, Sprachtreffs, Stammtische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Suchen und meist auch Teilnehmen ohne Kosten; bei Terminen mit Ticket fällt eine Servicegebühr an, ein Abo (Meetup+) bietet Zusatzfunktionen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BFF (früher Bumble BFF)</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über Profile, Gruppen und Chats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Herbst 2025 eigene App mit Fokus auf Gruppen; Stand 2026 prüfen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Facebook-Gruppen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Expats, Landsleute, Hobbys der Region</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die beste Quelle für Lokales; Gruppenregeln lesen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Nextdoor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Empfehlungen, Veranstaltungen, Tauschbörse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Adresse wird verifiziert; nützlich für Tipps und Feste</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Timeleft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Abendessen mit fünf Fremden, mittwochs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Gruppe werden zugeteilt, das Essen zahlst du selbst; in vielen Großstädten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Eventbrite und Stadtkalender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Einmalige Kurse, Feste, Märkte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zum Hineinschnuppern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Trick bei allen: erst online, dann persönlich, dann wiederholen. Wer im ersten Monat zehn verschiedene Meetup-Termine besucht und keinen wiederholt, sammelt Bekanntschaften, keine Freunde. Besuche eine Gruppe dreimal, bevor du urteilst.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Online-Kontakten gelten Grundregeln: erste Treffen an öffentlichen Orten, jemandem sagen, wohin du gehst, keine Sozialversicherungsnummer, Bankdaten oder Vorschüsse an neue Bekannte. Auf Betrugsmaschen achten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und internationale Gemeinschaften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Landsleute sind eine gute Startrampe: gleiche Sprache, gleicher Humor und Erfahrung mit denselben Fragen zu Schulen, Ärzten, Steuern und Visa. Du findest sie hier:</w:t>
      </w:r>
    </w:p>
    <w:p>
      <w:pPr>
        <w:pStyle w:val="ListParagraph"/>
        <w:numPr>
          <w:ilvl w:val="0"/>
          <w:numId w:val="1"/>
        </w:numPr>
        <w:spacing w:lineRule="exact" w:line="288" w:before="0" w:after="60"/>
        <w:rPr/>
      </w:pPr>
      <w:r>
        <w:rPr>
          <w:rFonts w:eastAsia="Cambria" w:cs="Cambria"/>
          <w:b w:val="false"/>
          <w:bCs w:val="false"/>
          <w:i w:val="false"/>
          <w:iCs w:val="false"/>
          <w:sz w:val="22"/>
          <w:szCs w:val="22"/>
        </w:rPr>
        <w:t>Stammtische und Gruppen bei Meetup und Facebook (Suche: „Germans in“ plus Stadtname).</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Deutschsprachige evangelische Auslandsgemeinden; die Evangelische Kirche in Deutschland (EKD) führt sie für Amerika auf.</w:t>
      </w:r>
    </w:p>
    <w:p>
      <w:pPr>
        <w:pStyle w:val="ListParagraph"/>
        <w:numPr>
          <w:ilvl w:val="0"/>
          <w:numId w:val="1"/>
        </w:numPr>
        <w:spacing w:lineRule="exact" w:line="288" w:before="0" w:after="60"/>
        <w:rPr/>
      </w:pPr>
      <w:r>
        <w:rPr>
          <w:rFonts w:eastAsia="Cambria" w:cs="Cambria"/>
          <w:b w:val="false"/>
          <w:bCs w:val="false"/>
          <w:i w:val="false"/>
          <w:iCs w:val="false"/>
          <w:sz w:val="22"/>
          <w:szCs w:val="22"/>
        </w:rPr>
        <w:t>Das Goethe-Institut mit Standorten unter anderem in Boston, Chicago, Los Angeles, New York, San Francisco und Washington: Sprachkurse, Filmabende, Kulturprogramm.</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German American Chambers of Commerce</w:t>
      </w:r>
      <w:r>
        <w:rPr>
          <w:rFonts w:eastAsia="Cambria" w:cs="Cambria"/>
          <w:b w:val="false"/>
          <w:bCs w:val="false"/>
          <w:i w:val="false"/>
          <w:iCs w:val="false"/>
          <w:sz w:val="22"/>
          <w:szCs w:val="22"/>
        </w:rPr>
        <w:t xml:space="preserve"> (Deutsch-Amerikanische Handelskammern, AHK USA) mit regionalen Büros und Netzwerkabenden, vor allem für Berufstätige mit Deutschlandbezug.</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Deutsch-amerikanische Vereine, Oktoberfeste und Weihnachtsmärkte, auf denen du Menschen mit deutscher Herkunft triffst, die Deutschland mögen.</w:t>
      </w:r>
    </w:p>
    <w:p>
      <w:pPr>
        <w:pStyle w:val="ListParagraph"/>
        <w:numPr>
          <w:ilvl w:val="0"/>
          <w:numId w:val="1"/>
        </w:numPr>
        <w:spacing w:lineRule="exact" w:line="288" w:before="0" w:after="60"/>
        <w:rPr/>
      </w:pPr>
      <w:r>
        <w:rPr>
          <w:rFonts w:eastAsia="Cambria" w:cs="Cambria"/>
          <w:b w:val="false"/>
          <w:bCs w:val="false"/>
          <w:i w:val="false"/>
          <w:iCs w:val="false"/>
          <w:sz w:val="22"/>
          <w:szCs w:val="22"/>
        </w:rPr>
        <w:t>Samstagsschulen für deutsche Sprache und Kultur, die zugleich Elternnetzwerke sind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(Umfang und Kosten der Mitgliedschaft prüfst du selbst).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wie der Tatort am Sonntagabend, aber wer nur Deutsche kennt, übt kein Alltagsenglisch und lernt das Land kaum kennen. Außerdem ziehen auch Deutsche mit befristetem Visum oft nach wenigen Jahren weiter. Nimm dir vor,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Grillen, „Bring nichts“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Hause eingeladen zu werden, ist ein gutes Zeichen, und die Anlässe sind oft zwanglos: Grillabend, Spieleabend, Sonntagsbrunch. Die Tabelle zeigt, was du mitbringst und worauf du achtest.</w:t>
      </w:r>
    </w:p>
    <w:tbl>
      <w:tblPr>
        <w:tblW w:w="6480" w:type="dxa"/>
        <w:jc w:val="left"/>
        <w:tblInd w:w="0" w:type="dxa"/>
        <w:tblLayout w:type="fixed"/>
        <w:tblCellMar>
          <w:top w:w="50" w:type="dxa"/>
          <w:left w:w="80" w:type="dxa"/>
          <w:bottom w:w="50" w:type="dxa"/>
          <w:right w:w="80" w:type="dxa"/>
        </w:tblCellMar>
      </w:tblPr>
      <w:tblGrid>
        <w:gridCol w:w="2654"/>
        <w:gridCol w:w="1644"/>
        <w:gridCol w:w="2182"/>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mitbringst</w:t>
            </w:r>
          </w:p>
        </w:tc>
        <w:tc>
          <w:tcPr>
            <w:tcW w:w="21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Gut zu wissen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Potluck</w:t>
            </w:r>
            <w:r>
              <w:rPr>
                <w:rFonts w:eastAsia="Cambria" w:cs="Cambria"/>
                <w:b w:val="false"/>
                <w:bCs w:val="false"/>
                <w:i w:val="false"/>
                <w:iCs w:val="false"/>
                <w:sz w:val="18"/>
                <w:szCs w:val="18"/>
              </w:rPr>
              <w:t xml:space="preserve"> (jeder bringt ein Gericht mit)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teilbares Gericht, nach Absprache oder Liste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Servierbesteck mitbringen; Nachfrage nach dem Rezept ist ein Kompliment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Cookout</w:t>
            </w:r>
            <w:r>
              <w:rPr>
                <w:rFonts w:eastAsia="Cambria" w:cs="Cambria"/>
                <w:b w:val="false"/>
                <w:bCs w:val="false"/>
                <w:i w:val="false"/>
                <w:iCs w:val="false"/>
                <w:sz w:val="18"/>
                <w:szCs w:val="18"/>
              </w:rPr>
              <w:t xml:space="preserve"> (Grillfest)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Beilage; Fleisch nur nach Absprache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ist ein Zeitfenster; Kinder meist willkommen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Dinner bei Gastgebern</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Dauert meist zwei bis drei Stunden; pünktlich bis etwa 15 Minuten später</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Game Night</w:t>
            </w:r>
            <w:r>
              <w:rPr>
                <w:rFonts w:eastAsia="Cambria" w:cs="Cambria"/>
                <w:b w:val="false"/>
                <w:bCs w:val="false"/>
                <w:i w:val="false"/>
                <w:iCs w:val="false"/>
                <w:sz w:val="18"/>
                <w:szCs w:val="18"/>
              </w:rPr>
              <w:t xml:space="preserve"> (Spieleabend)</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Snacks oder ein Getränk</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Zwanglos; ein deutsches Brettspiel ist ein guter Einstieg</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 (15–30 $) mit Karte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nötig, etwa zwei Stunden, Geschwister nur nach Rückfrage</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Housewarming</w:t>
            </w:r>
            <w:r>
              <w:rPr>
                <w:rFonts w:eastAsia="Cambria" w:cs="Cambria"/>
                <w:b w:val="false"/>
                <w:bCs w:val="false"/>
                <w:i w:val="false"/>
                <w:iCs w:val="false"/>
                <w:sz w:val="18"/>
                <w:szCs w:val="18"/>
              </w:rPr>
              <w:t xml:space="preserve"> (Einweihungsfeier)</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Gabe: Pflanze, Kerze, Snacks</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Rundgang durchs Haus ist üblich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Bring nichts“.</w:t>
      </w:r>
      <w:r>
        <w:rPr>
          <w:rFonts w:eastAsia="Cambria" w:cs="Cambria"/>
          <w:b w:val="false"/>
          <w:bCs w:val="false"/>
          <w:i w:val="false"/>
          <w:iCs w:val="false"/>
          <w:sz w:val="22"/>
          <w:szCs w:val="22"/>
        </w:rPr>
        <w:t xml:space="preserve">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w:t>
      </w:r>
      <w:r>
        <w:rPr>
          <w:rFonts w:eastAsia="Cambria" w:cs="Cambria"/>
          <w:b w:val="false"/>
          <w:bCs w:val="false"/>
          <w:i w:val="false"/>
          <w:iCs w:val="false"/>
          <w:sz w:val="22"/>
          <w:szCs w:val="22"/>
        </w:rPr>
        <w:t xml:space="preserve"> Manche Gastgeber stellen Bier und Wein bereit, andere servieren keinen, aus religiösen Gründen, wegen der Kinder oder aus Nüchternheit. Bei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Getränk selbst) bringst du, was du trinken willst. Ein „No, thanks, I’m good“ braucht keine Begründung. Wer fährt, bleibt nüchtern; die Regeln zu Alkohol stehen in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Zusage verpflichtet. Wer ohne Absage fehlt, gilt als unzuverlässig; eine kurzfristige Absage wegen Krankheit oder fehlender Kinderbetreuung wird dagegen verstanden. Umgekehrt sind kurzfristige Absagen anderer (</w:t>
            </w:r>
            <w:r>
              <w:rPr>
                <w:rFonts w:eastAsia="Cambria" w:cs="Cambria"/>
                <w:b w:val="false"/>
                <w:bCs w:val="false"/>
                <w:i/>
                <w:iCs/>
                <w:sz w:val="20"/>
                <w:szCs w:val="20"/>
              </w:rPr>
              <w:t>Flaking</w:t>
            </w:r>
            <w:r>
              <w:rPr>
                <w:rFonts w:eastAsia="Cambria" w:cs="Cambria"/>
                <w:b w:val="false"/>
                <w:bCs w:val="false"/>
                <w:i w:val="false"/>
                <w:iCs w:val="false"/>
                <w:sz w:val="20"/>
                <w:szCs w:val="20"/>
              </w:rPr>
              <w:t>) selten ein Urteil über dich.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laden viele Amerikaner Alleinstehende und Zugezogene ein; die Zusage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nicht arbeiten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Eine feste Wochenstruktur</w:t>
      </w:r>
      <w:r>
        <w:rPr>
          <w:rFonts w:eastAsia="Cambria" w:cs="Cambria"/>
          <w:b w:val="false"/>
          <w:bCs w:val="false"/>
          <w:i w:val="false"/>
          <w:iCs w:val="false"/>
          <w:sz w:val="22"/>
          <w:szCs w:val="22"/>
        </w:rPr>
        <w:t xml:space="preserve"> mit drei Terminen außerhalb der Wohnung: ein Kurs, ein Sport- oder Lauftermin, ein Ehrenamt oder ein Elterntermin.</w:t>
      </w:r>
    </w:p>
    <w:p>
      <w:pPr>
        <w:pStyle w:val="ListParagraph"/>
        <w:numPr>
          <w:ilvl w:val="0"/>
          <w:numId w:val="1"/>
        </w:numPr>
        <w:spacing w:lineRule="exact" w:line="288" w:before="0" w:after="60"/>
        <w:rPr/>
      </w:pPr>
      <w:r>
        <w:rPr>
          <w:rFonts w:eastAsia="Cambria" w:cs="Cambria"/>
          <w:b/>
          <w:bCs/>
          <w:i w:val="false"/>
          <w:iCs w:val="false"/>
          <w:sz w:val="22"/>
          <w:szCs w:val="22"/>
        </w:rPr>
        <w:t>Kurse</w:t>
      </w:r>
      <w:r>
        <w:rPr>
          <w:rFonts w:eastAsia="Cambria" w:cs="Cambria"/>
          <w:b w:val="false"/>
          <w:bCs w:val="false"/>
          <w:i w:val="false"/>
          <w:iCs w:val="false"/>
          <w:sz w:val="22"/>
          <w:szCs w:val="22"/>
        </w:rPr>
        <w:t xml:space="preserve"> bei Bibliothek, Freizeitverwaltung oder Community College (zum Studium mit H-4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Ehrenamt</w:t>
      </w:r>
      <w:r>
        <w:rPr>
          <w:rFonts w:eastAsia="Cambria" w:cs="Cambria"/>
          <w:b w:val="false"/>
          <w:bCs w:val="false"/>
          <w:i w:val="false"/>
          <w:iCs w:val="false"/>
          <w:sz w:val="22"/>
          <w:szCs w:val="22"/>
        </w:rPr>
        <w:t xml:space="preserve"> nach den Regeln oben.</w:t>
      </w:r>
    </w:p>
    <w:p>
      <w:pPr>
        <w:pStyle w:val="ListParagraph"/>
        <w:numPr>
          <w:ilvl w:val="0"/>
          <w:numId w:val="1"/>
        </w:numPr>
        <w:spacing w:lineRule="exact" w:line="288" w:before="0" w:after="60"/>
        <w:rPr/>
      </w:pPr>
      <w:r>
        <w:rPr>
          <w:rFonts w:eastAsia="Cambria" w:cs="Cambria"/>
          <w:b/>
          <w:bCs/>
          <w:i w:val="false"/>
          <w:iCs w:val="false"/>
          <w:sz w:val="22"/>
          <w:szCs w:val="22"/>
        </w:rPr>
        <w:t>Eigene Kontakte</w:t>
      </w:r>
      <w:r>
        <w:rPr>
          <w:rFonts w:eastAsia="Cambria" w:cs="Cambria"/>
          <w:b w:val="false"/>
          <w:bCs w:val="false"/>
          <w:i w:val="false"/>
          <w:iCs w:val="false"/>
          <w:sz w:val="22"/>
          <w:szCs w:val="22"/>
        </w:rPr>
        <w:t xml:space="preserve"> statt nur der Firmenkreis des Partners, der an dessen Job hängt.</w:t>
      </w:r>
    </w:p>
    <w:p>
      <w:pPr>
        <w:pStyle w:val="ListParagraph"/>
        <w:numPr>
          <w:ilvl w:val="0"/>
          <w:numId w:val="1"/>
        </w:numPr>
        <w:spacing w:lineRule="exact" w:line="288" w:before="0" w:after="60"/>
        <w:rPr/>
      </w:pPr>
      <w:r>
        <w:rPr>
          <w:rFonts w:eastAsia="Cambria" w:cs="Cambria"/>
          <w:b/>
          <w:bCs/>
          <w:i w:val="false"/>
          <w:iCs w:val="false"/>
          <w:sz w:val="22"/>
          <w:szCs w:val="22"/>
        </w:rPr>
        <w:t>Unterstützung durch den Arbeitgeber:</w:t>
      </w:r>
      <w:r>
        <w:rPr>
          <w:rFonts w:eastAsia="Cambria" w:cs="Cambria"/>
          <w:b w:val="false"/>
          <w:bCs w:val="false"/>
          <w:i w:val="false"/>
          <w:iCs w:val="false"/>
          <w:sz w:val="22"/>
          <w:szCs w:val="22"/>
        </w:rPr>
        <w:t xml:space="preserve"> Manche Firmen vermitteln Kontakte oder Netzwerke für mitreisende Partner; frage bei der Personalabteilung.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Hält die Isolation über Wochen an oder drückt sie auf die Stimmung, findest du Hilfe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ist als H-4-Partnerin ohne Arbeitserlaubnis im Großraum Detroit. Nach acht Wochen haben Lena und Jonas Freunde im Schulbus und in der Straße, Markus hat Kollegen, Anna spricht tagsüber mit niemandem. Sie legt drei feste Termine fest: dienstags Lebensmittelausgabe bei einer Kirchengemeinde (unbezahltes Ehrenamt), donnerstags ein Fotokurs am Community College, samstags die Laufgruppe eines Sportgeschäfts. Beim Herbstfest der PTO übernimmt sie den Kuchenstand. Nach vier Monaten kennt sie rund ein Dutzend Eltern beim Namen, trifft zwei davon regelmäßig und lädt die Familien zu Kaffee und Kuchen ein. Am schwersten fiel ihr die erste Nachricht mit einem festen Datum – dreimal tippt sie den Satz um, bevor sie ihn abschickt.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Freundschaften nach Hause pflegen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Ozean und Zeitzonen hinweg schrumpfen Freundschaften ohne Pflege. Berlin liegt sechs Stunden vor der Ostküste und neun vor Seattle (Standardzeit; Zeitverschiebung und Familienkontakt vertieft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Rituale statt guter Vorsätze:</w:t>
      </w:r>
      <w:r>
        <w:rPr>
          <w:rFonts w:eastAsia="Cambria" w:cs="Cambria"/>
          <w:b w:val="false"/>
          <w:bCs w:val="false"/>
          <w:i w:val="false"/>
          <w:iCs w:val="false"/>
          <w:sz w:val="22"/>
          <w:szCs w:val="22"/>
        </w:rPr>
        <w:t xml:space="preserve"> der Videoanruf am Sonntagabend deutscher Zeit (an der Westküste Sonntagvormittag), der monatliche Online-Stammtisch, gemeinsam Serien schauen oder online spielen.</w:t>
      </w:r>
    </w:p>
    <w:p>
      <w:pPr>
        <w:pStyle w:val="ListParagraph"/>
        <w:numPr>
          <w:ilvl w:val="0"/>
          <w:numId w:val="1"/>
        </w:numPr>
        <w:spacing w:lineRule="exact" w:line="288" w:before="0" w:after="60"/>
        <w:rPr/>
      </w:pPr>
      <w:r>
        <w:rPr>
          <w:rFonts w:eastAsia="Cambria" w:cs="Cambria"/>
          <w:b/>
          <w:bCs/>
          <w:i w:val="false"/>
          <w:iCs w:val="false"/>
          <w:sz w:val="22"/>
          <w:szCs w:val="22"/>
        </w:rPr>
        <w:t>Sprachnachrichten,</w:t>
      </w:r>
      <w:r>
        <w:rPr>
          <w:rFonts w:eastAsia="Cambria" w:cs="Cambria"/>
          <w:b w:val="false"/>
          <w:bCs w:val="false"/>
          <w:i w:val="false"/>
          <w:iCs w:val="false"/>
          <w:sz w:val="22"/>
          <w:szCs w:val="22"/>
        </w:rPr>
        <w:t xml:space="preserve"> die zur Zeitverschiebung passen: zwei Minuten beim Kochen, beantwortet, wenn der andere aufwacht.</w:t>
      </w:r>
    </w:p>
    <w:p>
      <w:pPr>
        <w:pStyle w:val="ListParagraph"/>
        <w:numPr>
          <w:ilvl w:val="0"/>
          <w:numId w:val="1"/>
        </w:numPr>
        <w:spacing w:lineRule="exact" w:line="288" w:before="0" w:after="60"/>
        <w:rPr/>
      </w:pPr>
      <w:r>
        <w:rPr>
          <w:rFonts w:eastAsia="Cambria" w:cs="Cambria"/>
          <w:b/>
          <w:bCs/>
          <w:i w:val="false"/>
          <w:iCs w:val="false"/>
          <w:sz w:val="22"/>
          <w:szCs w:val="22"/>
        </w:rPr>
        <w:t>Gruppenchats</w:t>
      </w:r>
      <w:r>
        <w:rPr>
          <w:rFonts w:eastAsia="Cambria" w:cs="Cambria"/>
          <w:b w:val="false"/>
          <w:bCs w:val="false"/>
          <w:i w:val="false"/>
          <w:iCs w:val="false"/>
          <w:sz w:val="22"/>
          <w:szCs w:val="22"/>
        </w:rPr>
        <w:t xml:space="preserve"> für Fotos und Alltagskleinigkeiten, damit Kontakt nicht nur aus Großereignissen besteht.</w:t>
      </w:r>
    </w:p>
    <w:p>
      <w:pPr>
        <w:pStyle w:val="ListParagraph"/>
        <w:numPr>
          <w:ilvl w:val="0"/>
          <w:numId w:val="1"/>
        </w:numPr>
        <w:spacing w:lineRule="exact" w:line="288" w:before="0" w:after="60"/>
        <w:rPr/>
      </w:pPr>
      <w:r>
        <w:rPr>
          <w:rFonts w:eastAsia="Cambria" w:cs="Cambria"/>
          <w:b/>
          <w:bCs/>
          <w:i w:val="false"/>
          <w:iCs w:val="false"/>
          <w:sz w:val="22"/>
          <w:szCs w:val="22"/>
        </w:rPr>
        <w:t>Besuche mit Plan:</w:t>
      </w:r>
      <w:r>
        <w:rPr>
          <w:rFonts w:eastAsia="Cambria" w:cs="Cambria"/>
          <w:b w:val="false"/>
          <w:bCs w:val="false"/>
          <w:i w:val="false"/>
          <w:iCs w:val="false"/>
          <w:sz w:val="22"/>
          <w:szCs w:val="22"/>
        </w:rPr>
        <w:t xml:space="preserve"> Freunde reisen für kurze Besuche meist mit ESTA ein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Heimatbesuchen sind zwei feste Abende mit der ganzen Runde besser als 15 Einzeltreffen.</w:t>
      </w:r>
    </w:p>
    <w:p>
      <w:pPr>
        <w:pStyle w:val="ListParagraph"/>
        <w:numPr>
          <w:ilvl w:val="0"/>
          <w:numId w:val="1"/>
        </w:numPr>
        <w:spacing w:lineRule="exact" w:line="288" w:before="0" w:after="60"/>
        <w:rPr/>
      </w:pPr>
      <w:r>
        <w:rPr>
          <w:rFonts w:eastAsia="Cambria" w:cs="Cambria"/>
          <w:b/>
          <w:bCs/>
          <w:i w:val="false"/>
          <w:iCs w:val="false"/>
          <w:sz w:val="22"/>
          <w:szCs w:val="22"/>
        </w:rPr>
        <w:t>Interesse zeigen:</w:t>
      </w:r>
      <w:r>
        <w:rPr>
          <w:rFonts w:eastAsia="Cambria" w:cs="Cambria"/>
          <w:b w:val="false"/>
          <w:bCs w:val="false"/>
          <w:i w:val="false"/>
          <w:iCs w:val="false"/>
          <w:sz w:val="22"/>
          <w:szCs w:val="22"/>
        </w:rPr>
        <w:t xml:space="preserve"> Erzähle nicht nur vom neuen Leben, frage nach dem Alltag zu Hause und lass Vergleiche wie „Hier ist alles besser“ weg.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damit, dass einige Freundschaften leiser werden. Das ist normal und kein Verrat: Die engen bleiben, die übrigen leben bei Besuchen wieder 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und Erwartungen</w:t>
      </w:r>
    </w:p>
    <w:p>
      <w:pPr>
        <w:pStyle w:val="ListParagraph"/>
        <w:numPr>
          <w:ilvl w:val="0"/>
          <w:numId w:val="1"/>
        </w:numPr>
        <w:spacing w:lineRule="exact" w:line="288" w:before="0" w:after="60"/>
        <w:rPr/>
      </w:pPr>
      <w:r>
        <w:rPr>
          <w:rFonts w:eastAsia="Cambria" w:cs="Cambria"/>
          <w:b/>
          <w:bCs/>
          <w:i w:val="false"/>
          <w:iCs w:val="false"/>
          <w:sz w:val="22"/>
          <w:szCs w:val="22"/>
        </w:rPr>
        <w:t>Der Alles-in-einem-Freund.</w:t>
      </w:r>
      <w:r>
        <w:rPr>
          <w:rFonts w:eastAsia="Cambria" w:cs="Cambria"/>
          <w:b w:val="false"/>
          <w:bCs w:val="false"/>
          <w:i w:val="false"/>
          <w:iCs w:val="false"/>
          <w:sz w:val="22"/>
          <w:szCs w:val="22"/>
        </w:rPr>
        <w:t xml:space="preserve"> Amerikanische Freundschaften hängen oft an einer Aktivität: Laufpartner, Eltern-Freundin, Kollege. Wer alle Lebensbereiche in einer Person sucht, sucht lange. Das Wort </w:t>
      </w:r>
      <w:r>
        <w:rPr>
          <w:rFonts w:eastAsia="Cambria" w:cs="Cambria"/>
          <w:b w:val="false"/>
          <w:bCs w:val="false"/>
          <w:i/>
          <w:iCs/>
          <w:sz w:val="22"/>
          <w:szCs w:val="22"/>
        </w:rPr>
        <w:t>friend</w:t>
      </w:r>
      <w:r>
        <w:rPr>
          <w:rFonts w:eastAsia="Cambria" w:cs="Cambria"/>
          <w:b w:val="false"/>
          <w:bCs w:val="false"/>
          <w:i w:val="false"/>
          <w:iCs w:val="false"/>
          <w:sz w:val="22"/>
          <w:szCs w:val="22"/>
        </w:rPr>
        <w:t xml:space="preserve"> ist zudem weiter gefasst als „Freund“; für enge Bindungen gibt es „close friend“ und „best friend“.</w:t>
      </w:r>
    </w:p>
    <w:p>
      <w:pPr>
        <w:pStyle w:val="ListParagraph"/>
        <w:numPr>
          <w:ilvl w:val="0"/>
          <w:numId w:val="1"/>
        </w:numPr>
        <w:spacing w:lineRule="exact" w:line="288" w:before="0" w:after="60"/>
        <w:rPr/>
      </w:pPr>
      <w:r>
        <w:rPr>
          <w:rFonts w:eastAsia="Cambria" w:cs="Cambria"/>
          <w:b/>
          <w:bCs/>
          <w:i w:val="false"/>
          <w:iCs w:val="false"/>
          <w:sz w:val="22"/>
          <w:szCs w:val="22"/>
        </w:rPr>
        <w:t>Schnelle Tiefe.</w:t>
      </w:r>
      <w:r>
        <w:rPr>
          <w:rFonts w:eastAsia="Cambria" w:cs="Cambria"/>
          <w:b w:val="false"/>
          <w:bCs w:val="false"/>
          <w:i w:val="false"/>
          <w:iCs w:val="false"/>
          <w:sz w:val="22"/>
          <w:szCs w:val="22"/>
        </w:rPr>
        <w:t xml:space="preserve"> Gehalt, Politik und Religion sind beim Kennenlernen heikel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Tiefe kommt nach Wiederholung, nicht vorher.</w:t>
      </w:r>
    </w:p>
    <w:p>
      <w:pPr>
        <w:pStyle w:val="ListParagraph"/>
        <w:numPr>
          <w:ilvl w:val="0"/>
          <w:numId w:val="1"/>
        </w:numPr>
        <w:spacing w:lineRule="exact" w:line="288" w:before="0" w:after="60"/>
        <w:rPr/>
      </w:pPr>
      <w:r>
        <w:rPr>
          <w:rFonts w:eastAsia="Cambria" w:cs="Cambria"/>
          <w:b/>
          <w:bCs/>
          <w:i w:val="false"/>
          <w:iCs w:val="false"/>
          <w:sz w:val="22"/>
          <w:szCs w:val="22"/>
        </w:rPr>
        <w:t>Nur ein Standbein.</w:t>
      </w:r>
      <w:r>
        <w:rPr>
          <w:rFonts w:eastAsia="Cambria" w:cs="Cambria"/>
          <w:b w:val="false"/>
          <w:bCs w:val="false"/>
          <w:i w:val="false"/>
          <w:iCs w:val="false"/>
          <w:sz w:val="22"/>
          <w:szCs w:val="22"/>
        </w:rPr>
        <w:t xml:space="preserve"> Wer alle Kontakte über den Job hat, verliert sie beim Jobwechsel oder Stellenabbau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Baue mindestens zwei Kreise auf, etwa Job und Sport oder Kinder und Gemeinde.</w:t>
      </w:r>
    </w:p>
    <w:p>
      <w:pPr>
        <w:pStyle w:val="ListParagraph"/>
        <w:numPr>
          <w:ilvl w:val="0"/>
          <w:numId w:val="1"/>
        </w:numPr>
        <w:spacing w:lineRule="exact" w:line="288" w:before="0" w:after="60"/>
        <w:rPr/>
      </w:pPr>
      <w:r>
        <w:rPr>
          <w:rFonts w:eastAsia="Cambria" w:cs="Cambria"/>
          <w:b/>
          <w:bCs/>
          <w:i w:val="false"/>
          <w:iCs w:val="false"/>
          <w:sz w:val="22"/>
          <w:szCs w:val="22"/>
        </w:rPr>
        <w:t>Zu früh urteilen.</w:t>
      </w:r>
      <w:r>
        <w:rPr>
          <w:rFonts w:eastAsia="Cambria" w:cs="Cambria"/>
          <w:b w:val="false"/>
          <w:bCs w:val="false"/>
          <w:i w:val="false"/>
          <w:iCs w:val="false"/>
          <w:sz w:val="22"/>
          <w:szCs w:val="22"/>
        </w:rPr>
        <w:t xml:space="preserve"> Wer nach drei Wochen „Die Amerikaner sind oberflächlich“ sagt, hört auf zu fragen und bestätigt sich selbst.</w:t>
      </w:r>
    </w:p>
    <w:p>
      <w:pPr>
        <w:pStyle w:val="ListParagraph"/>
        <w:numPr>
          <w:ilvl w:val="0"/>
          <w:numId w:val="1"/>
        </w:numPr>
        <w:spacing w:lineRule="exact" w:line="288" w:before="0" w:after="60"/>
        <w:rPr/>
      </w:pPr>
      <w:r>
        <w:rPr>
          <w:rFonts w:eastAsia="Cambria" w:cs="Cambria"/>
          <w:b/>
          <w:bCs/>
          <w:i w:val="false"/>
          <w:iCs w:val="false"/>
          <w:sz w:val="22"/>
          <w:szCs w:val="22"/>
        </w:rPr>
        <w:t>Krisenzeiten.</w:t>
      </w:r>
      <w:r>
        <w:rPr>
          <w:rFonts w:eastAsia="Cambria" w:cs="Cambria"/>
          <w:b w:val="false"/>
          <w:bCs w:val="false"/>
          <w:i w:val="false"/>
          <w:iCs w:val="false"/>
          <w:sz w:val="22"/>
          <w:szCs w:val="22"/>
        </w:rPr>
        <w:t xml:space="preserve"> Der erste Winter und die ersten Feiertage sind für viele die einsamsten Wochen. Das ist kein Zeichen von Versagen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größte Falle ist der Rückzug. Wer nach mehreren enttäuschenden Versuchen aufhört, verlängert die Einsamkeit. Setze dir ein Minimum: eine feste Gruppe pro Woche und pro Woche einen Kaffeevorschlag.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Freundschaftskultur im Vergleich zu deinen Erfahrungen in Deutschland:</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Offenheit: Kontakt zu Fremden gelingt schnell und meist unkompliziert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tiefe Bindung; Vertiefung dauert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zu Grillen, Potlucks und Kinderpartys haben niedrige Hürden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Kurzfristige Absagen kommen häufiger vor, als du es gewohnt sein magst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organisierte Angebote: Clubs, Ligen, Meetups, Kurse in fast jeder Stadt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hängen oft an einer Aktivität und enden mit ihr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Neuanfang ohne alte Rollen: Du bist, wie du dich zeigst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Mobilität: Freunde und Kollegen ziehen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Hilfsbereitschaft bei Tipps, Empfehlungen und Fahrdiensten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Kalender: Verabredungen liegen oft Wochen im Voraus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Gastgeber laden gern nach Hause ein, oft zu zwanglosen Anlässen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eigenes Nachfassen passiert wenig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zwei Wege aus der Tabelle, tritt den Online-Gruppen deiner Zielstadt bei und plane in den ersten zwei Wochen nach der Ankunft je einen festen Wochentermin. Nach jedem netten Gespräch schreibst du binnen drei Tagen zwei Terminvorschläge.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Facebook- und Meetup-Gruppen deiner Zielstadt suchen und mitlesen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feste Wochentermine wählen (Sport, Kurs, Gemeinde oder Ehrenamt) und mindestens sechs Wochen durchhalten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netten Gespräch binnen drei Tagen per Text zwei konkrete Terminvorschläge senden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Kindern: bei der PTA oder PTO der Schule ein Helferangebot machen, Playdates über die Eltern absprechen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Employee Resource Groups und Team-Anlässen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Ohne Arbeitserlaubnis nur echtes Ehrenamt bei gemeinnützigen Organisationen, im Zweifel vorher Rat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binnen zwei Tagen zu- oder absagen, eine kleine Gabe mitbringen, binnen weniger Wochen zurückladen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Deutschsprachige Angebote nutzen, aber die Hälfte der festen Termine unter Englischsprachigen 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Rituale mit Freunden in Deutschland vereinbaren (Videoanruf, Sprachnachrichten) und die Zeitverschiebung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drei Monaten Bilanz ziehen: Welche Gruppe hat funktioniert, welche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University of Kansas — Studie zur Zeit, die Freundschaft braucht (</w:t>
      </w:r>
      <w:hyperlink r:id="rId309">
        <w:r>
          <w:rPr>
            <w:rStyle w:val="ListLabel113"/>
            <w:rFonts w:eastAsia="Cambria" w:cs="Cambria"/>
            <w:b w:val="false"/>
            <w:bCs w:val="false"/>
            <w:i w:val="false"/>
            <w:iCs w:val="false"/>
            <w:color w:val="0563C1"/>
            <w:sz w:val="22"/>
            <w:szCs w:val="22"/>
            <w:u w:val="single"/>
          </w:rPr>
          <w:t>news.ku.edu</w:t>
        </w:r>
      </w:hyperlink>
      <w:r>
        <w:rPr>
          <w:rFonts w:eastAsia="Cambria" w:cs="Cambria"/>
          <w:b w:val="false"/>
          <w:bCs w:val="false"/>
          <w:i w:val="false"/>
          <w:iCs w:val="false"/>
          <w:sz w:val="22"/>
          <w:szCs w:val="22"/>
        </w:rPr>
        <w:t>, Suche: hours to make a friend)</w:t>
      </w:r>
    </w:p>
    <w:p>
      <w:pPr>
        <w:pStyle w:val="ListParagraph"/>
        <w:numPr>
          <w:ilvl w:val="0"/>
          <w:numId w:val="1"/>
        </w:numPr>
        <w:spacing w:lineRule="exact" w:line="288" w:before="0" w:after="60"/>
        <w:rPr/>
      </w:pPr>
      <w:r>
        <w:rPr>
          <w:rFonts w:eastAsia="Cambria" w:cs="Cambria"/>
          <w:b w:val="false"/>
          <w:bCs w:val="false"/>
          <w:i w:val="false"/>
          <w:iCs w:val="false"/>
          <w:sz w:val="22"/>
          <w:szCs w:val="22"/>
        </w:rPr>
        <w:t>US Census Bureau — Umzüge und regionale Mobilität (</w:t>
      </w:r>
      <w:hyperlink r:id="rId310">
        <w:r>
          <w:rPr>
            <w:rStyle w:val="ListLabel113"/>
            <w:rFonts w:eastAsia="Cambria" w:cs="Cambria"/>
            <w:b w:val="false"/>
            <w:bCs w:val="false"/>
            <w:i w:val="false"/>
            <w:iCs w:val="false"/>
            <w:color w:val="0563C1"/>
            <w:sz w:val="22"/>
            <w:szCs w:val="22"/>
            <w:u w:val="single"/>
          </w:rPr>
          <w:t>census.gov/topics/population/migration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Evangelische Kirche in Deutschland — deutschsprachige Auslandsgemeinden in Amerika (</w:t>
      </w:r>
      <w:hyperlink r:id="rId311">
        <w:r>
          <w:rPr>
            <w:rStyle w:val="ListLabel113"/>
            <w:rFonts w:eastAsia="Cambria" w:cs="Cambria"/>
            <w:b w:val="false"/>
            <w:bCs w:val="false"/>
            <w:i w:val="false"/>
            <w:iCs w:val="false"/>
            <w:color w:val="0563C1"/>
            <w:sz w:val="22"/>
            <w:szCs w:val="22"/>
            <w:u w:val="single"/>
          </w:rPr>
          <w:t>ekd.de/auslandsgemeinden-amerika-47196.htm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Standorte und Programme (</w:t>
      </w:r>
      <w:hyperlink r:id="rId312">
        <w:r>
          <w:rPr>
            <w:rStyle w:val="ListLabel113"/>
            <w:rFonts w:eastAsia="Cambria" w:cs="Cambria"/>
            <w:b w:val="false"/>
            <w:bCs w:val="false"/>
            <w:i w:val="false"/>
            <w:iCs w:val="false"/>
            <w:color w:val="0563C1"/>
            <w:sz w:val="22"/>
            <w:szCs w:val="22"/>
            <w:u w:val="single"/>
          </w:rPr>
          <w:t>goethe.de/ins/us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Idealist — Freiwilligenarbeit finden (</w:t>
      </w:r>
      <w:hyperlink r:id="rId313">
        <w:r>
          <w:rPr>
            <w:rStyle w:val="ListLabel113"/>
            <w:rFonts w:eastAsia="Cambria" w:cs="Cambria"/>
            <w:b w:val="false"/>
            <w:bCs w:val="false"/>
            <w:i w:val="false"/>
            <w:iCs w:val="false"/>
            <w:color w:val="0563C1"/>
            <w:sz w:val="22"/>
            <w:szCs w:val="22"/>
            <w:u w:val="single"/>
          </w:rPr>
          <w:t>idealist.org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Arbeitserlaubnis für H-4-Ehepartner (</w:t>
      </w:r>
      <w:hyperlink r:id="rId31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H-4 employment authorization)</w:t>
      </w:r>
    </w:p>
    <w:p>
      <w:pPr>
        <w:pStyle w:val="ListParagraph"/>
        <w:numPr>
          <w:ilvl w:val="0"/>
          <w:numId w:val="1"/>
        </w:numPr>
        <w:spacing w:lineRule="exact" w:line="288" w:before="0" w:after="60"/>
        <w:rPr/>
      </w:pPr>
      <w:r>
        <w:rPr>
          <w:rFonts w:eastAsia="Cambria" w:cs="Cambria"/>
          <w:b w:val="false"/>
          <w:bCs w:val="false"/>
          <w:i w:val="false"/>
          <w:iCs w:val="false"/>
          <w:sz w:val="22"/>
          <w:szCs w:val="22"/>
        </w:rPr>
        <w:t>Meetup — Hilfebereich zu Gebühren und Abos (</w:t>
      </w:r>
      <w:hyperlink r:id="rId315">
        <w:r>
          <w:rPr>
            <w:rStyle w:val="ListLabel113"/>
            <w:rFonts w:eastAsia="Cambria" w:cs="Cambria"/>
            <w:b w:val="false"/>
            <w:bCs w:val="false"/>
            <w:i w:val="false"/>
            <w:iCs w:val="false"/>
            <w:color w:val="0563C1"/>
            <w:sz w:val="22"/>
            <w:szCs w:val="22"/>
            <w:u w:val="single"/>
          </w:rPr>
          <w:t>help.meetup.com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und Funktionen von Apps (Meetup, BFF, Timeleft, Nextdoor), Standorte des Goethe-Instituts, die Regeln zur Arbeitserlaubnis für H-4-Partner sowie die Mobilitätsdaten des Census Bureau (Datenjahr 2024). Prüfe vor jeder Entscheidung die aktuellen Angaben der Anbieter und offiziellen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1" w:name="__RefHeading___Toc56506_3457424410"/>
      <w:bookmarkStart w:id="82" w:name="k33"/>
      <w:bookmarkEnd w:id="81"/>
      <w:r>
        <w:rPr>
          <w:rFonts w:eastAsia="Amazon Ember" w:cs="Amazon Ember" w:ascii="Amazon Ember" w:hAnsi="Amazon Ember"/>
          <w:b/>
          <w:bCs/>
          <w:color w:val="0000FF"/>
          <w:sz w:val="36"/>
          <w:szCs w:val="36"/>
        </w:rPr>
        <w:t>Kapitel 33: Heimweh, Kulturschock und mentale Gesundheit</w:t>
      </w:r>
      <w:bookmarkEnd w:id="82"/>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der vierte Samstagabend in Folge, an dem du früh das Licht ausmachst, während in der Familien-Chat-Gruppe Fotos vom Herbstfest der alten Nachbarschaft eintrudeln. Job, Wohnung und Auto sind organisiert, alles läuft nach Plan – und trotzdem liegt seit Wochen ein Kloß im Hals, sobald jemand fragt, wie es dir geht. Das ist kein Ausrutscher und kein Zeichen, dass der Umzug ein Fehler war. Es ist Kulturschock, und er hat einen ziemlich vorhersagbaren Verlauf.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Kulturschock verläuft in Phasen und ist zeitlich meist begrenzt – keine Schwäche und kein Fehlurteil.</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der dritte bis sechste, dazu der erste Winter und die ersten Feiertage fern der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Mitreisende Partner und Kinder durchleben eigene Formen des Kulturschocks, oft zeitversetzt zueinander.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Routinen, Rituale, Bewegung und Sprache wirken gegen das Tief oft stärker als guter Wille allein.</w:t>
            </w:r>
          </w:p>
          <w:p>
            <w:pPr>
              <w:pStyle w:val="ListParagraph"/>
              <w:numPr>
                <w:ilvl w:val="0"/>
                <w:numId w:val="1"/>
              </w:numPr>
              <w:spacing w:lineRule="exact" w:line="264" w:before="0" w:after="50"/>
              <w:rPr/>
            </w:pPr>
            <w:r>
              <w:rPr>
                <w:rFonts w:eastAsia="Cambria" w:cs="Cambria"/>
                <w:b w:val="false"/>
                <w:bCs w:val="false"/>
                <w:i w:val="false"/>
                <w:iCs w:val="false"/>
                <w:sz w:val="20"/>
                <w:szCs w:val="20"/>
              </w:rPr>
              <w:t>Professionelle Hilfe ist in den USA erreichbar: betriebliche Beratung, Telehealth, günstige Anbieter, deutschsprachige Therapeuten.</w:t>
            </w:r>
          </w:p>
          <w:p>
            <w:pPr>
              <w:pStyle w:val="ListParagraph"/>
              <w:numPr>
                <w:ilvl w:val="0"/>
                <w:numId w:val="1"/>
              </w:numPr>
              <w:spacing w:lineRule="exact" w:line="264" w:before="0" w:after="50"/>
              <w:rPr/>
            </w:pPr>
            <w:r>
              <w:rPr>
                <w:rFonts w:eastAsia="Cambria" w:cs="Cambria"/>
                <w:b w:val="false"/>
                <w:bCs w:val="false"/>
                <w:i w:val="false"/>
                <w:iCs w:val="false"/>
                <w:sz w:val="20"/>
                <w:szCs w:val="20"/>
              </w:rPr>
              <w:t>Bei akuter Gefahr zählt ein Anruf, Chat oder Text: 988, kostenlos, rund um die Uhr.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Phasen des Kulturschocks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nach einem harten dritten Monat an der Entscheidung zweifelt, war offenbar nicht bereit für den Umzug. Tatsächlich beschreibt ein verbreitetes Modell (nach dem Anthropologen Kalervo Oberg, 1960) Kulturschock als Kurve mit vier Abschnitten, die fast jeden erfasst, der längere Zeit in einem fremden Land lebt. Sie verläuft nicht bei allen gleich, nicht linear und nicht bei allen Familienmitgliedern gleichzeitig – aber sie hilft, das eigene Tief einzuordnen.</w:t>
      </w:r>
    </w:p>
    <w:tbl>
      <w:tblPr>
        <w:tblW w:w="6480" w:type="dxa"/>
        <w:jc w:val="left"/>
        <w:tblInd w:w="0" w:type="dxa"/>
        <w:tblLayout w:type="fixed"/>
        <w:tblCellMar>
          <w:top w:w="50" w:type="dxa"/>
          <w:left w:w="80" w:type="dxa"/>
          <w:bottom w:w="50" w:type="dxa"/>
          <w:right w:w="80" w:type="dxa"/>
        </w:tblCellMar>
      </w:tblPr>
      <w:tblGrid>
        <w:gridCol w:w="2369"/>
        <w:gridCol w:w="1027"/>
        <w:gridCol w:w="1541"/>
        <w:gridCol w:w="1542"/>
      </w:tblGrid>
      <w:tr>
        <w:trPr>
          <w:tblHeader w:val="true"/>
          <w:cantSplit w:val="true"/>
        </w:trPr>
        <w:tc>
          <w:tcPr>
            <w:tcW w:w="2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Dauer</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Typisches Gefühl</w:t>
            </w:r>
          </w:p>
        </w:tc>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hilft</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Honeymoon</w:t>
            </w:r>
            <w:r>
              <w:rPr>
                <w:rFonts w:eastAsia="Cambria" w:cs="Cambria"/>
                <w:b w:val="false"/>
                <w:bCs w:val="false"/>
                <w:i w:val="false"/>
                <w:iCs w:val="false"/>
                <w:sz w:val="18"/>
                <w:szCs w:val="18"/>
              </w:rPr>
              <w:t>-Phase (Anfangseuphorie)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Wochen bis ca. 2 Monate</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Neugier, Begeisterung, alles wirkt aufregend</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Genießen, aber früh kleine Routinen aufbauen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Kulturschock-Talsohle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3 bis 6</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Erschöpfung, Reizbarkeit, Heimweh, Zweifel an der Entscheidung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Struktur, Bewegung, echte Kontakte, bei Bedarf Hilfe</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Anpassung</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6 bis 12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 wird Routine, Unterschiede eher komisch als bedrohlich</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Gewohnheiten festigen, Kontakte pflegen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Integration</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etwa Jahr 1 bis 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Sicherheit in beiden Kulturen, Vergleich ohne Wertung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Pendeln zwischen Identitäten als Normalzustand annehmen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Kulturschock ist die normale Reaktion eines Gehirns, das gerade zu viele neue Reize und zu wenig vertraute Bezugspunkte verarbeitet. Er ist kein Charakterfehler und kein Beweis, dass die Entscheidung für die USA falsch war.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kritischen Monate: 3 bis 6, der erste Winter, die ersten Feiertage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Zeitpunkte treffen die meisten Neuankömmlinge besonders hart. Erstens die </w:t>
      </w:r>
      <w:r>
        <w:rPr>
          <w:rFonts w:eastAsia="Cambria" w:cs="Cambria"/>
          <w:b/>
          <w:bCs/>
          <w:i w:val="false"/>
          <w:iCs w:val="false"/>
          <w:sz w:val="22"/>
          <w:szCs w:val="22"/>
        </w:rPr>
        <w:t>Monate 3 bis 6</w:t>
      </w:r>
      <w:r>
        <w:rPr>
          <w:rFonts w:eastAsia="Cambria" w:cs="Cambria"/>
          <w:b w:val="false"/>
          <w:bCs w:val="false"/>
          <w:i w:val="false"/>
          <w:iCs w:val="false"/>
          <w:sz w:val="22"/>
          <w:szCs w:val="22"/>
        </w:rPr>
        <w:t xml:space="preserve">: Der anfängliche Schwung ist weg, die Behördengänge sind erledigt, aber der Alltag fühlt sich noch fremd an, während zu Hause das Leben ohne dich weiterläuft. Zweitens der </w:t>
      </w:r>
      <w:r>
        <w:rPr>
          <w:rFonts w:eastAsia="Cambria" w:cs="Cambria"/>
          <w:b/>
          <w:bCs/>
          <w:i w:val="false"/>
          <w:iCs w:val="false"/>
          <w:sz w:val="22"/>
          <w:szCs w:val="22"/>
        </w:rPr>
        <w:t>erste Winter</w:t>
      </w:r>
      <w:r>
        <w:rPr>
          <w:rFonts w:eastAsia="Cambria" w:cs="Cambria"/>
          <w:b w:val="false"/>
          <w:bCs w:val="false"/>
          <w:i w:val="false"/>
          <w:iCs w:val="false"/>
          <w:sz w:val="22"/>
          <w:szCs w:val="22"/>
        </w:rPr>
        <w:t>: In vielen Regionen bedeuten kürzere Tage, Kälte und mehr Zeit drinnen zusätzlichen Druck, gerade wenn noch kein fester Freundeskreis besteht (mehr dazu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Drittens die </w:t>
      </w:r>
      <w:r>
        <w:rPr>
          <w:rFonts w:eastAsia="Cambria" w:cs="Cambria"/>
          <w:b/>
          <w:bCs/>
          <w:i w:val="false"/>
          <w:iCs w:val="false"/>
          <w:sz w:val="22"/>
          <w:szCs w:val="22"/>
        </w:rPr>
        <w:t>ersten Feiertage</w:t>
      </w:r>
      <w:r>
        <w:rPr>
          <w:rFonts w:eastAsia="Cambria" w:cs="Cambria"/>
          <w:b w:val="false"/>
          <w:bCs w:val="false"/>
          <w:i w:val="false"/>
          <w:iCs w:val="false"/>
          <w:sz w:val="22"/>
          <w:szCs w:val="22"/>
        </w:rPr>
        <w:t xml:space="preserve"> fern der Familie – Thanksgiving kennst du noch nicht als eigene Tradition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aber spätestens Weihnachten und Silvester ohne die gewohnte Runde schlagen oft unerwartet stark zu. Manchmal genügt ein einziges Foto aus der Familien-Chat-Gruppe am Heiligabend – der gedeckte Tisch, die vertrauten Gesichter –, um einen ganzen Abend zu kippen.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Partner zurücksteht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stärksten trifft der Kulturschock häufig den mitreisenden Partner – meist mit </w:t>
      </w:r>
      <w:r>
        <w:rPr>
          <w:rFonts w:eastAsia="Cambria" w:cs="Cambria"/>
          <w:b w:val="false"/>
          <w:bCs w:val="false"/>
          <w:i/>
          <w:iCs/>
          <w:sz w:val="22"/>
          <w:szCs w:val="22"/>
        </w:rPr>
        <w:t>H-4</w:t>
      </w:r>
      <w:r>
        <w:rPr>
          <w:rFonts w:eastAsia="Cambria" w:cs="Cambria"/>
          <w:b w:val="false"/>
          <w:bCs w:val="false"/>
          <w:i w:val="false"/>
          <w:iCs w:val="false"/>
          <w:sz w:val="22"/>
          <w:szCs w:val="22"/>
        </w:rPr>
        <w:t>-Status ohne eigene Arbeitserlaubnis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in Deutschland einen Beruf, Kollegen und ein eigenes Einkommen hatte, verliert das in den USA oft komplett und ist finanziell und sozial vom Partner abhängig. Dazu kommt: Die Kinder finden über die Schule Anschluss, der arbeitende Partner über die Kollegen –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ausführlich; hier geht es um den emotionalen Preis, wenn Identität und Tagesstruktur gleichzeitig wegbrechen. Sprich offen aus, was fehlt, statt es als Undankbarkeit gegenüber der gemeinsamen Entscheidung zu werten.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Jugendliche im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Wechsel anders als Erwachsene, und jüngere anders als ältere. Vorschul- und Grundschulkinder finden über Schule und Sport meist vergleichsweise schnell Anschluss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und das neue Leben wird ständig, auch über soziale Medien, mit dem der zurückgelassenen Freunde verglichen.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Rückzug, plötzlich schlechtere Noten, Schlafprobleme oder anhaltende Gereiztheit bei einem Teenager sind selten reine Pubertät oder Trotz gegen die Eltern. Sprich das direkt an, ohne es kleinzureden („Das legt sich schon“) oder zu dramatisieren. Schulberater (</w:t>
            </w:r>
            <w:r>
              <w:rPr>
                <w:rFonts w:eastAsia="Cambria" w:cs="Cambria"/>
                <w:b w:val="false"/>
                <w:bCs w:val="false"/>
                <w:i/>
                <w:iCs/>
                <w:sz w:val="20"/>
                <w:szCs w:val="20"/>
              </w:rPr>
              <w:t>School Counselor</w:t>
            </w:r>
            <w:r>
              <w:rPr>
                <w:rFonts w:eastAsia="Cambria" w:cs="Cambria"/>
                <w:b w:val="false"/>
                <w:bCs w:val="false"/>
                <w:i w:val="false"/>
                <w:iCs w:val="false"/>
                <w:sz w:val="20"/>
                <w:szCs w:val="20"/>
              </w:rPr>
              <w:t>) sind an amerikanischen Schulen üblich und kostenlos ansprechbar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hilft: Routinen, Rituale, Bewegung,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wirken erfahrungsgemäß zuverlässiger gegen die Talsohle als reine Willenskraft:</w:t>
      </w:r>
    </w:p>
    <w:p>
      <w:pPr>
        <w:pStyle w:val="ListParagraph"/>
        <w:numPr>
          <w:ilvl w:val="0"/>
          <w:numId w:val="1"/>
        </w:numPr>
        <w:spacing w:lineRule="exact" w:line="288" w:before="0" w:after="60"/>
        <w:rPr/>
      </w:pPr>
      <w:r>
        <w:rPr>
          <w:rFonts w:eastAsia="Cambria" w:cs="Cambria"/>
          <w:b/>
          <w:bCs/>
          <w:i w:val="false"/>
          <w:iCs w:val="false"/>
          <w:sz w:val="22"/>
          <w:szCs w:val="22"/>
        </w:rPr>
        <w:t>Routinen.</w:t>
      </w:r>
      <w:r>
        <w:rPr>
          <w:rFonts w:eastAsia="Cambria" w:cs="Cambria"/>
          <w:b w:val="false"/>
          <w:bCs w:val="false"/>
          <w:i w:val="false"/>
          <w:iCs w:val="false"/>
          <w:sz w:val="22"/>
          <w:szCs w:val="22"/>
        </w:rPr>
        <w:t xml:space="preserve"> Feste Termine außerhalb der Wohnung – Sport, Kurs, Gottesdienst, Ehrenamt – geben Halt, wenn sonst wenig vertraut ist. Der Kalender lügt nicht: Was nicht eingetragen ist, findet in stressigen Wochen zuerst nicht statt.</w:t>
      </w:r>
    </w:p>
    <w:p>
      <w:pPr>
        <w:pStyle w:val="ListParagraph"/>
        <w:numPr>
          <w:ilvl w:val="0"/>
          <w:numId w:val="1"/>
        </w:numPr>
        <w:spacing w:lineRule="exact" w:line="288" w:before="0" w:after="60"/>
        <w:rPr/>
      </w:pPr>
      <w:r>
        <w:rPr>
          <w:rFonts w:eastAsia="Cambria" w:cs="Cambria"/>
          <w:b/>
          <w:bCs/>
          <w:i w:val="false"/>
          <w:iCs w:val="false"/>
          <w:sz w:val="22"/>
          <w:szCs w:val="22"/>
        </w:rPr>
        <w:t>Rituale.</w:t>
      </w:r>
      <w:r>
        <w:rPr>
          <w:rFonts w:eastAsia="Cambria" w:cs="Cambria"/>
          <w:b w:val="false"/>
          <w:bCs w:val="false"/>
          <w:i w:val="false"/>
          <w:iCs w:val="false"/>
          <w:sz w:val="22"/>
          <w:szCs w:val="22"/>
        </w:rPr>
        <w:t xml:space="preserve"> Kleine, wiederkehrende Anker verbinden altes und neues Leben: der Sonntagsanruf nach Deutschland zur gleichen Uhrzeit, der deutsche Brotbäcker im Ort, ein selbst gestalteter Nikolaustag für die Kinder, obwohl ihn hier niemand kennt.</w:t>
      </w:r>
    </w:p>
    <w:p>
      <w:pPr>
        <w:pStyle w:val="ListParagraph"/>
        <w:numPr>
          <w:ilvl w:val="0"/>
          <w:numId w:val="1"/>
        </w:numPr>
        <w:spacing w:lineRule="exact" w:line="288" w:before="0" w:after="60"/>
        <w:rPr/>
      </w:pPr>
      <w:r>
        <w:rPr>
          <w:rFonts w:eastAsia="Cambria" w:cs="Cambria"/>
          <w:b/>
          <w:bCs/>
          <w:i w:val="false"/>
          <w:iCs w:val="false"/>
          <w:sz w:val="22"/>
          <w:szCs w:val="22"/>
        </w:rPr>
        <w:t>Bewegung.</w:t>
      </w:r>
      <w:r>
        <w:rPr>
          <w:rFonts w:eastAsia="Cambria" w:cs="Cambria"/>
          <w:b w:val="false"/>
          <w:bCs w:val="false"/>
          <w:i w:val="false"/>
          <w:iCs w:val="false"/>
          <w:sz w:val="22"/>
          <w:szCs w:val="22"/>
        </w:rPr>
        <w:t xml:space="preserve"> Regelmäßige körperliche Aktivität wirkt nachweislich stimmungsaufhellend und ist zugleich ein einfacher Weg zu neuen Kontakten (Lauf- oder Sportgruppen,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Sprache.</w:t>
      </w:r>
      <w:r>
        <w:rPr>
          <w:rFonts w:eastAsia="Cambria" w:cs="Cambria"/>
          <w:b w:val="false"/>
          <w:bCs w:val="false"/>
          <w:i w:val="false"/>
          <w:iCs w:val="false"/>
          <w:sz w:val="22"/>
          <w:szCs w:val="22"/>
        </w:rP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Laufgruppen, Bibliotheksprogramme und die Angebote der städtischen Freizeitverwaltung kosten meist nichts oder wenig und liefern gleichzeitig Struktur, Bewegung und Kontakt – drei Bausteine gegen die Talsohle auf einmal.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dir Hilfe holen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eines oder mehrere der folgenden Anzeichen </w:t>
      </w:r>
      <w:r>
        <w:rPr>
          <w:rFonts w:eastAsia="Cambria" w:cs="Cambria"/>
          <w:b/>
          <w:bCs/>
          <w:i w:val="false"/>
          <w:iCs w:val="false"/>
          <w:sz w:val="22"/>
          <w:szCs w:val="22"/>
        </w:rPr>
        <w:t>über etwa zwei Wochen</w:t>
      </w:r>
      <w:r>
        <w:rPr>
          <w:rFonts w:eastAsia="Cambria" w:cs="Cambria"/>
          <w:b w:val="false"/>
          <w:bCs w:val="false"/>
          <w:i w:val="false"/>
          <w:iCs w:val="false"/>
          <w:sz w:val="22"/>
          <w:szCs w:val="22"/>
        </w:rPr>
        <w:t xml:space="preserve"> fast täglich auftreten:</w:t>
      </w:r>
    </w:p>
    <w:p>
      <w:pPr>
        <w:pStyle w:val="ListParagraph"/>
        <w:numPr>
          <w:ilvl w:val="0"/>
          <w:numId w:val="1"/>
        </w:numPr>
        <w:spacing w:lineRule="exact" w:line="288" w:before="0" w:after="60"/>
        <w:rPr/>
      </w:pPr>
      <w:r>
        <w:rPr>
          <w:rFonts w:eastAsia="Cambria" w:cs="Cambria"/>
          <w:b w:val="false"/>
          <w:bCs w:val="false"/>
          <w:i w:val="false"/>
          <w:iCs w:val="false"/>
          <w:sz w:val="22"/>
          <w:szCs w:val="22"/>
        </w:rPr>
        <w:t>anhaltende Traurigkeit, Leere oder Reizbarkeit, die sich nicht mehr von selbst bessert</w:t>
      </w:r>
    </w:p>
    <w:p>
      <w:pPr>
        <w:pStyle w:val="ListParagraph"/>
        <w:numPr>
          <w:ilvl w:val="0"/>
          <w:numId w:val="1"/>
        </w:numPr>
        <w:spacing w:lineRule="exact" w:line="288" w:before="0" w:after="60"/>
        <w:rPr/>
      </w:pPr>
      <w:r>
        <w:rPr>
          <w:rFonts w:eastAsia="Cambria" w:cs="Cambria"/>
          <w:b w:val="false"/>
          <w:bCs w:val="false"/>
          <w:i w:val="false"/>
          <w:iCs w:val="false"/>
          <w:sz w:val="22"/>
          <w:szCs w:val="22"/>
        </w:rPr>
        <w:t>Interessenverlust an Dingen, die sonst Freude machen</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 oder Appetitveränderungen, ständige Erschöpfung</w:t>
      </w:r>
    </w:p>
    <w:p>
      <w:pPr>
        <w:pStyle w:val="ListParagraph"/>
        <w:numPr>
          <w:ilvl w:val="0"/>
          <w:numId w:val="1"/>
        </w:numPr>
        <w:spacing w:lineRule="exact" w:line="288" w:before="0" w:after="60"/>
        <w:rPr/>
      </w:pPr>
      <w:r>
        <w:rPr>
          <w:rFonts w:eastAsia="Cambria" w:cs="Cambria"/>
          <w:b w:val="false"/>
          <w:bCs w:val="false"/>
          <w:i w:val="false"/>
          <w:iCs w:val="false"/>
          <w:sz w:val="22"/>
          <w:szCs w:val="22"/>
        </w:rPr>
        <w:t>spürbar schlechtere Leistung bei Arbeit, Schule oder im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Rückzug von Familie und den wenigen neuen Kontakten</w:t>
      </w:r>
    </w:p>
    <w:p>
      <w:pPr>
        <w:pStyle w:val="ListParagraph"/>
        <w:numPr>
          <w:ilvl w:val="0"/>
          <w:numId w:val="1"/>
        </w:numPr>
        <w:spacing w:lineRule="exact" w:line="288" w:before="0" w:after="60"/>
        <w:rPr/>
      </w:pPr>
      <w:r>
        <w:rPr>
          <w:rFonts w:eastAsia="Cambria" w:cs="Cambria"/>
          <w:b w:val="false"/>
          <w:bCs w:val="false"/>
          <w:i w:val="false"/>
          <w:iCs w:val="false"/>
          <w:sz w:val="22"/>
          <w:szCs w:val="22"/>
        </w:rPr>
        <w:t>mehr Alkohol oder Beruhigungsmittel als sonst, um den Tag zu überstehen</w:t>
      </w:r>
    </w:p>
    <w:p>
      <w:pPr>
        <w:pStyle w:val="ListParagraph"/>
        <w:numPr>
          <w:ilvl w:val="0"/>
          <w:numId w:val="1"/>
        </w:numPr>
        <w:spacing w:lineRule="exact" w:line="288" w:before="0" w:after="60"/>
        <w:rPr/>
      </w:pPr>
      <w:r>
        <w:rPr>
          <w:rFonts w:eastAsia="Cambria" w:cs="Cambria"/>
          <w:b w:val="false"/>
          <w:bCs w:val="false"/>
          <w:i w:val="false"/>
          <w:iCs w:val="false"/>
          <w:sz w:val="22"/>
          <w:szCs w:val="22"/>
        </w:rPr>
        <w:t>körperliche Beschwerden ohne erkennbare Ursache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kein Diagnoseinstrument, sondern eine Einladung, das Gefühl ernst zu nehmen und sich fachlich beraten zu lassen, statt es auszusitzen.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akuten Gedanken, sich selbst oder anderen etwas anzutun, wartest du nicht ab. Ruf, chatte oder schreibe sofort 988 (die </w:t>
            </w:r>
            <w:r>
              <w:rPr>
                <w:rFonts w:eastAsia="Cambria" w:cs="Cambria"/>
                <w:b w:val="false"/>
                <w:bCs w:val="false"/>
                <w:i/>
                <w:iCs/>
                <w:sz w:val="20"/>
                <w:szCs w:val="20"/>
              </w:rPr>
              <w:t>988 Suicide &amp; Crisis Lifeline</w:t>
            </w:r>
            <w:r>
              <w:rPr>
                <w:rFonts w:eastAsia="Cambria" w:cs="Cambria"/>
                <w:b w:val="false"/>
                <w:bCs w:val="false"/>
                <w:i w:val="false"/>
                <w:iCs w:val="false"/>
                <w:sz w:val="20"/>
                <w:szCs w:val="20"/>
              </w:rPr>
              <w:t>, kostenlose Krisenhilfe rund um die Uhr) oder wähle in unmittelbarer Gefahr 911. Die deutsche Auslandsvertretung ist keine Krisenhotline, hilft aber in echten Notlagen (etwa nach einem Verbrechen, Unfall oder Todesfall) rund um die Uhr weiter; die Nummer des zuständigen Generalkonsulats trägst du dir am besten schon vor dem Umzug ein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Therapie in den USA funktioniert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vertraute Krankenkassen-Überweisung in Deutschland ist Psychotherapie in den USA meist Verhandlungssache zwischen Angebot, Versicherung und Geldbeutel. Ein Überblick über die wichtigsten Wege:</w:t>
      </w:r>
    </w:p>
    <w:p>
      <w:pPr>
        <w:pStyle w:val="ListParagraph"/>
        <w:numPr>
          <w:ilvl w:val="0"/>
          <w:numId w:val="1"/>
        </w:numPr>
        <w:spacing w:lineRule="exact" w:line="288" w:before="0" w:after="60"/>
        <w:rPr/>
      </w:pPr>
      <w:r>
        <w:rPr>
          <w:rFonts w:eastAsia="Cambria" w:cs="Cambria"/>
          <w:b/>
          <w:bCs/>
          <w:i w:val="false"/>
          <w:iCs w:val="false"/>
          <w:sz w:val="22"/>
          <w:szCs w:val="22"/>
        </w:rPr>
        <w:t>Direkt bezahlen.</w:t>
      </w:r>
      <w:r>
        <w:rPr>
          <w:rFonts w:eastAsia="Cambria" w:cs="Cambria"/>
          <w:b w:val="false"/>
          <w:bCs w:val="false"/>
          <w:i w:val="false"/>
          <w:iCs w:val="false"/>
          <w:sz w:val="22"/>
          <w:szCs w:val="22"/>
        </w:rPr>
        <w:t xml:space="preserve"> Eine reguläre Sitzung bei einer Therapeutin oder einem Therapeuten kostet ohne Versicherung meist etwa 80–200 $ (Stand 2026). Ob und wie viel deine Krankenversicherung übernimmt, hängt vom </w:t>
      </w:r>
      <w:r>
        <w:rPr>
          <w:rFonts w:eastAsia="Cambria" w:cs="Cambria"/>
          <w:b w:val="false"/>
          <w:bCs w:val="false"/>
          <w:i/>
          <w:iCs/>
          <w:sz w:val="22"/>
          <w:szCs w:val="22"/>
        </w:rPr>
        <w:t>Deductible</w:t>
      </w:r>
      <w:r>
        <w:rPr>
          <w:rFonts w:eastAsia="Cambria" w:cs="Cambria"/>
          <w:b w:val="false"/>
          <w:bCs w:val="false"/>
          <w:i w:val="false"/>
          <w:iCs w:val="false"/>
          <w:sz w:val="22"/>
          <w:szCs w:val="22"/>
        </w:rPr>
        <w:t xml:space="preserve"> (Jahres-Selbstbehalt) und </w:t>
      </w:r>
      <w:r>
        <w:rPr>
          <w:rFonts w:eastAsia="Cambria" w:cs="Cambria"/>
          <w:b w:val="false"/>
          <w:bCs w:val="false"/>
          <w:i/>
          <w:iCs/>
          <w:sz w:val="22"/>
          <w:szCs w:val="22"/>
        </w:rPr>
        <w:t>Copay</w:t>
      </w:r>
      <w:r>
        <w:rPr>
          <w:rFonts w:eastAsia="Cambria" w:cs="Cambria"/>
          <w:b w:val="false"/>
          <w:bCs w:val="false"/>
          <w:i w:val="false"/>
          <w:iCs w:val="false"/>
          <w:sz w:val="22"/>
          <w:szCs w:val="22"/>
        </w:rPr>
        <w:t xml:space="preserve"> (Zuzahlung pro Sitzung) deines Plans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frage vor dem ersten Termin gezielt nach, ob die Praxis „in-network“ ist.</w:t>
      </w:r>
    </w:p>
    <w:p>
      <w:pPr>
        <w:pStyle w:val="ListParagraph"/>
        <w:numPr>
          <w:ilvl w:val="0"/>
          <w:numId w:val="1"/>
        </w:numPr>
        <w:spacing w:lineRule="exact" w:line="288" w:before="0" w:after="60"/>
        <w:rPr/>
      </w:pPr>
      <w:r>
        <w:rPr>
          <w:rFonts w:eastAsia="Cambria" w:cs="Cambria"/>
          <w:b/>
          <w:bCs/>
          <w:i w:val="false"/>
          <w:iCs w:val="false"/>
          <w:sz w:val="22"/>
          <w:szCs w:val="22"/>
        </w:rPr>
        <w:t>Betriebliche Beratung.</w:t>
      </w:r>
      <w:r>
        <w:rPr>
          <w:rFonts w:eastAsia="Cambria" w:cs="Cambria"/>
          <w:b w:val="false"/>
          <w:bCs w:val="false"/>
          <w:i w:val="false"/>
          <w:iCs w:val="false"/>
          <w:sz w:val="22"/>
          <w:szCs w:val="22"/>
        </w:rPr>
        <w:t xml:space="preserve"> Viele Arbeitgeber bieten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betriebliches Beratungs- und Vermittlungsprogramm) an, das meist mehrere – häufig drei bis acht – kostenlose Sitzungen pro Thema und Jahr umfasst, oft auch für mitversicherte Angehörige. Frage beim Arbeitgeber gezielt nach der Zahl der Sitzungen und ob Familienmitglieder eingeschlossen sind.</w:t>
      </w:r>
    </w:p>
    <w:p>
      <w:pPr>
        <w:pStyle w:val="ListParagraph"/>
        <w:numPr>
          <w:ilvl w:val="0"/>
          <w:numId w:val="1"/>
        </w:numPr>
        <w:spacing w:lineRule="exact" w:line="288" w:before="0" w:after="60"/>
        <w:rPr/>
      </w:pPr>
      <w:r>
        <w:rPr>
          <w:rFonts w:eastAsia="Cambria" w:cs="Cambria"/>
          <w:b/>
          <w:bCs/>
          <w:i w:val="false"/>
          <w:iCs w:val="false"/>
          <w:sz w:val="22"/>
          <w:szCs w:val="22"/>
        </w:rPr>
        <w:t>Telehealth.</w:t>
      </w:r>
      <w:r>
        <w:rPr>
          <w:rFonts w:eastAsia="Cambria" w:cs="Cambria"/>
          <w:b w:val="false"/>
          <w:bCs w:val="false"/>
          <w:i w:val="false"/>
          <w:iCs w:val="false"/>
          <w:sz w:val="22"/>
          <w:szCs w:val="22"/>
        </w:rPr>
        <w:t xml:space="preserve"> Fernbehandlung per Video oder Telefon (</w:t>
      </w:r>
      <w:r>
        <w:rPr>
          <w:rFonts w:eastAsia="Cambria" w:cs="Cambria"/>
          <w:b w:val="false"/>
          <w:bCs w:val="false"/>
          <w:i/>
          <w:iCs/>
          <w:sz w:val="22"/>
          <w:szCs w:val="22"/>
        </w:rPr>
        <w:t>Telehealth</w:t>
      </w:r>
      <w:r>
        <w:rPr>
          <w:rFonts w:eastAsia="Cambria" w:cs="Cambria"/>
          <w:b w:val="false"/>
          <w:bCs w:val="false"/>
          <w:i w:val="false"/>
          <w:iCs w:val="false"/>
          <w:sz w:val="22"/>
          <w:szCs w:val="22"/>
        </w:rPr>
        <w:t>)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 das ist in den USA Pflicht.</w:t>
      </w:r>
    </w:p>
    <w:p>
      <w:pPr>
        <w:pStyle w:val="ListParagraph"/>
        <w:numPr>
          <w:ilvl w:val="0"/>
          <w:numId w:val="1"/>
        </w:numPr>
        <w:spacing w:lineRule="exact" w:line="288" w:before="0" w:after="60"/>
        <w:rPr/>
      </w:pPr>
      <w:r>
        <w:rPr>
          <w:rFonts w:eastAsia="Cambria" w:cs="Cambria"/>
          <w:b/>
          <w:bCs/>
          <w:i w:val="false"/>
          <w:iCs w:val="false"/>
          <w:sz w:val="22"/>
          <w:szCs w:val="22"/>
        </w:rPr>
        <w:t>Günstige und kostenlose Angebote.</w:t>
      </w:r>
      <w:r>
        <w:rPr>
          <w:rFonts w:eastAsia="Cambria" w:cs="Cambria"/>
          <w:b w:val="false"/>
          <w:bCs w:val="false"/>
          <w:i w:val="false"/>
          <w:iCs w:val="false"/>
          <w:sz w:val="22"/>
          <w:szCs w:val="22"/>
        </w:rPr>
        <w:t xml:space="preserve"> Open Path Collective vermittelt Sitzungen für etwa 40–70 $ (einmalige Mitgliedsgebühr rund 65 $); Community Mental Health Centers und, bei Studierenden, Universitätskliniken arbeiten oft nach Einkommen gestaffelt. FindTreatment.gov (eine Datenbank der US-Bundesbehörde SAMHSA) hilft bei der Suche nach lokalen Anlaufstellen.</w:t>
      </w:r>
    </w:p>
    <w:p>
      <w:pPr>
        <w:pStyle w:val="ListParagraph"/>
        <w:numPr>
          <w:ilvl w:val="0"/>
          <w:numId w:val="1"/>
        </w:numPr>
        <w:spacing w:lineRule="exact" w:line="288" w:before="0" w:after="60"/>
        <w:rPr/>
      </w:pPr>
      <w:r>
        <w:rPr>
          <w:rFonts w:eastAsia="Cambria" w:cs="Cambria"/>
          <w:b/>
          <w:bCs/>
          <w:i w:val="false"/>
          <w:iCs w:val="false"/>
          <w:sz w:val="22"/>
          <w:szCs w:val="22"/>
        </w:rPr>
        <w:t>Deutschsprachige Therapeuten.</w:t>
      </w:r>
      <w:r>
        <w:rPr>
          <w:rFonts w:eastAsia="Cambria" w:cs="Cambria"/>
          <w:b w:val="false"/>
          <w:bCs w:val="false"/>
          <w:i w:val="false"/>
          <w:iCs w:val="false"/>
          <w:sz w:val="22"/>
          <w:szCs w:val="22"/>
        </w:rPr>
        <w:t xml:space="preserve"> Verzeichnisse wie Psychology Today (Sprachfilter „German“), Zencare oder therapist.com listen deutschsprachige Therapeutinnen und Therapeuten, viele davon auch per Telehealth über Bundesstaatsgrenzen hinweg erreichbar, solange die Lizenz zum Wohnsitzstaat passt.</w:t>
      </w:r>
    </w:p>
    <w:p>
      <w:pPr>
        <w:pStyle w:val="ListParagraph"/>
        <w:numPr>
          <w:ilvl w:val="0"/>
          <w:numId w:val="1"/>
        </w:numPr>
        <w:spacing w:lineRule="exact" w:line="288" w:before="0" w:after="60"/>
        <w:rPr/>
      </w:pPr>
      <w:r>
        <w:rPr>
          <w:rFonts w:eastAsia="Cambria" w:cs="Cambria"/>
          <w:b/>
          <w:bCs/>
          <w:i w:val="false"/>
          <w:iCs w:val="false"/>
          <w:sz w:val="22"/>
          <w:szCs w:val="22"/>
        </w:rPr>
        <w:t>Krisenhilfe 988.</w:t>
      </w:r>
      <w:r>
        <w:rPr>
          <w:rFonts w:eastAsia="Cambria" w:cs="Cambria"/>
          <w:b w:val="false"/>
          <w:bCs w:val="false"/>
          <w:i w:val="false"/>
          <w:iCs w:val="false"/>
          <w:sz w:val="22"/>
          <w:szCs w:val="22"/>
        </w:rPr>
        <w:t xml:space="preserve"> Die 988 Suicide &amp; Crisis Lifeline ist rund um die Uhr per Anruf, SMS oder Chat erreichbar, kostenlos, mit Dolmetscherdiensten in über 240 Sprachen für Anrufe; ob Deutsch namentlich gelistet ist, war zuletzt nicht sicher zu bestätigen – im Zweifel einfach die gewünschte Sprache nennen.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Gespräche im EAP gelten grundsätzlich als vertraulich, doch in kleinen Firmen erfährt die Personalabteilung mitunter, dass jemand das Programm nutzt (ohne Gesprächsinhalte). Frage beim Erstkontakt offen nach den Vertraulichkeitsregeln, wenn dir das wichtig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Kontakt zur Familie: Zeitverschiebung und Pflegefall zu Hause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Berlin liegt sechs Stunden vor der Ostküste und neun vor der Westküste (Standardzeit; Details zur Zeitverschiebung im Alltag stehen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Für regelmäßigen Kontakt hilft ein fester Termin mehr als spontane Anrufe, die an der Zeitverschiebung meist scheitern – etwa der Sonntagabend deutscher Zeit, an der Westküste eher der 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Schwieriger wird es, wenn ein Elternteil oder Angehöriger zu Hause pflegebedürftig wird. Drei Dinge helfen, wenn dieser Fall eintritt: eine </w:t>
      </w: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eine Person vor Ort, die im Ernstfall handeln kann; ein </w:t>
      </w:r>
      <w:r>
        <w:rPr>
          <w:rFonts w:eastAsia="Cambria" w:cs="Cambria"/>
          <w:b/>
          <w:bCs/>
          <w:i w:val="false"/>
          <w:iCs w:val="false"/>
          <w:sz w:val="22"/>
          <w:szCs w:val="22"/>
        </w:rPr>
        <w:t>realistischer Plan</w:t>
      </w:r>
      <w:r>
        <w:rPr>
          <w:rFonts w:eastAsia="Cambria" w:cs="Cambria"/>
          <w:b w:val="false"/>
          <w:bCs w:val="false"/>
          <w:i w:val="false"/>
          <w:iCs w:val="false"/>
          <w:sz w:val="22"/>
          <w:szCs w:val="22"/>
        </w:rPr>
        <w:t xml:space="preserve">, wer die Pflege organisiert (Geschwister, ambulanter Pflegedienst, Heimplatz); und </w:t>
      </w:r>
      <w:r>
        <w:rPr>
          <w:rFonts w:eastAsia="Cambria" w:cs="Cambria"/>
          <w:b/>
          <w:bCs/>
          <w:i w:val="false"/>
          <w:iCs w:val="false"/>
          <w:sz w:val="22"/>
          <w:szCs w:val="22"/>
        </w:rPr>
        <w:t>Klarheit über deinen eigenen Status</w:t>
      </w:r>
      <w:r>
        <w:rPr>
          <w:rFonts w:eastAsia="Cambria" w:cs="Cambria"/>
          <w:b w:val="false"/>
          <w:bCs w:val="false"/>
          <w:i w:val="false"/>
          <w:iCs w:val="false"/>
          <w:sz w:val="22"/>
          <w:szCs w:val="22"/>
        </w:rPr>
        <w:t>, bevor du kurzfristig fliegst. Wer mitten im Green-Card-Verfahren steckt, braucht unter Umständen vorab eine Reiseerlaubnis (</w:t>
      </w:r>
      <w:r>
        <w:rPr>
          <w:rFonts w:eastAsia="Cambria" w:cs="Cambria"/>
          <w:b w:val="false"/>
          <w:bCs w:val="false"/>
          <w:i/>
          <w:iCs/>
          <w:sz w:val="22"/>
          <w:szCs w:val="22"/>
        </w:rPr>
        <w:t>Advance Parole</w:t>
      </w:r>
      <w:r>
        <w:rPr>
          <w:rFonts w:eastAsia="Cambria" w:cs="Cambria"/>
          <w:b w:val="false"/>
          <w:bCs w:val="false"/>
          <w:i w:val="false"/>
          <w:iCs w:val="false"/>
          <w:sz w:val="22"/>
          <w:szCs w:val="22"/>
        </w:rPr>
        <w:t>), um die USA ohne Nachteile für das Verfahren zu verlassen und wieder einzureisen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bei anderen Visa reicht meist ein gültiger Einreisestempel beziehungsweise ein gültiges Visum im Pass. Das unbezahlte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Bundesgesetz zur Familienfreistellung) erlaubt unter bestimmten Voraussetzungen – mindestens zwölf Monate und 1.250 Stunden bei einem Arbeitgeber mit mindestens 50 Beschäftigten im Umkreis von 75 Meilen – bis zu zwölf Wochen Freistellung auch für die Pflege eines Elternteils; ob das auch für Angehörige im Ausland gilt, kläre frühzeitig mit der Personalabteilung.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Kläre deinen Status </w:t>
            </w:r>
            <w:r>
              <w:rPr>
                <w:rFonts w:eastAsia="Cambria" w:cs="Cambria"/>
                <w:b/>
                <w:bCs/>
                <w:i w:val="false"/>
                <w:iCs w:val="false"/>
                <w:sz w:val="20"/>
                <w:szCs w:val="20"/>
              </w:rPr>
              <w:t>bevor</w:t>
            </w:r>
            <w:r>
              <w:rPr>
                <w:rFonts w:eastAsia="Cambria" w:cs="Cambria"/>
                <w:b w:val="false"/>
                <w:bCs w:val="false"/>
                <w:i w:val="false"/>
                <w:iCs w:val="false"/>
                <w:sz w:val="20"/>
                <w:szCs w:val="20"/>
              </w:rPr>
              <w:t xml:space="preserve"> ein Notfall eintritt, nicht währenddessen. Wer erst am Flughafen merkt, dass eine Reiseerlaubnis fehlt, riskiert im schlimmsten Fall Monate oder Jahre eines laufenden Verfahrens.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durchlebt im dritten Monat in der Nähe von Detroit die klassische Kulturschock-Talsohle. Sie schläft schlecht, weint häufiger beim Telefonat mit ihrer Mutter und zweifelt am ganzen Umzug. Auslöser ist oft eine Kleinigkeit: Als ihre Mutter am Telefon beiläufig fragt, ob der Kuchen von nebenan noch genauso schmeckt, kann Anna für den Rest des Gesprächs nicht mehr sprechen. Markus’ Arbeitgeber bietet ein EAP mit mehreren kostenlosen Sitzungen pro Thema und Jahr, das auch mitversicherte Angehörige nutzen dürfen. Über ein Online-Verzeichnis mit Sprachfilter findet Anna eine deutschsprachige Therapeutin und vereinbart drei Video-Sitzungen. Danach fällt es ihr leichter, sich feste Termine zu setzen, statt sich zurückzuziehen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Nach sechs Wochen ist die akute Krise vorbei; schlechte Tage gibt es weiterhin, aber jetzt kennt sie Werkzeuge dagegen.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Paare unter Stress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finanzielle Abhängigkeit bei fehlender Arbeitserlaubnis und der Wegfall des gewohnten Unterstützungsnetzes aus Familie und alten Freunden, das in Krisen sonst auffängt. Wer das offen anspricht, statt es zu verdrängen, kommt meist besser durch die ersten Jahre.</w:t>
      </w:r>
    </w:p>
    <w:p>
      <w:pPr>
        <w:pStyle w:val="ListParagraph"/>
        <w:numPr>
          <w:ilvl w:val="0"/>
          <w:numId w:val="1"/>
        </w:numPr>
        <w:spacing w:lineRule="exact" w:line="288" w:before="0" w:after="60"/>
        <w:rPr/>
      </w:pPr>
      <w:r>
        <w:rPr>
          <w:rFonts w:eastAsia="Cambria" w:cs="Cambria"/>
          <w:b w:val="false"/>
          <w:bCs w:val="false"/>
          <w:i w:val="false"/>
          <w:iCs w:val="false"/>
          <w:sz w:val="22"/>
          <w:szCs w:val="22"/>
        </w:rPr>
        <w:t>Vereinbart ein festes wöchentliches Gespräch nur zu zweit, ohne Handy, in dem beide offen sagen dürfen, was fehlt.</w:t>
      </w:r>
    </w:p>
    <w:p>
      <w:pPr>
        <w:pStyle w:val="ListParagraph"/>
        <w:numPr>
          <w:ilvl w:val="0"/>
          <w:numId w:val="1"/>
        </w:numPr>
        <w:spacing w:lineRule="exact" w:line="288" w:before="0" w:after="60"/>
        <w:rPr/>
      </w:pPr>
      <w:r>
        <w:rPr>
          <w:rFonts w:eastAsia="Cambria" w:cs="Cambria"/>
          <w:b w:val="false"/>
          <w:bCs w:val="false"/>
          <w:i w:val="false"/>
          <w:iCs w:val="false"/>
          <w:sz w:val="22"/>
          <w:szCs w:val="22"/>
        </w:rPr>
        <w:t>Verteilt Verantwortung neu, wenn ein Partner zu Hause bleibt – finanzielle Abhängigkeit heißt nicht automatisch weniger Mitsprache.</w:t>
      </w:r>
    </w:p>
    <w:p>
      <w:pPr>
        <w:pStyle w:val="ListParagraph"/>
        <w:numPr>
          <w:ilvl w:val="0"/>
          <w:numId w:val="1"/>
        </w:numPr>
        <w:spacing w:lineRule="exact" w:line="288" w:before="0" w:after="60"/>
        <w:rPr/>
      </w:pPr>
      <w:r>
        <w:rPr>
          <w:rFonts w:eastAsia="Cambria" w:cs="Cambria"/>
          <w:b w:val="false"/>
          <w:bCs w:val="false"/>
          <w:i w:val="false"/>
          <w:iCs w:val="false"/>
          <w:sz w:val="22"/>
          <w:szCs w:val="22"/>
        </w:rPr>
        <w:t>Nutzt bei Bedarf Paarberatung; viele EAPs und Telehealth-Anbieter vermitteln auch Paarsitzungen, nicht nur Einzeltherapie.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Große Entscheidungen – Kündigung, vorzeitige Rückkehr nach Deutschland, Trennung – solltest du nach Möglichkeit nicht mitten in der Kulturschock-Talsohle treffen. Was sich im dritten Monat unerträglich anfühlt, sieht im siebten oft anders aus. Zum ehrlichen Plan B gehört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Sich professionelle Hilfe zu holen, ist in den USA weit verbreitet und kein Zeichen des Scheiterns – es ist eher die Ausnahme, die niemand in Anspruch nimmt, die auffällt.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Herausforderungen stärken oft Selbstvertrauen und Problemlösefähigkeit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Wegfall vertrauter Netzwerke wiegt in Krisen schwer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US-Arbeitgeber bieten häufiger EAP und Telehealth als deutsche Betriebe</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Therapiekosten und Versicherungsregeln sind ohne Plan unübersichtlich</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Familie und Freunde näher als frühere Auswanderergenerationen es kannten</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Zeitverschiebung erschwert spontane Nähe im Notfall</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Kulturschock ist zeitlich begrenzt und meist überwindbar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Beziehungen zerbrechen am Druck der ersten Jahre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 Talsohle übersteht, gewinnt oft eine stabilere, bikulturelle Identität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Rückzug in die eigene Wohnung verlängert die Einsamkeit zusätzlich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Baue schon in den ersten Wochen zwei bis drei feste Termine außerhalb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feste Wochentermine außerhalb der Wohnung von Anfang an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EAP-Leistungen des Arbeitgebers erfragen: Zahl der Sitzungen, Einschluss von Angehörigen, Vertraulichkeit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deutschsprachige Therapeutin oder einen Therapeuten über ein Online-Verzeichnis vormerken, bevor akuter Bedarf besteht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in den Kontakten speichern; wissen, dass Anruf, SMS und Chat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Heimatbesuchen zu Feiertagen früh buchen statt im Tief spontan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und Teenagern auf Schlaf, Noten, Rückzug und körperliche Beschwerden achten und offen ansprechen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Vorsorgevollmacht für Angehörige zu Hause klären, bevor ein Pflegefall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laufendem Green-Card-Verfahren die Regeln zu Advance Parole vor jeder Reise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Paar ein festes wöchentliches Gespräch ohne Ablenkung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Große Entscheidungen (Kündigung, Rückkehr, Trennung) nicht in der akuten Talsohle treffen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&amp; Crisis Lifeline — Krisenhilfe, Sprachen, Kontaktwege (</w:t>
      </w:r>
      <w:hyperlink r:id="rId316">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Häufige Fragen zu 988 (</w:t>
      </w:r>
      <w:hyperlink r:id="rId317">
        <w:r>
          <w:rPr>
            <w:rStyle w:val="ListLabel113"/>
            <w:rFonts w:eastAsia="Cambria" w:cs="Cambria"/>
            <w:b w:val="false"/>
            <w:bCs w:val="false"/>
            <w:i w:val="false"/>
            <w:iCs w:val="false"/>
            <w:color w:val="0563C1"/>
            <w:sz w:val="22"/>
            <w:szCs w:val="22"/>
            <w:u w:val="single"/>
          </w:rPr>
          <w:t>samhsa.gov/mental-health/988/faqs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Behandlungssuche FindTreatment.gov (</w:t>
      </w:r>
      <w:hyperlink r:id="rId31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Psychology Today — deutschsprachige Therapeutensuche (</w:t>
      </w:r>
      <w:hyperlink r:id="rId319">
        <w:r>
          <w:rPr>
            <w:rStyle w:val="ListLabel113"/>
            <w:rFonts w:eastAsia="Cambria" w:cs="Cambria"/>
            <w:b w:val="false"/>
            <w:bCs w:val="false"/>
            <w:i w:val="false"/>
            <w:iCs w:val="false"/>
            <w:color w:val="0563C1"/>
            <w:sz w:val="22"/>
            <w:szCs w:val="22"/>
            <w:u w:val="single"/>
          </w:rPr>
          <w:t>psychologytoday.com/us/therapists/german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Path Collective — reduzierte Therapiepreise (</w:t>
      </w:r>
      <w:hyperlink r:id="rId320">
        <w:r>
          <w:rPr>
            <w:rStyle w:val="ListLabel113"/>
            <w:rFonts w:eastAsia="Cambria" w:cs="Cambria"/>
            <w:b w:val="false"/>
            <w:bCs w:val="false"/>
            <w:i w:val="false"/>
            <w:iCs w:val="false"/>
            <w:color w:val="0563C1"/>
            <w:sz w:val="22"/>
            <w:szCs w:val="22"/>
            <w:u w:val="single"/>
          </w:rPr>
          <w:t>openpathcollective.org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Office of Personnel Management — Employee Assistance Programs (</w:t>
      </w:r>
      <w:hyperlink r:id="rId321">
        <w:r>
          <w:rPr>
            <w:rStyle w:val="ListLabel113"/>
            <w:rFonts w:eastAsia="Cambria" w:cs="Cambria"/>
            <w:b w:val="false"/>
            <w:bCs w:val="false"/>
            <w:i w:val="false"/>
            <w:iCs w:val="false"/>
            <w:color w:val="0563C1"/>
            <w:sz w:val="22"/>
            <w:szCs w:val="22"/>
            <w:u w:val="single"/>
          </w:rPr>
          <w:t>opm.gov</w:t>
        </w:r>
      </w:hyperlink>
      <w:r>
        <w:rPr>
          <w:rFonts w:eastAsia="Cambria" w:cs="Cambria"/>
          <w:b w:val="false"/>
          <w:bCs w:val="false"/>
          <w:i w:val="false"/>
          <w:iCs w:val="false"/>
          <w:sz w:val="22"/>
          <w:szCs w:val="22"/>
        </w:rPr>
        <w:t>, Suche: employee assistance program)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3" w:name="__RefHeading___Toc56508_3457424410"/>
      <w:bookmarkStart w:id="84" w:name="k34"/>
      <w:bookmarkEnd w:id="83"/>
      <w:r>
        <w:rPr>
          <w:rFonts w:eastAsia="Amazon Ember" w:cs="Amazon Ember" w:ascii="Amazon Ember" w:hAnsi="Amazon Ember"/>
          <w:b/>
          <w:bCs/>
          <w:color w:val="0000FF"/>
          <w:sz w:val="36"/>
          <w:szCs w:val="36"/>
        </w:rPr>
        <w:t>Kapitel 34: Kleidung: Was man trägt, was man kauft, was man mitnimmt</w:t>
      </w:r>
      <w:bookmarkEnd w:id="84"/>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Die Regeln dahinter sind selten aufgeschrieben, aber gut zu beobachten.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Komfort geht vor Anlass: Im Alltag und in den meisten Büros ist Legeres normal; Anzüge bleiben Finanzen, Recht und formellen Anlässen vorbehalten.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Einen Dresscode findest du selten schriftlich. Frage nach; zum Vorstellungsgespräch kommst du eine Stufe formeller.</w:t>
            </w:r>
          </w:p>
          <w:p>
            <w:pPr>
              <w:pStyle w:val="ListParagraph"/>
              <w:numPr>
                <w:ilvl w:val="0"/>
                <w:numId w:val="1"/>
              </w:numPr>
              <w:spacing w:lineRule="exact" w:line="264" w:before="0" w:after="50"/>
              <w:rPr/>
            </w:pPr>
            <w:r>
              <w:rPr>
                <w:rFonts w:eastAsia="Cambria" w:cs="Cambria"/>
                <w:b w:val="false"/>
                <w:bCs w:val="false"/>
                <w:i w:val="false"/>
                <w:iCs w:val="false"/>
                <w:sz w:val="20"/>
                <w:szCs w:val="20"/>
              </w:rPr>
              <w:t>US-Größen schwanken je Marke (</w:t>
            </w:r>
            <w:r>
              <w:rPr>
                <w:rFonts w:eastAsia="Cambria" w:cs="Cambria"/>
                <w:b w:val="false"/>
                <w:bCs w:val="false"/>
                <w:i/>
                <w:iCs/>
                <w:sz w:val="20"/>
                <w:szCs w:val="20"/>
              </w:rPr>
              <w:t>Vanity Sizing</w:t>
            </w:r>
            <w:r>
              <w:rPr>
                <w:rFonts w:eastAsia="Cambria" w:cs="Cambria"/>
                <w:b w:val="false"/>
                <w:bCs w:val="false"/>
                <w:i w:val="false"/>
                <w:iCs w:val="false"/>
                <w:sz w:val="20"/>
                <w:szCs w:val="20"/>
              </w:rPr>
              <w:t>). Die Tabellen hier sind ein Startpunkt, anprobieren bleibt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Basics, Winterausrüstung und Kinderkleidung kaufst du vor Ort: Off-Price-Ketten, Sales, Second Hand.</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gute Schuhe, eine warme Jacke bei kaltem Klima, ein bis zwei Business-Outfits, Tracht und Outdoor-Ausrüstung.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Strand und im Pool ist Badebekleidung Pflicht, FKK praktisch unüblich. Im fremden Haus fragst du, ob die Schuhe an bleiben.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Komfort vor Anlass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vor allem amerikanische Filme und Serien kennt, erwartet im Büro Anzug und Krawatte wie im Wall-Street-Klischee. Tatsächlich ist meist das Gegenteil der Fall: Wer sich wohlfühlt, kleidet sich richtig. Sneaker, Jeans, Kapuzenpullover und Sportkleidung (</w:t>
      </w:r>
      <w:r>
        <w:rPr>
          <w:rFonts w:eastAsia="Cambria" w:cs="Cambria"/>
          <w:b w:val="false"/>
          <w:bCs w:val="false"/>
          <w:i/>
          <w:iCs/>
          <w:sz w:val="22"/>
          <w:szCs w:val="22"/>
        </w:rPr>
        <w:t>Athleisure</w:t>
      </w:r>
      <w:r>
        <w:rPr>
          <w:rFonts w:eastAsia="Cambria" w:cs="Cambria"/>
          <w:b w:val="false"/>
          <w:bCs w:val="false"/>
          <w:i w:val="false"/>
          <w:iCs w:val="false"/>
          <w:sz w:val="22"/>
          <w:szCs w:val="22"/>
        </w:rPr>
        <w:t>: Leggings, Jogginghosen und Funktionsshirts als Alltagskleidung) gehen im Büro, im Klassenzimmer und oft auch im Restaurant. Flip-Flops sind in warmen Regionen von Frühjahr bis Herbst allgegenwärtig. Wer im Januar in Shorts zur Schule geht, hat meist nur den Weg vom beheizten Auto ins beheizte Gebäude vor sich. Und eine Pyjamahose im Supermarkt ist kein Notfall, sondern ein gewöhnlicher Dienstagvormittag.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Legerheit heißt nicht Gleichgültigkeit: Sauber, ohne Löcher und zum Anlass passend zählt weiterhin. Wer im Anzug erscheint, wo alle Jeans tragen, wird selten schief angesehen, fällt aber auf – als hätte er die Einladung zum Grillabend mit der zur Hochzeit verwechselt.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Dresscodes im Job: nach Branche und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Gesetz schreibt dir vor, was du im Büro trägst; jeder Arbeitgeber regelt das selbst, oft im </w:t>
      </w:r>
      <w:r>
        <w:rPr>
          <w:rFonts w:eastAsia="Cambria" w:cs="Cambria"/>
          <w:b w:val="false"/>
          <w:bCs w:val="false"/>
          <w:i/>
          <w:iCs/>
          <w:sz w:val="22"/>
          <w:szCs w:val="22"/>
        </w:rPr>
        <w:t>Employee Handbook</w:t>
      </w:r>
      <w:r>
        <w:rPr>
          <w:rFonts w:eastAsia="Cambria" w:cs="Cambria"/>
          <w:b w:val="false"/>
          <w:bCs w:val="false"/>
          <w:i w:val="false"/>
          <w:iCs w:val="false"/>
          <w:sz w:val="22"/>
          <w:szCs w:val="22"/>
        </w:rPr>
        <w:t xml:space="preserve"> (Mitarbeiterhandbuch). Drei Stufen begegnen dir am häufigsten: </w:t>
      </w:r>
      <w:r>
        <w:rPr>
          <w:rFonts w:eastAsia="Cambria" w:cs="Cambria"/>
          <w:b w:val="false"/>
          <w:bCs w:val="false"/>
          <w:i/>
          <w:iCs/>
          <w:sz w:val="22"/>
          <w:szCs w:val="22"/>
        </w:rPr>
        <w:t>Business Formal</w:t>
      </w:r>
      <w:r>
        <w:rPr>
          <w:rFonts w:eastAsia="Cambria" w:cs="Cambria"/>
          <w:b w:val="false"/>
          <w:bCs w:val="false"/>
          <w:i w:val="false"/>
          <w:iCs w:val="false"/>
          <w:sz w:val="22"/>
          <w:szCs w:val="22"/>
        </w:rPr>
        <w:t xml:space="preserve"> (Anzug und Krawatte oder Kostüm), </w:t>
      </w:r>
      <w:r>
        <w:rPr>
          <w:rFonts w:eastAsia="Cambria" w:cs="Cambria"/>
          <w:b w:val="false"/>
          <w:bCs w:val="false"/>
          <w:i/>
          <w:iCs/>
          <w:sz w:val="22"/>
          <w:szCs w:val="22"/>
        </w:rPr>
        <w:t>Business Casual</w:t>
      </w:r>
      <w:r>
        <w:rPr>
          <w:rFonts w:eastAsia="Cambria" w:cs="Cambria"/>
          <w:b w:val="false"/>
          <w:bCs w:val="false"/>
          <w:i w:val="false"/>
          <w:iCs w:val="false"/>
          <w:sz w:val="22"/>
          <w:szCs w:val="22"/>
        </w:rPr>
        <w:t xml:space="preserve"> (Hemd oder Bluse, Chino oder Stoffhose, keine Krawatte) und </w:t>
      </w:r>
      <w:r>
        <w:rPr>
          <w:rFonts w:eastAsia="Cambria" w:cs="Cambria"/>
          <w:b w:val="false"/>
          <w:bCs w:val="false"/>
          <w:i/>
          <w:iCs/>
          <w:sz w:val="22"/>
          <w:szCs w:val="22"/>
        </w:rPr>
        <w:t>Casual</w:t>
      </w:r>
      <w:r>
        <w:rPr>
          <w:rFonts w:eastAsia="Cambria" w:cs="Cambria"/>
          <w:b w:val="false"/>
          <w:bCs w:val="false"/>
          <w:i w:val="false"/>
          <w:iCs w:val="false"/>
          <w:sz w:val="22"/>
          <w:szCs w:val="22"/>
        </w:rPr>
        <w:t xml:space="preserve"> (Jeans, T-Shirt, Sneaker). Die meisten Büros liegen bei Business Casual oder darunter.</w:t>
      </w:r>
    </w:p>
    <w:tbl>
      <w:tblPr>
        <w:tblW w:w="6480" w:type="dxa"/>
        <w:jc w:val="left"/>
        <w:tblInd w:w="0" w:type="dxa"/>
        <w:tblLayout w:type="fixed"/>
        <w:tblCellMar>
          <w:top w:w="50" w:type="dxa"/>
          <w:left w:w="80" w:type="dxa"/>
          <w:bottom w:w="50" w:type="dxa"/>
          <w:right w:w="80" w:type="dxa"/>
        </w:tblCellMar>
      </w:tblPr>
      <w:tblGrid>
        <w:gridCol w:w="2072"/>
        <w:gridCol w:w="1944"/>
        <w:gridCol w:w="2464"/>
      </w:tblGrid>
      <w:tr>
        <w:trPr>
          <w:tblHeader w:val="true"/>
          <w:cantSplit w:val="true"/>
        </w:trPr>
        <w:tc>
          <w:tcPr>
            <w:tcW w:w="20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Branche</w:t>
            </w:r>
          </w:p>
        </w:tc>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Üblich im Alltag</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und Software</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Jeans, T-Shirt oder Hoodie, Sneaker</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Anzug wirkt eher deplatziert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Ingenieurbüro, Fertigung</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im Büro, Polo und Arbeitshose in der Halle</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Schutzbrille, Sicherheitsschuhe meist Pflicht; kläre, wer zahlt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und Recht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oder Kostüm bei Kunden und Gericht, sonst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Firma streng</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Kittel oder </w:t>
            </w:r>
            <w:r>
              <w:rPr>
                <w:rFonts w:eastAsia="Cambria" w:cs="Cambria"/>
                <w:b w:val="false"/>
                <w:bCs w:val="false"/>
                <w:i/>
                <w:iCs/>
                <w:sz w:val="18"/>
                <w:szCs w:val="18"/>
              </w:rPr>
              <w:t>Scrubs</w:t>
            </w:r>
            <w:r>
              <w:rPr>
                <w:rFonts w:eastAsia="Cambria" w:cs="Cambria"/>
                <w:b w:val="false"/>
                <w:bCs w:val="false"/>
                <w:i w:val="false"/>
                <w:iCs w:val="false"/>
                <w:sz w:val="18"/>
                <w:szCs w:val="18"/>
              </w:rPr>
              <w:t xml:space="preserve"> (OP-Kleidung)</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und geschlossene Schuhe meist vorgegeben</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Universität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Casual bis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Lehrende Hemd und Sakko, Studierende Jeans und Uni-Sweatshirt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Region prägt den Ton. An der Westküste, in Kalifornien und Seattle, kleidet man sich am legersten; Outdoor-Jacken und Fleece gehören selbst im Büro dazu. In New York und Boston fällt die Kleidung in Finanzen, Recht und Beratung formeller aus, im Süden zählt für Kirche, Feiern und Restaurants ordentliche Kleidung, im Alltag die Hitze. Im Mittleren Westen, etwa im Großraum Detroit, überwiegt das Funktionale: Fleecejacken, Flanellhemden, Arbeitsstiefel. Das sind Tendenzen: Zwei Firmen in derselben Stadt unterscheiden sich oft stärker als zwei Regionen.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Zum Vorstellungsgespräch gilt eine Stufe formeller als der Firmenalltag: bei Tech-Unternehmen Business Casual, bei Banken, Kanzleien und Beratungen der Anzug. Frage die Personalabteilung ruhig: „What is the dress code for the interview?“ Das ist üblich und wirkt nicht unsicher.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Dresscode steht selten irgendwo, aber er ist fast immer sichtbar. Beobachte in der ersten Woche, was Kolleginnen, Kollegen, Eltern und Nachbarn tragen, und richte dich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Anlässe: Restaurant, Hochzeit, Halloween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Restaurants sind meist casual; an vielen Türen hängt das Schild „No Shirt, No Shoes, No Service“. Gehobene Häuser erwarten </w:t>
      </w:r>
      <w:r>
        <w:rPr>
          <w:rFonts w:eastAsia="Cambria" w:cs="Cambria"/>
          <w:b w:val="false"/>
          <w:bCs w:val="false"/>
          <w:i/>
          <w:iCs/>
          <w:sz w:val="22"/>
          <w:szCs w:val="22"/>
        </w:rPr>
        <w:t>Business Casual</w:t>
      </w:r>
      <w:r>
        <w:rPr>
          <w:rFonts w:eastAsia="Cambria" w:cs="Cambria"/>
          <w:b w:val="false"/>
          <w:bCs w:val="false"/>
          <w:i w:val="false"/>
          <w:iCs w:val="false"/>
          <w:sz w:val="22"/>
          <w:szCs w:val="22"/>
        </w:rPr>
        <w:t>, teils mit Jackett, das steht auf der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Hochzeiten nennt die Einladung häufig den Dresscode: </w:t>
      </w:r>
      <w:r>
        <w:rPr>
          <w:rFonts w:eastAsia="Cambria" w:cs="Cambria"/>
          <w:b w:val="false"/>
          <w:bCs w:val="false"/>
          <w:i/>
          <w:iCs/>
          <w:sz w:val="22"/>
          <w:szCs w:val="22"/>
        </w:rPr>
        <w:t>Black Tie</w:t>
      </w:r>
      <w:r>
        <w:rPr>
          <w:rFonts w:eastAsia="Cambria" w:cs="Cambria"/>
          <w:b w:val="false"/>
          <w:bCs w:val="false"/>
          <w:i w:val="false"/>
          <w:iCs w:val="false"/>
          <w:sz w:val="22"/>
          <w:szCs w:val="22"/>
        </w:rPr>
        <w:t xml:space="preserve"> (Smoking, langes Kleid), </w:t>
      </w:r>
      <w:r>
        <w:rPr>
          <w:rFonts w:eastAsia="Cambria" w:cs="Cambria"/>
          <w:b w:val="false"/>
          <w:bCs w:val="false"/>
          <w:i/>
          <w:iCs/>
          <w:sz w:val="22"/>
          <w:szCs w:val="22"/>
        </w:rPr>
        <w:t>Cocktail Attire</w:t>
      </w:r>
      <w:r>
        <w:rPr>
          <w:rFonts w:eastAsia="Cambria" w:cs="Cambria"/>
          <w:b w:val="false"/>
          <w:bCs w:val="false"/>
          <w:i w:val="false"/>
          <w:iCs w:val="false"/>
          <w:sz w:val="22"/>
          <w:szCs w:val="22"/>
        </w:rPr>
        <w:t xml:space="preserve"> (Anzug, Cocktailkleid) oder </w:t>
      </w:r>
      <w:r>
        <w:rPr>
          <w:rFonts w:eastAsia="Cambria" w:cs="Cambria"/>
          <w:b w:val="false"/>
          <w:bCs w:val="false"/>
          <w:i/>
          <w:iCs/>
          <w:sz w:val="22"/>
          <w:szCs w:val="22"/>
        </w:rPr>
        <w:t>Casual</w:t>
      </w:r>
      <w:r>
        <w:rPr>
          <w:rFonts w:eastAsia="Cambria" w:cs="Cambria"/>
          <w:b w:val="false"/>
          <w:bCs w:val="false"/>
          <w:i w:val="false"/>
          <w:iCs w:val="false"/>
          <w:sz w:val="22"/>
          <w:szCs w:val="22"/>
        </w:rPr>
        <w:t xml:space="preserve">. Weiß trägt traditionell die Braut. In der Kirche reicht die Spanne von Jeans bis Sonntagsstaat; schau beim ersten Besuch, was die Gemeinde trägt. Konzerte und Sportveranstaltungen sind leger, viele tragen Trikot oder Sweatshirt ihres Teams oder Colleges. Viele Stadien lassen nur durchsichtige Taschen ein. Bei Schulveranstaltungen genügt Alltagskleidung, am </w:t>
      </w:r>
      <w:r>
        <w:rPr>
          <w:rFonts w:eastAsia="Cambria" w:cs="Cambria"/>
          <w:b w:val="false"/>
          <w:bCs w:val="false"/>
          <w:i/>
          <w:iCs/>
          <w:sz w:val="22"/>
          <w:szCs w:val="22"/>
        </w:rPr>
        <w:t>Picture Day</w:t>
      </w:r>
      <w:r>
        <w:rPr>
          <w:rFonts w:eastAsia="Cambria" w:cs="Cambria"/>
          <w:b w:val="false"/>
          <w:bCs w:val="false"/>
          <w:i w:val="false"/>
          <w:iCs w:val="false"/>
          <w:sz w:val="22"/>
          <w:szCs w:val="22"/>
        </w:rPr>
        <w:t xml:space="preserve"> (Fototag) etwas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Halloween am 31. Oktober ist auch für Erwachsene ein Kostümanlass: Kinder ziehen verkleidet von Haustür zu Haustür (</w:t>
      </w:r>
      <w:r>
        <w:rPr>
          <w:rFonts w:eastAsia="Cambria" w:cs="Cambria"/>
          <w:b w:val="false"/>
          <w:bCs w:val="false"/>
          <w:i/>
          <w:iCs/>
          <w:sz w:val="22"/>
          <w:szCs w:val="22"/>
        </w:rPr>
        <w:t>Trick-or-Treating</w:t>
      </w:r>
      <w:r>
        <w:rPr>
          <w:rFonts w:eastAsia="Cambria" w:cs="Cambria"/>
          <w:b w:val="false"/>
          <w:bCs w:val="false"/>
          <w:i w:val="false"/>
          <w:iCs w:val="false"/>
          <w:sz w:val="22"/>
          <w:szCs w:val="22"/>
        </w:rPr>
        <w:t>), Schulen veranstalten Kostümparaden, manche Büros Kostümtage. Kostüme, die Kulturen oder Gruppen karikieren, gelten als anstößig und können am Arbeitsplatz Folgen haben; Figuren, Tiere und Berufe sind die sichere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Schuluniformen sind die Ausnahme. Nach der US-Bildungsstatistik (NCES) verlangten im Schuljahr 2019/20 rund 19 % der öffentlichen Schulen Uniformen, an Grundschulen 21 %, an weiterführenden Schulen 12 %. Häufiger sind sie an privaten und kirchlich getragenen Schulen, meist als Poloshirt und Hose oder Rock in festen Farben.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den übrigen Schulen gilt ein </w:t>
      </w:r>
      <w:r>
        <w:rPr>
          <w:rFonts w:eastAsia="Cambria" w:cs="Cambria"/>
          <w:b w:val="false"/>
          <w:bCs w:val="false"/>
          <w:i/>
          <w:iCs/>
          <w:sz w:val="22"/>
          <w:szCs w:val="22"/>
        </w:rPr>
        <w:t>Dress Code</w:t>
      </w:r>
      <w:r>
        <w:rPr>
          <w:rFonts w:eastAsia="Cambria" w:cs="Cambria"/>
          <w:b w:val="false"/>
          <w:bCs w:val="false"/>
          <w:i w:val="false"/>
          <w:iCs w:val="false"/>
          <w:sz w:val="22"/>
          <w:szCs w:val="22"/>
        </w:rPr>
        <w:t>, den der Schuldistrikt im Schülerhandbuch festlegt. Typisch sind Regeln zur Länge von Shorts und Röcken (oft: mindestens bis zu den Fingerspitzen), zu sehr schmalen Trägern, zu Kopfbedeckungen im Unterricht und zu Aufdrucken mit Gewalt-, Drogen- oder Alkoholbezug. Lies das Handbuch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Sportunterricht sind feste Sportschuhe Pflicht. Bei Vereins- und Schulsport stellt das Team das Trikot meist gegen Gebühr, Stollenschuhe oder Schienbeinschoner kaufst du selbst. Ein Detail für Eltern: Kinderschlafanzüge müssen nach den Vorschriften der Verbraucherschutzbehörde CPSC flammhemmend oder eng geschnitten sein. Schmale Baumwollpyjamas sind also kein Fehlkauf.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Größen umrechnen: Damen, Herren, Kinder, Schuhe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sind eine eigene Welt: Damen kaufen nach Zahlen (0–16), Herren nach Zoll (</w:t>
      </w:r>
      <w:r>
        <w:rPr>
          <w:rFonts w:eastAsia="Cambria" w:cs="Cambria"/>
          <w:b w:val="false"/>
          <w:bCs w:val="false"/>
          <w:i/>
          <w:iCs/>
          <w:sz w:val="22"/>
          <w:szCs w:val="22"/>
        </w:rPr>
        <w:t>inch</w:t>
      </w:r>
      <w:r>
        <w:rPr>
          <w:rFonts w:eastAsia="Cambria" w:cs="Cambria"/>
          <w:b w:val="false"/>
          <w:bCs w:val="false"/>
          <w:i w:val="false"/>
          <w:iCs w:val="false"/>
          <w:sz w:val="22"/>
          <w:szCs w:val="22"/>
        </w:rPr>
        <w:t>: 1 Zoll = 2,54 cm), Kinder nach Größe und Lebensjahr. Die Tabellen sind Näherungswerte (Schuhe nach Nike, Kindergrößen nach Carter’s); verlässlich ist nur die Maßtabelle der Marke, bei der du kaufst.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 „EU“ steht im Online-Shop deshalb nicht immer für Deutschland.</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tragen den Brustumfang in Zoll, Hemden die Kragenweite in Zoll. Jeans gibt es wie in Deutschland als Bundweite/Schrittlänge in Zoll, etwa 32/32.</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Deutsche Größen entsprechen der Körpergröße in cm, US-Größen folgen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xml:space="preserve">, Kleinkind). Jungengrößen gibt es oft in </w:t>
      </w:r>
      <w:r>
        <w:rPr>
          <w:rFonts w:eastAsia="Cambria" w:cs="Cambria"/>
          <w:b w:val="false"/>
          <w:bCs w:val="false"/>
          <w:i/>
          <w:iCs/>
          <w:sz w:val="22"/>
          <w:szCs w:val="22"/>
        </w:rPr>
        <w:t>Slim</w:t>
      </w:r>
      <w:r>
        <w:rPr>
          <w:rFonts w:eastAsia="Cambria" w:cs="Cambria"/>
          <w:b w:val="false"/>
          <w:bCs w:val="false"/>
          <w:i w:val="false"/>
          <w:iCs w:val="false"/>
          <w:sz w:val="22"/>
          <w:szCs w:val="22"/>
        </w:rPr>
        <w:t xml:space="preserve">, </w:t>
      </w:r>
      <w:r>
        <w:rPr>
          <w:rFonts w:eastAsia="Cambria" w:cs="Cambria"/>
          <w:b w:val="false"/>
          <w:bCs w:val="false"/>
          <w:i/>
          <w:iCs/>
          <w:sz w:val="22"/>
          <w:szCs w:val="22"/>
        </w:rPr>
        <w:t>Regular</w:t>
      </w:r>
      <w:r>
        <w:rPr>
          <w:rFonts w:eastAsia="Cambria" w:cs="Cambria"/>
          <w:b w:val="false"/>
          <w:bCs w:val="false"/>
          <w:i w:val="false"/>
          <w:iCs w:val="false"/>
          <w:sz w:val="22"/>
          <w:szCs w:val="22"/>
        </w:rPr>
        <w:t xml:space="preserve"> und </w:t>
      </w:r>
      <w:r>
        <w:rPr>
          <w:rFonts w:eastAsia="Cambria" w:cs="Cambria"/>
          <w:b w:val="false"/>
          <w:bCs w:val="false"/>
          <w:i/>
          <w:iCs/>
          <w:sz w:val="22"/>
          <w:szCs w:val="22"/>
        </w:rPr>
        <w:t>Husky</w:t>
      </w:r>
      <w:r>
        <w:rPr>
          <w:rFonts w:eastAsia="Cambria" w:cs="Cambria"/>
          <w:b w:val="false"/>
          <w:bCs w:val="false"/>
          <w:i w:val="false"/>
          <w:iCs w:val="false"/>
          <w:sz w:val="22"/>
          <w:szCs w:val="22"/>
        </w:rPr>
        <w:t xml:space="preserve"> (weit).</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Herren- und Damenschuhe laufen getrennt; die Damengröße liegt anderthalb Nummern über der Herrengröße desselben Schuhs.</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 Viele Modelle gibt es zusätzlich in Weiten (</w:t>
      </w:r>
      <w:r>
        <w:rPr>
          <w:rFonts w:eastAsia="Cambria" w:cs="Cambria"/>
          <w:b w:val="false"/>
          <w:bCs w:val="false"/>
          <w:i/>
          <w:iCs/>
          <w:sz w:val="22"/>
          <w:szCs w:val="22"/>
        </w:rPr>
        <w:t>Medium</w:t>
      </w:r>
      <w:r>
        <w:rPr>
          <w:rFonts w:eastAsia="Cambria" w:cs="Cambria"/>
          <w:b w:val="false"/>
          <w:bCs w:val="false"/>
          <w:i w:val="false"/>
          <w:iCs w:val="false"/>
          <w:sz w:val="22"/>
          <w:szCs w:val="22"/>
        </w:rPr>
        <w:t xml:space="preserve">, </w:t>
      </w:r>
      <w:r>
        <w:rPr>
          <w:rFonts w:eastAsia="Cambria" w:cs="Cambria"/>
          <w:b w:val="false"/>
          <w:bCs w:val="false"/>
          <w:i/>
          <w:iCs/>
          <w:sz w:val="22"/>
          <w:szCs w:val="22"/>
        </w:rPr>
        <w:t>Wide</w:t>
      </w:r>
      <w:r>
        <w:rPr>
          <w:rFonts w:eastAsia="Cambria" w:cs="Cambria"/>
          <w:b w:val="false"/>
          <w:bCs w:val="false"/>
          <w:i w:val="false"/>
          <w:iCs w:val="false"/>
          <w:sz w:val="22"/>
          <w:szCs w:val="22"/>
        </w:rPr>
        <w:t>), ein Vorteil bei breiten Füßen.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Dieselbe Person trägt bei einer Marke Größe 6 und bei der nächsten Größe 10. Diese Größeninflation heißt </w:t>
            </w:r>
            <w:r>
              <w:rPr>
                <w:rFonts w:eastAsia="Cambria" w:cs="Cambria"/>
                <w:b w:val="false"/>
                <w:bCs w:val="false"/>
                <w:i/>
                <w:iCs/>
                <w:sz w:val="20"/>
                <w:szCs w:val="20"/>
              </w:rPr>
              <w:t>Vanity Sizing</w:t>
            </w:r>
            <w:r>
              <w:rPr>
                <w:rFonts w:eastAsia="Cambria" w:cs="Cambria"/>
                <w:b w:val="false"/>
                <w:bCs w:val="false"/>
                <w:i w:val="false"/>
                <w:iCs w:val="false"/>
                <w:sz w:val="20"/>
                <w:szCs w:val="20"/>
              </w:rPr>
              <w:t>: Marken schneiden großzügiger, damit die Zahl im Etikett kleiner ausfällt – nett fürs Ego, wenig hilfreich beim Online-Kauf ohne Anprobe. Nach US-Normdaten (ASTM D5585) stand Größe 8 im Jahr 1958 für rund 83 cm Brustumfang, 2011 für rund 92 cm. Verlass dich auf die Maßtabelle der Marke (Brust, Taille, Hüfte in Zoll), nicht auf die Zahl.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einkaufst und was es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Sorte Laden hat ihre Rolle:</w:t>
      </w:r>
    </w:p>
    <w:p>
      <w:pPr>
        <w:pStyle w:val="ListParagraph"/>
        <w:numPr>
          <w:ilvl w:val="0"/>
          <w:numId w:val="1"/>
        </w:numPr>
        <w:spacing w:lineRule="exact" w:line="288" w:before="0" w:after="60"/>
        <w:rPr/>
      </w:pPr>
      <w:r>
        <w:rPr>
          <w:rFonts w:eastAsia="Cambria" w:cs="Cambria"/>
          <w:b/>
          <w:bCs/>
          <w:i w:val="false"/>
          <w:iCs w:val="false"/>
          <w:sz w:val="22"/>
          <w:szCs w:val="22"/>
        </w:rPr>
        <w:t>Off-Price-Ketten</w:t>
      </w:r>
      <w:r>
        <w:rPr>
          <w:rFonts w:eastAsia="Cambria" w:cs="Cambria"/>
          <w:b w:val="false"/>
          <w:bCs w:val="false"/>
          <w:i w:val="false"/>
          <w:iCs w:val="false"/>
          <w:sz w:val="22"/>
          <w:szCs w:val="22"/>
        </w:rPr>
        <w:t xml:space="preserve"> (</w:t>
      </w:r>
      <w:r>
        <w:rPr>
          <w:rFonts w:eastAsia="Cambria" w:cs="Cambria"/>
          <w:b w:val="false"/>
          <w:bCs w:val="false"/>
          <w:i/>
          <w:iCs/>
          <w:sz w:val="22"/>
          <w:szCs w:val="22"/>
        </w:rPr>
        <w:t>Off-Price</w:t>
      </w:r>
      <w:r>
        <w:rPr>
          <w:rFonts w:eastAsia="Cambria" w:cs="Cambria"/>
          <w:b w:val="false"/>
          <w:bCs w:val="false"/>
          <w:i w:val="false"/>
          <w:iCs w:val="false"/>
          <w:sz w:val="22"/>
          <w:szCs w:val="22"/>
        </w:rPr>
        <w:t>: Markenware aus Überbeständen, deutlich reduziert) wie TJ Maxx, Marshalls, Ross oder Nordstrom Rack: wechselndes Sortiment, lückenhafte Größen, lohnende Schatzsuche.</w:t>
      </w:r>
    </w:p>
    <w:p>
      <w:pPr>
        <w:pStyle w:val="ListParagraph"/>
        <w:numPr>
          <w:ilvl w:val="0"/>
          <w:numId w:val="1"/>
        </w:numPr>
        <w:spacing w:lineRule="exact" w:line="288" w:before="0" w:after="60"/>
        <w:rPr/>
      </w:pPr>
      <w:r>
        <w:rPr>
          <w:rFonts w:eastAsia="Cambria" w:cs="Cambria"/>
          <w:b/>
          <w:bCs/>
          <w:i w:val="false"/>
          <w:iCs w:val="false"/>
          <w:sz w:val="22"/>
          <w:szCs w:val="22"/>
        </w:rPr>
        <w:t>Kaufhäuser und Fachketten</w:t>
      </w:r>
      <w:r>
        <w:rPr>
          <w:rFonts w:eastAsia="Cambria" w:cs="Cambria"/>
          <w:b w:val="false"/>
          <w:bCs w:val="false"/>
          <w:i w:val="false"/>
          <w:iCs w:val="false"/>
          <w:sz w:val="22"/>
          <w:szCs w:val="22"/>
        </w:rPr>
        <w:t xml:space="preserve"> wie Macy’s, Nordstrom, Kohl’s, Gap, Old Navy oder H&amp;M. Old Navy und Target sind eine feste Adresse für Basics und Kinderkleidung.</w:t>
      </w:r>
    </w:p>
    <w:p>
      <w:pPr>
        <w:pStyle w:val="ListParagraph"/>
        <w:numPr>
          <w:ilvl w:val="0"/>
          <w:numId w:val="1"/>
        </w:numPr>
        <w:spacing w:lineRule="exact" w:line="288" w:before="0" w:after="60"/>
        <w:rPr/>
      </w:pPr>
      <w:r>
        <w:rPr>
          <w:rFonts w:eastAsia="Cambria" w:cs="Cambria"/>
          <w:b/>
          <w:bCs/>
          <w:i w:val="false"/>
          <w:iCs w:val="false"/>
          <w:sz w:val="22"/>
          <w:szCs w:val="22"/>
        </w:rPr>
        <w:t>Outlets</w:t>
      </w:r>
      <w:r>
        <w:rPr>
          <w:rFonts w:eastAsia="Cambria" w:cs="Cambria"/>
          <w:b w:val="false"/>
          <w:bCs w:val="false"/>
          <w:i w:val="false"/>
          <w:iCs w:val="false"/>
          <w:sz w:val="22"/>
          <w:szCs w:val="22"/>
        </w:rPr>
        <w:t xml:space="preserve"> liegen meist außerhalb der Städte; nicht jeder Outlet-Preis ist ein Schnäppchen.</w:t>
      </w:r>
    </w:p>
    <w:p>
      <w:pPr>
        <w:pStyle w:val="ListParagraph"/>
        <w:numPr>
          <w:ilvl w:val="0"/>
          <w:numId w:val="1"/>
        </w:numPr>
        <w:spacing w:lineRule="exact" w:line="288" w:before="0" w:after="60"/>
        <w:rPr/>
      </w:pPr>
      <w:r>
        <w:rPr>
          <w:rFonts w:eastAsia="Cambria" w:cs="Cambria"/>
          <w:b/>
          <w:bCs/>
          <w:i w:val="false"/>
          <w:iCs w:val="false"/>
          <w:sz w:val="22"/>
          <w:szCs w:val="22"/>
        </w:rPr>
        <w:t>Costco und Amazon:</w:t>
      </w:r>
      <w:r>
        <w:rPr>
          <w:rFonts w:eastAsia="Cambria" w:cs="Cambria"/>
          <w:b w:val="false"/>
          <w:bCs w:val="false"/>
          <w:i w:val="false"/>
          <w:iCs w:val="false"/>
          <w:sz w:val="22"/>
          <w:szCs w:val="22"/>
        </w:rPr>
        <w:t xml:space="preserve"> Costco führt Basics unter der Eigenmarke Kirkland Signature (Mitgliedschaft nötig,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Bei Amazon prüfst du vor dem Kauf Größentabelle und Rückgabebedingungen.</w:t>
      </w:r>
    </w:p>
    <w:p>
      <w:pPr>
        <w:pStyle w:val="ListParagraph"/>
        <w:numPr>
          <w:ilvl w:val="0"/>
          <w:numId w:val="1"/>
        </w:numPr>
        <w:spacing w:lineRule="exact" w:line="288" w:before="0" w:after="60"/>
        <w:rPr/>
      </w:pPr>
      <w:r>
        <w:rPr>
          <w:rFonts w:eastAsia="Cambria" w:cs="Cambria"/>
          <w:b/>
          <w:bCs/>
          <w:i w:val="false"/>
          <w:iCs w:val="false"/>
          <w:sz w:val="22"/>
          <w:szCs w:val="22"/>
        </w:rPr>
        <w:t>REI:</w:t>
      </w:r>
      <w:r>
        <w:rPr>
          <w:rFonts w:eastAsia="Cambria" w:cs="Cambria"/>
          <w:b w:val="false"/>
          <w:bCs w:val="false"/>
          <w:i w:val="false"/>
          <w:iCs w:val="false"/>
          <w:sz w:val="22"/>
          <w:szCs w:val="22"/>
        </w:rPr>
        <w:t xml:space="preserve"> Genossenschaft für Outdoor-Ausrüstung mit guter Beratung und Rückvergütung für Mitglieder.</w:t>
      </w:r>
    </w:p>
    <w:p>
      <w:pPr>
        <w:pStyle w:val="ListParagraph"/>
        <w:numPr>
          <w:ilvl w:val="0"/>
          <w:numId w:val="1"/>
        </w:numPr>
        <w:spacing w:lineRule="exact" w:line="288" w:before="0" w:after="60"/>
        <w:rPr/>
      </w:pPr>
      <w:r>
        <w:rPr>
          <w:rFonts w:eastAsia="Cambria" w:cs="Cambria"/>
          <w:b/>
          <w:bCs/>
          <w:i w:val="false"/>
          <w:iCs w:val="false"/>
          <w:sz w:val="22"/>
          <w:szCs w:val="22"/>
        </w:rPr>
        <w:t>Second Hand:</w:t>
      </w:r>
      <w:r>
        <w:rPr>
          <w:rFonts w:eastAsia="Cambria" w:cs="Cambria"/>
          <w:b w:val="false"/>
          <w:bCs w:val="false"/>
          <w:i w:val="false"/>
          <w:iCs w:val="false"/>
          <w:sz w:val="22"/>
          <w:szCs w:val="22"/>
        </w:rPr>
        <w:t xml:space="preserve"> </w:t>
      </w:r>
      <w:r>
        <w:rPr>
          <w:rFonts w:eastAsia="Cambria" w:cs="Cambria"/>
          <w:b w:val="false"/>
          <w:bCs w:val="false"/>
          <w:i/>
          <w:iCs/>
          <w:sz w:val="22"/>
          <w:szCs w:val="22"/>
        </w:rPr>
        <w:t>Thrift Stores</w:t>
      </w:r>
      <w:r>
        <w:rPr>
          <w:rFonts w:eastAsia="Cambria" w:cs="Cambria"/>
          <w:b w:val="false"/>
          <w:bCs w:val="false"/>
          <w:i w:val="false"/>
          <w:iCs w:val="false"/>
          <w:sz w:val="22"/>
          <w:szCs w:val="22"/>
        </w:rPr>
        <w:t xml:space="preserve"> (Second-Hand-Läden) wie Goodwill und Salvation Army, Kommissionsläden, online ThredUp, Poshmark oder Facebook Marketplace. Gebrauchtes ist gesellschaftlich normal und für Kinderkleidung, Winterjacken und Sportausrüstung die günstigste Quelle.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Feste Termine für Saisonverkäufe sind </w:t>
      </w:r>
      <w:r>
        <w:rPr>
          <w:rFonts w:eastAsia="Cambria" w:cs="Cambria"/>
          <w:b/>
          <w:bCs/>
          <w:i w:val="false"/>
          <w:iCs w:val="false"/>
          <w:sz w:val="22"/>
          <w:szCs w:val="22"/>
        </w:rPr>
        <w:t>Memorial Day</w:t>
      </w:r>
      <w:r>
        <w:rPr>
          <w:rFonts w:eastAsia="Cambria" w:cs="Cambria"/>
          <w:b w:val="false"/>
          <w:bCs w:val="false"/>
          <w:i w:val="false"/>
          <w:iCs w:val="false"/>
          <w:sz w:val="22"/>
          <w:szCs w:val="22"/>
        </w:rPr>
        <w:t xml:space="preserve"> (letzter Montag im Mai), </w:t>
      </w:r>
      <w:r>
        <w:rPr>
          <w:rFonts w:eastAsia="Cambria" w:cs="Cambria"/>
          <w:b/>
          <w:bCs/>
          <w:i w:val="false"/>
          <w:iCs w:val="false"/>
          <w:sz w:val="22"/>
          <w:szCs w:val="22"/>
        </w:rPr>
        <w:t>Labor Day</w:t>
      </w:r>
      <w:r>
        <w:rPr>
          <w:rFonts w:eastAsia="Cambria" w:cs="Cambria"/>
          <w:b w:val="false"/>
          <w:bCs w:val="false"/>
          <w:i w:val="false"/>
          <w:iCs w:val="false"/>
          <w:sz w:val="22"/>
          <w:szCs w:val="22"/>
        </w:rPr>
        <w:t xml:space="preserve"> (erster Montag im September) und </w:t>
      </w:r>
      <w:r>
        <w:rPr>
          <w:rFonts w:eastAsia="Cambria" w:cs="Cambria"/>
          <w:b/>
          <w:bCs/>
          <w:i w:val="false"/>
          <w:iCs w:val="false"/>
          <w:sz w:val="22"/>
          <w:szCs w:val="22"/>
        </w:rPr>
        <w:t>Black Friday</w:t>
      </w:r>
      <w:r>
        <w:rPr>
          <w:rFonts w:eastAsia="Cambria" w:cs="Cambria"/>
          <w:b w:val="false"/>
          <w:bCs w:val="false"/>
          <w:i w:val="false"/>
          <w:iCs w:val="false"/>
          <w:sz w:val="22"/>
          <w:szCs w:val="22"/>
        </w:rPr>
        <w:t xml:space="preserve"> (Tag nach Thanksgiving). Winterware wird ab Januar herabgesetzt, Sommerware ab August, Schulkleidung gibt es im Juli günstig.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allgemeines gesetzliches Widerrufsrecht wie in Deutschland gibt es nicht; die Rückgabe regelt jeder Händler selbst (</w:t>
      </w:r>
      <w:r>
        <w:rPr>
          <w:rFonts w:eastAsia="Cambria" w:cs="Cambria"/>
          <w:b w:val="false"/>
          <w:bCs w:val="false"/>
          <w:i/>
          <w:iCs/>
          <w:sz w:val="22"/>
          <w:szCs w:val="22"/>
        </w:rPr>
        <w:t>Return Policy</w:t>
      </w:r>
      <w:r>
        <w:rPr>
          <w:rFonts w:eastAsia="Cambria" w:cs="Cambria"/>
          <w:b w:val="false"/>
          <w:bCs w:val="false"/>
          <w:i w:val="false"/>
          <w:iCs w:val="false"/>
          <w:sz w:val="22"/>
          <w:szCs w:val="22"/>
        </w:rPr>
        <w:t>). Üblich sind 30 bis 90 Tage, oft nur mit Kassenbon und Etikett, online meist mit kostenloser Rücksendung. Costco und REI sind für kulante Rücknahme bekannt (mehr zur Rückgabekultur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(Stand 2026, stark abhängig von Marke und Aktion): Jeans kosten meist 30–100 $, eine gefütterte Winterjacke 100–300 $ (Premium-Daunenparkas ab 400 $), Sneaker 50–150 $, Leder- und Winterstiefel 100–250 $. Die Verkaufssteuer kommt erst an der Kasse dazu.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einigen Bundesstaaten ist Kleidung ganz oder teilweise steuerfrei: Pennsylvania, New Jersey, Minnesota und Vermont, in New York bis 110 $ und in Massachusetts bis 175 $ je Stück (Stand 2026; prüfe die Regel deines Bundesstaats).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Marken: was in den USA Standard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US-Standard gelten Levi’s und Wrangler (Jeans), Carhartt (Arbeitskleidung, Hauptsitz Dearborn bei Detroit), Patagonia, The North Face und Columbia (Outdoor), L.L.Bean sowie Nike, Under Armour und New Balance (Sport). Adidas, Puma und Birkenstock findest du überall. Kleinere deutsche Marken gibt es meist nur online oder in wenigen Läden, oft teurer.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Klimagarderobe: Layering, Regen, Hitze, Kälte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Klima entscheidet über deine Garderobe stärker als jeder Dresscode (Regionen und Naturrisiken: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Bewährt ist das Schichtenprinzip (</w:t>
      </w:r>
      <w:r>
        <w:rPr>
          <w:rFonts w:eastAsia="Cambria" w:cs="Cambria"/>
          <w:b w:val="false"/>
          <w:bCs w:val="false"/>
          <w:i/>
          <w:iCs/>
          <w:sz w:val="22"/>
          <w:szCs w:val="22"/>
        </w:rPr>
        <w:t>Layering</w:t>
      </w:r>
      <w:r>
        <w:rPr>
          <w:rFonts w:eastAsia="Cambria" w:cs="Cambria"/>
          <w:b w:val="false"/>
          <w:bCs w:val="false"/>
          <w:i w:val="false"/>
          <w:iCs w:val="false"/>
          <w:sz w:val="22"/>
          <w:szCs w:val="22"/>
        </w:rPr>
        <w:t>): Basisschicht (Merino oder Kunstfaser), wärmende Schicht (Fleece oder Daune) und Schale gegen Wind und Nässe. Innenräume sind im Winter stark geheizt und im Sommer oft heruntergekühlt; eine Strickjacke im Büro ist auch im Juli normal.</w:t>
      </w:r>
    </w:p>
    <w:p>
      <w:pPr>
        <w:pStyle w:val="Normal"/>
        <w:keepNext w:val="false"/>
        <w:keepLines w:val="false"/>
        <w:spacing w:lineRule="exact" w:line="288" w:before="0" w:after="140"/>
        <w:jc w:val="left"/>
        <w:rPr/>
      </w:pPr>
      <w:r>
        <w:rPr>
          <w:rFonts w:eastAsia="Cambria" w:cs="Cambria"/>
          <w:b/>
          <w:bCs/>
          <w:i w:val="false"/>
          <w:iCs w:val="false"/>
          <w:sz w:val="22"/>
          <w:szCs w:val="22"/>
        </w:rPr>
        <w:t>Kälte:</w:t>
      </w:r>
      <w:r>
        <w:rPr>
          <w:rFonts w:eastAsia="Cambria" w:cs="Cambria"/>
          <w:b w:val="false"/>
          <w:bCs w:val="false"/>
          <w:i w:val="false"/>
          <w:iCs w:val="false"/>
          <w:sz w:val="22"/>
          <w:szCs w:val="22"/>
        </w:rPr>
        <w:t xml:space="preserve"> In Michigan, Minnesota oder Neuengland brauchst du Daunenparka, Mütze, Handschuhe, wasserdichte gefütterte Stiefel und Thermounterwäsche. Wind zählt mehr als die Gradzahl: Bei 0 °F (−18 °C) und 15 mph (24 km/h) Wind fühlt es sich laut Nationalem Wetterdienst wie −19 °F (−28 °C) an; ungeschützte Haut kann in 30 Minuten erfrieren.</w:t>
      </w:r>
    </w:p>
    <w:p>
      <w:pPr>
        <w:pStyle w:val="Normal"/>
        <w:keepNext w:val="false"/>
        <w:keepLines w:val="false"/>
        <w:spacing w:lineRule="exact" w:line="288" w:before="0" w:after="140"/>
        <w:jc w:val="left"/>
        <w:rPr/>
      </w:pPr>
      <w:r>
        <w:rPr>
          <w:rFonts w:eastAsia="Cambria" w:cs="Cambria"/>
          <w:b/>
          <w:bCs/>
          <w:i w:val="false"/>
          <w:iCs w:val="false"/>
          <w:sz w:val="22"/>
          <w:szCs w:val="22"/>
        </w:rPr>
        <w:t>Regen:</w:t>
      </w:r>
      <w:r>
        <w:rPr>
          <w:rFonts w:eastAsia="Cambria" w:cs="Cambria"/>
          <w:b w:val="false"/>
          <w:bCs w:val="false"/>
          <w:i w:val="false"/>
          <w:iCs w:val="false"/>
          <w:sz w:val="22"/>
          <w:szCs w:val="22"/>
        </w:rPr>
        <w:t xml:space="preserve"> Im Nordwesten genügt meist eine atmungsaktive Regenjacke mit Kapuze. Im Südosten kommt der Regen in Wolkenbrüchen; schnell trocknende Stoffe und wasserfeste Sandalen schlagen dort Leder.</w:t>
      </w:r>
    </w:p>
    <w:p>
      <w:pPr>
        <w:pStyle w:val="Normal"/>
        <w:keepNext w:val="false"/>
        <w:keepLines w:val="false"/>
        <w:spacing w:lineRule="exact" w:line="288" w:before="0" w:after="140"/>
        <w:jc w:val="left"/>
        <w:rPr/>
      </w:pPr>
      <w:r>
        <w:rPr>
          <w:rFonts w:eastAsia="Cambria" w:cs="Cambria"/>
          <w:b/>
          <w:bCs/>
          <w:i w:val="false"/>
          <w:iCs w:val="false"/>
          <w:sz w:val="22"/>
          <w:szCs w:val="22"/>
        </w:rPr>
        <w:t>Hitze und Sonne:</w:t>
      </w:r>
      <w:r>
        <w:rPr>
          <w:rFonts w:eastAsia="Cambria" w:cs="Cambria"/>
          <w:b w:val="false"/>
          <w:bCs w:val="false"/>
          <w:i w:val="false"/>
          <w:iCs w:val="false"/>
          <w:sz w:val="22"/>
          <w:szCs w:val="22"/>
        </w:rPr>
        <w:t xml:space="preserve"> In Arizona, Texas oder Florida trägst du leichte, helle, luftige Stoffe, einen Hut mit breiter Krempe und eine Sonnenbrille mit UV-Schutz. Sonnenschutzkleidung mit UPF-Kennzeichnung (</w:t>
      </w:r>
      <w:r>
        <w:rPr>
          <w:rFonts w:eastAsia="Cambria" w:cs="Cambria"/>
          <w:b w:val="false"/>
          <w:bCs w:val="false"/>
          <w:i/>
          <w:iCs/>
          <w:sz w:val="22"/>
          <w:szCs w:val="22"/>
        </w:rPr>
        <w:t>UPF</w:t>
      </w:r>
      <w:r>
        <w:rPr>
          <w:rFonts w:eastAsia="Cambria" w:cs="Cambria"/>
          <w:b w:val="false"/>
          <w:bCs w:val="false"/>
          <w:i w:val="false"/>
          <w:iCs w:val="false"/>
          <w:sz w:val="22"/>
          <w:szCs w:val="22"/>
        </w:rPr>
        <w:t>: Lichtschutzfaktor von Textilien) gibt es bei Outdoor-Händlern.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Sonne nicht. Im Süden und Südwesten liegt der UV-Index im Sommer häufig bei „sehr hoch“ bis „extrem“. Die amerikanische Hautärztevereinigung (AAD) empfiehlt breitbandigen, wasserfesten Sonnenschutz mit Lichtschutzfaktor 30 oder höher.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im August bei 80 °F (27 °C) im Großraum Detroit. Markus und Anna haben ihre Winterjacken dabei; für Lena (9) und Jonas (5) passt nichts mehr, Schneehosen fehlen ganz. Als der erste Schnee fällt, steht Jonas im Vorgarten und wundert sich laut, warum seine Jacke aus Deutschland auf einmal bis zum Bauch reicht statt bis zu den Knien – er ist seit dem Umzug zwei Nummern gewachsen. Im Schülerhandbuch steht: Bei Frost gehen die Kinder oft in die Pause nach draußen, verlangt sind Schneehose, Stiefel, Mütze und Handschuhe. In den Black-Friday-Wochen kauft Anna bei Target, Old Navy und in einem Kommissionsladen für Kinderkleidung; für rund 300 $ sind beide Kinder komplett ausgerüstet. Markus ergänzt Thermounterwäsche. Ihr Fazit nach dem ersten Winter: Die eigenen Jacken würden sie wieder mitnehmen, die Kinderkleidung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Waschen und Trocknen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Wäschetrockner (</w:t>
      </w:r>
      <w:r>
        <w:rPr>
          <w:rFonts w:eastAsia="Cambria" w:cs="Cambria"/>
          <w:b w:val="false"/>
          <w:bCs w:val="false"/>
          <w:i/>
          <w:iCs/>
          <w:sz w:val="22"/>
          <w:szCs w:val="22"/>
        </w:rPr>
        <w:t>Dryer</w:t>
      </w:r>
      <w:r>
        <w:rPr>
          <w:rFonts w:eastAsia="Cambria" w:cs="Cambria"/>
          <w:b w:val="false"/>
          <w:bCs w:val="false"/>
          <w:i w:val="false"/>
          <w:iCs w:val="false"/>
          <w:sz w:val="22"/>
          <w:szCs w:val="22"/>
        </w:rPr>
        <w:t>) ist in den USA Standard, und er arbeitet heiß genug, dass der erste eingelaufene Lieblingspullover für viele Neuankömmlinge zu einer Art Initiationsritus wird: Baumwolle und Wolle können einlaufen, Funktionsjacken und elastische Stoffe leiden. Textilbekleidung muss in den USA mit dauerhaftem Pflegeetikett verkauft werden (Vorgabe der Handelsbehörde FTC). Wähle bei Unsicherheit „Tumble Dry Low“ (niedrige Stufe) oder trockne an der Luft.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Wollpullover und Funktionsjacken gehören nicht ungeprüft in den Trockner; auf dem Wäscheständer trocknen sie sicher. Eine Wäscheleine im Freien ist in vielen Mietanlagen und Eigentümergemeinschaften (</w:t>
            </w:r>
            <w:r>
              <w:rPr>
                <w:rFonts w:eastAsia="Cambria" w:cs="Cambria"/>
                <w:b w:val="false"/>
                <w:bCs w:val="false"/>
                <w:i/>
                <w:iCs/>
                <w:sz w:val="20"/>
                <w:szCs w:val="20"/>
              </w:rPr>
              <w:t>HOA</w:t>
            </w:r>
            <w:r>
              <w:rPr>
                <w:rFonts w:eastAsia="Cambria" w:cs="Cambria"/>
                <w:b w:val="false"/>
                <w:bCs w:val="false"/>
                <w:i w:val="false"/>
                <w:iCs w:val="false"/>
                <w:sz w:val="20"/>
                <w:szCs w:val="20"/>
              </w:rPr>
              <w:t>) untersagt; einzelne Bundesstaaten schützen das Trocknen an der Leine per Gesetz (</w:t>
            </w:r>
            <w:r>
              <w:rPr>
                <w:rFonts w:eastAsia="Cambria" w:cs="Cambria"/>
                <w:b w:val="false"/>
                <w:bCs w:val="false"/>
                <w:i/>
                <w:iCs/>
                <w:sz w:val="20"/>
                <w:szCs w:val="20"/>
              </w:rPr>
              <w:t>Right to Dry</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wo du wäschst, hängt von der Wohnung ab: Maschinen in der Wohnung (</w:t>
      </w:r>
      <w:r>
        <w:rPr>
          <w:rFonts w:eastAsia="Cambria" w:cs="Cambria"/>
          <w:b w:val="false"/>
          <w:bCs w:val="false"/>
          <w:i/>
          <w:iCs/>
          <w:sz w:val="22"/>
          <w:szCs w:val="22"/>
        </w:rPr>
        <w:t>In-Unit Laundry</w:t>
      </w:r>
      <w:r>
        <w:rPr>
          <w:rFonts w:eastAsia="Cambria" w:cs="Cambria"/>
          <w:b w:val="false"/>
          <w:bCs w:val="false"/>
          <w:i w:val="false"/>
          <w:iCs w:val="false"/>
          <w:sz w:val="22"/>
          <w:szCs w:val="22"/>
        </w:rPr>
        <w:t>), Waschraum im Haus mit Münz- oder Kartenbetrieb (</w:t>
      </w:r>
      <w:r>
        <w:rPr>
          <w:rFonts w:eastAsia="Cambria" w:cs="Cambria"/>
          <w:b w:val="false"/>
          <w:bCs w:val="false"/>
          <w:i/>
          <w:iCs/>
          <w:sz w:val="22"/>
          <w:szCs w:val="22"/>
        </w:rPr>
        <w:t>Laundry Room</w:t>
      </w:r>
      <w:r>
        <w:rPr>
          <w:rFonts w:eastAsia="Cambria" w:cs="Cambria"/>
          <w:b w:val="false"/>
          <w:bCs w:val="false"/>
          <w:i w:val="false"/>
          <w:iCs w:val="false"/>
          <w:sz w:val="22"/>
          <w:szCs w:val="22"/>
        </w:rPr>
        <w:t>), Waschsalon (</w:t>
      </w:r>
      <w:r>
        <w:rPr>
          <w:rFonts w:eastAsia="Cambria" w:cs="Cambria"/>
          <w:b w:val="false"/>
          <w:bCs w:val="false"/>
          <w:i/>
          <w:iCs/>
          <w:sz w:val="22"/>
          <w:szCs w:val="22"/>
        </w:rPr>
        <w:t>Laundromat</w:t>
      </w:r>
      <w:r>
        <w:rPr>
          <w:rFonts w:eastAsia="Cambria" w:cs="Cambria"/>
          <w:b w:val="false"/>
          <w:bCs w:val="false"/>
          <w:i w:val="false"/>
          <w:iCs w:val="false"/>
          <w:sz w:val="22"/>
          <w:szCs w:val="22"/>
        </w:rPr>
        <w:t>) oder nur Anschlüsse für eigene Geräte (</w:t>
      </w:r>
      <w:r>
        <w:rPr>
          <w:rFonts w:eastAsia="Cambria" w:cs="Cambria"/>
          <w:b w:val="false"/>
          <w:bCs w:val="false"/>
          <w:i/>
          <w:iCs/>
          <w:sz w:val="22"/>
          <w:szCs w:val="22"/>
        </w:rPr>
        <w:t>Hookups</w:t>
      </w:r>
      <w:r>
        <w:rPr>
          <w:rFonts w:eastAsia="Cambria" w:cs="Cambria"/>
          <w:b w:val="false"/>
          <w:bCs w:val="false"/>
          <w:i w:val="false"/>
          <w:iCs w:val="false"/>
          <w:sz w:val="22"/>
          <w:szCs w:val="22"/>
        </w:rPr>
        <w:t>). Im Waschraum zahlst du pro Ladung meist mehrere Dollar. Frage bei der Wohnungssuche danach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mitnimmst und was nicht</w:t>
      </w:r>
    </w:p>
    <w:p>
      <w:pPr>
        <w:pStyle w:val="Normal"/>
        <w:keepNext w:val="false"/>
        <w:keepLines w:val="false"/>
        <w:spacing w:lineRule="exact" w:line="288" w:before="0" w:after="140"/>
        <w:jc w:val="left"/>
        <w:rPr/>
      </w:pPr>
      <w:r>
        <w:rPr>
          <w:rFonts w:eastAsia="Cambria" w:cs="Cambria"/>
          <w:b/>
          <w:bCs/>
          <w:i w:val="false"/>
          <w:iCs w:val="false"/>
          <w:sz w:val="22"/>
          <w:szCs w:val="22"/>
        </w:rPr>
        <w:t>Mitnehmen:</w:t>
      </w:r>
    </w:p>
    <w:p>
      <w:pPr>
        <w:pStyle w:val="ListParagraph"/>
        <w:numPr>
          <w:ilvl w:val="0"/>
          <w:numId w:val="1"/>
        </w:numPr>
        <w:spacing w:lineRule="exact" w:line="288" w:before="0" w:after="60"/>
        <w:rPr/>
      </w:pPr>
      <w:r>
        <w:rPr>
          <w:rFonts w:eastAsia="Cambria" w:cs="Cambria"/>
          <w:b/>
          <w:bCs/>
          <w:i w:val="false"/>
          <w:iCs w:val="false"/>
          <w:sz w:val="22"/>
          <w:szCs w:val="22"/>
        </w:rPr>
        <w:t>Winterjacke:</w:t>
      </w:r>
      <w:r>
        <w:rPr>
          <w:rFonts w:eastAsia="Cambria" w:cs="Cambria"/>
          <w:b w:val="false"/>
          <w:bCs w:val="false"/>
          <w:i w:val="false"/>
          <w:iCs w:val="false"/>
          <w:sz w:val="22"/>
          <w:szCs w:val="22"/>
        </w:rPr>
        <w:t xml:space="preserve"> In kalten Regionen ist eine gute Jacke sinnvoll, vor allem bei Ankunft im Herbst. In Kalifornien oder im Süden reicht eine Übergangsjacke.</w:t>
      </w:r>
    </w:p>
    <w:p>
      <w:pPr>
        <w:pStyle w:val="ListParagraph"/>
        <w:numPr>
          <w:ilvl w:val="0"/>
          <w:numId w:val="1"/>
        </w:numPr>
        <w:spacing w:lineRule="exact" w:line="288" w:before="0" w:after="60"/>
        <w:rPr/>
      </w:pPr>
      <w:r>
        <w:rPr>
          <w:rFonts w:eastAsia="Cambria" w:cs="Cambria"/>
          <w:b/>
          <w:bCs/>
          <w:i w:val="false"/>
          <w:iCs w:val="false"/>
          <w:sz w:val="22"/>
          <w:szCs w:val="22"/>
        </w:rPr>
        <w:t>Hochwertige Schuhe:</w:t>
      </w:r>
      <w:r>
        <w:rPr>
          <w:rFonts w:eastAsia="Cambria" w:cs="Cambria"/>
          <w:b w:val="false"/>
          <w:bCs w:val="false"/>
          <w:i w:val="false"/>
          <w:iCs w:val="false"/>
          <w:sz w:val="22"/>
          <w:szCs w:val="22"/>
        </w:rPr>
        <w:t xml:space="preserve"> Eingelaufene Lederschuhe, Wanderstiefel und Laufschuhe sind schwer zu ersetzen.</w:t>
      </w:r>
    </w:p>
    <w:p>
      <w:pPr>
        <w:pStyle w:val="ListParagraph"/>
        <w:numPr>
          <w:ilvl w:val="0"/>
          <w:numId w:val="1"/>
        </w:numPr>
        <w:spacing w:lineRule="exact" w:line="288" w:before="0" w:after="60"/>
        <w:rPr/>
      </w:pPr>
      <w:r>
        <w:rPr>
          <w:rFonts w:eastAsia="Cambria" w:cs="Cambria"/>
          <w:b/>
          <w:bCs/>
          <w:i w:val="false"/>
          <w:iCs w:val="false"/>
          <w:sz w:val="22"/>
          <w:szCs w:val="22"/>
        </w:rPr>
        <w:t>Business-Kleidung:</w:t>
      </w:r>
      <w:r>
        <w:rPr>
          <w:rFonts w:eastAsia="Cambria" w:cs="Cambria"/>
          <w:b w:val="false"/>
          <w:bCs w:val="false"/>
          <w:i w:val="false"/>
          <w:iCs w:val="false"/>
          <w:sz w:val="22"/>
          <w:szCs w:val="22"/>
        </w:rPr>
        <w:t xml:space="preserve"> Ein bis zwei gute Anzüge oder Kostüme mit Hemden und Blusen reichen für Interviews und den Anfang.</w:t>
      </w:r>
    </w:p>
    <w:p>
      <w:pPr>
        <w:pStyle w:val="ListParagraph"/>
        <w:numPr>
          <w:ilvl w:val="0"/>
          <w:numId w:val="1"/>
        </w:numPr>
        <w:spacing w:lineRule="exact" w:line="288" w:before="0" w:after="60"/>
        <w:rPr/>
      </w:pPr>
      <w:r>
        <w:rPr>
          <w:rFonts w:eastAsia="Cambria" w:cs="Cambria"/>
          <w:b/>
          <w:bCs/>
          <w:i w:val="false"/>
          <w:iCs w:val="false"/>
          <w:sz w:val="22"/>
          <w:szCs w:val="22"/>
        </w:rPr>
        <w:t>Tracht:</w:t>
      </w:r>
      <w:r>
        <w:rPr>
          <w:rFonts w:eastAsia="Cambria" w:cs="Cambria"/>
          <w:b w:val="false"/>
          <w:bCs w:val="false"/>
          <w:i w:val="false"/>
          <w:iCs w:val="false"/>
          <w:sz w:val="22"/>
          <w:szCs w:val="22"/>
        </w:rPr>
        <w:t xml:space="preserve"> Dirndl oder Lederhose sind bei Oktoberfesten willkommen, etwa in Cincinnati (einem der größten der USA) oder Leavenworth (Washington).</w:t>
      </w:r>
    </w:p>
    <w:p>
      <w:pPr>
        <w:pStyle w:val="ListParagraph"/>
        <w:numPr>
          <w:ilvl w:val="0"/>
          <w:numId w:val="1"/>
        </w:numPr>
        <w:spacing w:lineRule="exact" w:line="288" w:before="0" w:after="60"/>
        <w:rPr/>
      </w:pPr>
      <w:r>
        <w:rPr>
          <w:rFonts w:eastAsia="Cambria" w:cs="Cambria"/>
          <w:b/>
          <w:bCs/>
          <w:i w:val="false"/>
          <w:iCs w:val="false"/>
          <w:sz w:val="22"/>
          <w:szCs w:val="22"/>
        </w:rPr>
        <w:t>Outdoor-Ausrüstung:</w:t>
      </w:r>
      <w:r>
        <w:rPr>
          <w:rFonts w:eastAsia="Cambria" w:cs="Cambria"/>
          <w:b w:val="false"/>
          <w:bCs w:val="false"/>
          <w:i w:val="false"/>
          <w:iCs w:val="false"/>
          <w:sz w:val="22"/>
          <w:szCs w:val="22"/>
        </w:rPr>
        <w:t xml:space="preserve"> Rucksack, Wanderjacke und Schlafsack sind bewährt und eingelaufen. Zu Fahrrädern und Sportgeräten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Besser vor Ort kaufen:</w:t>
      </w:r>
      <w:r>
        <w:rPr>
          <w:rFonts w:eastAsia="Cambria" w:cs="Cambria"/>
          <w:b w:val="false"/>
          <w:bCs w:val="false"/>
          <w:i w:val="false"/>
          <w:iCs w:val="false"/>
          <w:sz w:val="22"/>
          <w:szCs w:val="22"/>
        </w:rPr>
        <w:t xml:space="preserve"> Basics wie T-Shirts, Socken und Unterwäsche, Kinderkleidung und Kleidung für ein anderes Klima. Umzugsvolumen kostet Geld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Bettwäsche und Handtücher sind wegen der US-Bettgrößen ein Sonderfall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dort auch die Packliste für die ersten zwei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Nimm mit, was schwer zu ersetzen ist (Qualität, Passform, Erinnerung), und kaufe vor Ort, was leicht zu ersetzen ist. Beobachte vier bis sechs Wochen, bevor du eine ganze Garderobe kaufst.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Badekleidung, Sauna und Nacktheit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öffentlichen Strand, im Freibad und im Hotelpool ist Badebekleidung Pflicht. Männer tragen meist knielange Shorts; enge Badehosen sind vor allem im Schwimmsport üblich. Frauen dürfen in vielen Bundesstaaten nicht oben ohne baden.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Saunen gibt es vor allem in Fitnessstudios, Hotels und Spas, und sie sind fast immer Textilsaunen: Du trägst Badebekleidung oder ein Handtuch, in den Umkleiden nutzen viele Einzelduschkabinen. Eine Ausnahme sind koreanische Spas mit nach Geschlecht getrennten Nacktbereichen; gemischte Bereiche verlangen Spa-Kleidung.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Nacktheit in der Öffentlichkeit ist in den meisten Bundesstaaten und Gemeinden als </w:t>
            </w:r>
            <w:r>
              <w:rPr>
                <w:rFonts w:eastAsia="Cambria" w:cs="Cambria"/>
                <w:b w:val="false"/>
                <w:bCs w:val="false"/>
                <w:i/>
                <w:iCs/>
                <w:sz w:val="20"/>
                <w:szCs w:val="20"/>
              </w:rPr>
              <w:t>Indecent Exposure</w:t>
            </w:r>
            <w:r>
              <w:rPr>
                <w:rFonts w:eastAsia="Cambria" w:cs="Cambria"/>
                <w:b w:val="false"/>
                <w:bCs w:val="false"/>
                <w:i w:val="false"/>
                <w:iCs w:val="false"/>
                <w:sz w:val="20"/>
                <w:szCs w:val="20"/>
              </w:rPr>
              <w:t xml:space="preserve"> (unsittliche Entblößung) strafbar, unter Umständen auch im eigenen Garten, wenn Nachbarn es sehen können. FKK-Bereiche gibt es nur an einzelnen gekennzeichneten Orten, etwa im nördlichen Abschnitt von Haulover Beach in Florida. Ohne Kennzeichnung gilt: Textil.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Schuhe im 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im Haus die Schuhe ausziehst, ist Haushaltssache. In vielen Familien, vor allem mit Kleinkindern oder bei Schnee, stehen die Schuhe an der Tür; in anderen Häusern bleiben sie an. Achte beim ersten Besuch auf den Eingang oder frage: „Should I take my shoes off?“ Sagt der Gastgeber „Oh, keep them on“, behältst du sie an. Ein Paar heile Socken in der Tasche kann nicht schaden.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Kleiderkultur in den USA im Überblick:</w:t>
      </w:r>
    </w:p>
    <w:tbl>
      <w:tblPr>
        <w:tblW w:w="6480" w:type="dxa"/>
        <w:jc w:val="left"/>
        <w:tblInd w:w="0" w:type="dxa"/>
        <w:tblLayout w:type="fixed"/>
        <w:tblCellMar>
          <w:top w:w="50" w:type="dxa"/>
          <w:left w:w="80" w:type="dxa"/>
          <w:bottom w:w="50" w:type="dxa"/>
          <w:right w:w="80" w:type="dxa"/>
        </w:tblCellMar>
      </w:tblPr>
      <w:tblGrid>
        <w:gridCol w:w="3094"/>
        <w:gridCol w:w="3385"/>
      </w:tblGrid>
      <w:tr>
        <w:trPr>
          <w:tblHeader w:val="true"/>
          <w:cantSplit w:val="true"/>
        </w:trPr>
        <w:tc>
          <w:tcPr>
            <w:tcW w:w="30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im Alltag: Bequemes ist überall akzeptiert</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Ungeschriebene Regeln für Job und Anlass; beobachten und fragen</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Auswahl, Sales, Off-Price und Second Hand</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schwanken je Marke; Umrechnung bleibt Näherung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Rückgaben bei vielen Ketten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gesetzliches Widerrufsrecht; Fristen unterscheiden sich</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 Outdoor- und Arbeitskleidung in großer Auswahl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Heißer Trockner schadet Wolle und Funktionskleidung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 Hand gilt als völlig normal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kommt erst an der Kasse dazu</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Spielraum bei Arbeitgebern und Schulen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Klimaanlagen kühlen Büros im Sommer stark herunter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Frage Arbeitgeber und Schule nach dem Üblichen, notiere Maße in Zoll und entscheide, was in Koffer oder Container kommt. Kaufe in den ersten Wochen nur wenig, bis du siehst, was in deiner Region getragen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dem Dresscode fragen, auch fürs Vorstellungsgespräch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Maße in Zoll notieren: Brust, Taille, Hüfte, Schrittlänge, Fußlänge, dazu die Kindergrößen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Winterjacke, gute Schuhe, Business-Outfits, Tracht und Outdoor-Ausrüstung entscheiden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Kinderkleidung nicht in Mengen mitnehmen, sondern vor Ort second hand und im Sale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Dress Code und Winterregeln der Schule im Schülerhandbuch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der Wohnungssuche klären: Waschmaschine und Trockner in Wohnung oder Haus?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Sonnenschutz und Regenjacke einplanen, Kassenbon und Rückgabefrist beachten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US-Bildungsstatistik (NCES) — Schuluniformen an öffentlichen Schulen (</w:t>
      </w:r>
      <w:hyperlink r:id="rId322">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Verbraucherschutzbehörde CPSC — Vorschriften für Kinderschlafkleidung (</w:t>
      </w:r>
      <w:hyperlink r:id="rId323">
        <w:r>
          <w:rPr>
            <w:rStyle w:val="ListLabel113"/>
            <w:rFonts w:eastAsia="Cambria" w:cs="Cambria"/>
            <w:b w:val="false"/>
            <w:bCs w:val="false"/>
            <w:i w:val="false"/>
            <w:iCs w:val="false"/>
            <w:color w:val="0563C1"/>
            <w:sz w:val="22"/>
            <w:szCs w:val="22"/>
            <w:u w:val="single"/>
          </w:rPr>
          <w:t>cpsc.gov</w:t>
        </w:r>
      </w:hyperlink>
      <w:r>
        <w:rPr>
          <w:rFonts w:eastAsia="Cambria" w:cs="Cambria"/>
          <w:b w:val="false"/>
          <w:bCs w:val="false"/>
          <w:i w:val="false"/>
          <w:iCs w:val="false"/>
          <w:sz w:val="22"/>
          <w:szCs w:val="22"/>
        </w:rPr>
        <w:t>, Suche: children’s sleepwear)</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Pflegekennzeichnung von Kleidung (</w:t>
      </w:r>
      <w:hyperlink r:id="rId324">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care labeling rule)</w:t>
      </w:r>
    </w:p>
    <w:p>
      <w:pPr>
        <w:pStyle w:val="ListParagraph"/>
        <w:numPr>
          <w:ilvl w:val="0"/>
          <w:numId w:val="1"/>
        </w:numPr>
        <w:spacing w:lineRule="exact" w:line="288" w:before="0" w:after="60"/>
        <w:rPr/>
      </w:pPr>
      <w:r>
        <w:rPr>
          <w:rFonts w:eastAsia="Cambria" w:cs="Cambria"/>
          <w:b w:val="false"/>
          <w:bCs w:val="false"/>
          <w:i w:val="false"/>
          <w:iCs w:val="false"/>
          <w:sz w:val="22"/>
          <w:szCs w:val="22"/>
        </w:rPr>
        <w:t>Nationaler Wetterdienst (NWS) — Windchill und Kälte (</w:t>
      </w:r>
      <w:hyperlink r:id="rId325">
        <w:r>
          <w:rPr>
            <w:rStyle w:val="ListLabel113"/>
            <w:rFonts w:eastAsia="Cambria" w:cs="Cambria"/>
            <w:b w:val="false"/>
            <w:bCs w:val="false"/>
            <w:i w:val="false"/>
            <w:iCs w:val="false"/>
            <w:color w:val="0563C1"/>
            <w:sz w:val="22"/>
            <w:szCs w:val="22"/>
            <w:u w:val="single"/>
          </w:rPr>
          <w:t>weather.gov/safety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American Academy of Dermatology — Sonnenschutz (</w:t>
      </w:r>
      <w:hyperlink r:id="rId326">
        <w:r>
          <w:rPr>
            <w:rStyle w:val="ListLabel113"/>
            <w:rFonts w:eastAsia="Cambria" w:cs="Cambria"/>
            <w:b w:val="false"/>
            <w:bCs w:val="false"/>
            <w:i w:val="false"/>
            <w:iCs w:val="false"/>
            <w:color w:val="0563C1"/>
            <w:sz w:val="22"/>
            <w:szCs w:val="22"/>
            <w:u w:val="single"/>
          </w:rPr>
          <w:t>aad.org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Finanzbehörden der Bundesstaaten — Verkaufssteuer auf Kleidung (z. B. </w:t>
      </w:r>
      <w:hyperlink r:id="rId327">
        <w:r>
          <w:rPr>
            <w:rStyle w:val="ListLabel113"/>
            <w:rFonts w:eastAsia="Cambria" w:cs="Cambria"/>
            <w:b w:val="false"/>
            <w:bCs w:val="false"/>
            <w:i w:val="false"/>
            <w:iCs w:val="false"/>
            <w:color w:val="0563C1"/>
            <w:sz w:val="22"/>
            <w:szCs w:val="22"/>
            <w:u w:val="single"/>
          </w:rPr>
          <w:t>tax.ny.gov</w:t>
        </w:r>
      </w:hyperlink>
      <w:r>
        <w:rPr>
          <w:rFonts w:eastAsia="Cambria" w:cs="Cambria"/>
          <w:b w:val="false"/>
          <w:bCs w:val="false"/>
          <w:i w:val="false"/>
          <w:iCs w:val="false"/>
          <w:sz w:val="22"/>
          <w:szCs w:val="22"/>
        </w:rPr>
        <w:t xml:space="preserve">, </w:t>
      </w:r>
      <w:hyperlink r:id="rId328">
        <w:r>
          <w:rPr>
            <w:rStyle w:val="ListLabel113"/>
            <w:rFonts w:eastAsia="Cambria" w:cs="Cambria"/>
            <w:b w:val="false"/>
            <w:bCs w:val="false"/>
            <w:i w:val="false"/>
            <w:iCs w:val="false"/>
            <w:color w:val="0563C1"/>
            <w:sz w:val="22"/>
            <w:szCs w:val="22"/>
            <w:u w:val="single"/>
          </w:rPr>
          <w:t>revenue.pa.gov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Preisspannen, Rückgabefristen und Steuerregeln für Kleidung ändern sich häufig; die Größentabellen sind Näherungswerte. Prüfe vor dem Kauf die Maßtabelle der Marke, die Return Policy des Händlers und die Steuerregeln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5" w:name="__RefHeading___Toc56510_3457424410"/>
      <w:bookmarkStart w:id="86" w:name="k35"/>
      <w:bookmarkEnd w:id="85"/>
      <w:r>
        <w:rPr>
          <w:rFonts w:eastAsia="Amazon Ember" w:cs="Amazon Ember" w:ascii="Amazon Ember" w:hAnsi="Amazon Ember"/>
          <w:b/>
          <w:bCs/>
          <w:color w:val="0000FF"/>
          <w:sz w:val="36"/>
          <w:szCs w:val="36"/>
        </w:rPr>
        <w:t>Kapitel 35: Essen, Trinken, Einkaufen</w:t>
      </w:r>
      <w:bookmarkEnd w:id="8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den Wocheneinkauf sind Aldi, Walmart und Costco günstig, Kroger, Meijer oder Target liegen in der Mitte, Whole Foods darüber. Eine Familie mit zwei Schulkindern rechnet für Lebensmittel zu Hause mit rund 1.000–1.700 $ im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Eier und Milch stehen gekühlt im Regal; Milch gibt es in Gallonen (3,8 l). Unverarbeitete Lebensmittel sind in den meisten Bundesstaaten steuerfrei oder niedriger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Brot, Wurst und Käse in deutscher Qualität findest du nur in Spezialläden, bei Saisonaktionen oder online; vieles backst und kochst du selbst.</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 gibt es ab 21 gegen Ausweis. Verkauf und Uhrzeiten regelt jeder Bundesstaat; geöffnete Flaschen im Auto und Trinken im Park sind fast überall verboten.</w:t>
            </w:r>
          </w:p>
          <w:p>
            <w:pPr>
              <w:pStyle w:val="ListParagraph"/>
              <w:numPr>
                <w:ilvl w:val="0"/>
                <w:numId w:val="1"/>
              </w:numPr>
              <w:spacing w:lineRule="exact" w:line="264" w:before="0" w:after="50"/>
              <w:rPr/>
            </w:pPr>
            <w:r>
              <w:rPr>
                <w:rFonts w:eastAsia="Cambria" w:cs="Cambria"/>
                <w:b w:val="false"/>
                <w:bCs w:val="false"/>
                <w:i w:val="false"/>
                <w:iCs w:val="false"/>
                <w:sz w:val="20"/>
                <w:szCs w:val="20"/>
              </w:rPr>
              <w:t>Leitungswasser ist meist trinkbar; in Häusern vor 1986 prüfst du auf Blei.</w:t>
            </w:r>
          </w:p>
          <w:p>
            <w:pPr>
              <w:pStyle w:val="ListParagraph"/>
              <w:numPr>
                <w:ilvl w:val="0"/>
                <w:numId w:val="1"/>
              </w:numPr>
              <w:spacing w:lineRule="exact" w:line="264" w:before="0" w:after="50"/>
              <w:rPr/>
            </w:pPr>
            <w:r>
              <w:rPr>
                <w:rFonts w:eastAsia="Cambria" w:cs="Cambria"/>
                <w:b w:val="false"/>
                <w:bCs w:val="false"/>
                <w:i w:val="false"/>
                <w:iCs w:val="false"/>
                <w:sz w:val="20"/>
                <w:szCs w:val="20"/>
              </w:rPr>
              <w:t>Rezepte rechnest du von Cups und Fahrenheit um; eine Küchenwaage mit Gramm und Unzen erspart Ärger.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Supermarktketten: Wo du einkaufst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Ladenschlussgesetz wie in Deutschland gibt es nicht: Die meisten Supermärkte öffnen täglich, auch sonntags, oft von 7 oder 8 bis 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tbl>
      <w:tblPr>
        <w:tblW w:w="6480" w:type="dxa"/>
        <w:jc w:val="left"/>
        <w:tblInd w:w="0" w:type="dxa"/>
        <w:tblLayout w:type="fixed"/>
        <w:tblCellMar>
          <w:top w:w="50" w:type="dxa"/>
          <w:left w:w="80" w:type="dxa"/>
          <w:bottom w:w="50" w:type="dxa"/>
          <w:right w:w="80" w:type="dxa"/>
        </w:tblCellMar>
      </w:tblPr>
      <w:tblGrid>
        <w:gridCol w:w="1542"/>
        <w:gridCol w:w="1646"/>
        <w:gridCol w:w="1335"/>
        <w:gridCol w:w="1956"/>
      </w:tblGrid>
      <w:tr>
        <w:trPr>
          <w:tblHeader w:val="true"/>
          <w:cantSplit w:val="true"/>
        </w:trPr>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Kette</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Preisniveau</w:t>
            </w:r>
          </w:p>
        </w:tc>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Aldi</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kleines Sortiment, vertrautes Prinzip</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Wagen gegen 25-Cent-Münze, Tüten kosten extra</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Lidl</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Backstation im Laden, europäische Produkte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an der Ostküste verbreitet</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Walmart</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unter einem Dach, Eigenmarke Great Value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Lebensmittelkette des Landes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 Sam’s Club</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Großpackungen, Fleisch, Milch, Tanken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je Einheit</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nötig, bei Costco ab 65 $ im Jahr</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Trader Joe’s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Tiefkühlkost, saisonale Importe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bis 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Läden, begrenzte Auswahl</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Kroger, Safeway, Meijer, Publix, H-E-B, Wegmans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Vollsortiment, Frischetheken, Apotheke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Regional verschieden; Angebote nur mit Kundenkarte</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Sprouts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 Naturkost, Backwaren, Käsetheke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hoch</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gehört zu Amazon</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 Mart, Patel Brothers, Latino-Märkte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Gemüse, Fisch, Fleisch, Gewürze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Zutaten der jeweiligen Küche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Wochenmärkte (</w:t>
      </w:r>
      <w:r>
        <w:rPr>
          <w:rFonts w:eastAsia="Cambria" w:cs="Cambria"/>
          <w:b w:val="false"/>
          <w:bCs w:val="false"/>
          <w:i/>
          <w:iCs/>
          <w:sz w:val="22"/>
          <w:szCs w:val="22"/>
        </w:rPr>
        <w:t>Farmers Markets</w:t>
      </w:r>
      <w:r>
        <w:rPr>
          <w:rFonts w:eastAsia="Cambria" w:cs="Cambria"/>
          <w:b w:val="false"/>
          <w:bCs w:val="false"/>
          <w:i w:val="false"/>
          <w:iCs w:val="false"/>
          <w:sz w:val="22"/>
          <w:szCs w:val="22"/>
        </w:rPr>
        <w:t>) laufen meist von Frühjahr bis Herbst; die Preise liegen oft über denen im Discounter.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Preise und Monatsbudget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schwanken nach Region stark; an den Küsten und in Großstädten liegen sie deutlich über dem Mittleren Westen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Als Orientierung dienen die US-Durchschnittspreise der Statistikbehörde BLS für Juli 2026: 12 Eier 2,19 $ (im August 2025 waren es wegen der Vogelgrippe noch 3,59 $), 1 Gallone Vollmilch 4,31 $, 1 lb (454 g) Weißbrot 1,82 $, 1 lb Rinderhack 6,89 $ (rund 15 $ pro Kilo), 1 lb ganzes Hähnchen 2,01 $ und 1 lb gemahlener Kaffee 9,32 $. Geflügel ist günstig, Rindfleisch und Kaffee eher 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Monatsbudget liefert das Landwirtschaftsministerium USDA vier Richtwerte für Lebensmittel zu Hause (</w:t>
      </w:r>
      <w:r>
        <w:rPr>
          <w:rFonts w:eastAsia="Cambria" w:cs="Cambria"/>
          <w:b w:val="false"/>
          <w:bCs w:val="false"/>
          <w:i/>
          <w:iCs/>
          <w:sz w:val="22"/>
          <w:szCs w:val="22"/>
        </w:rPr>
        <w:t>Food Plans</w:t>
      </w:r>
      <w:r>
        <w:rPr>
          <w:rFonts w:eastAsia="Cambria" w:cs="Cambria"/>
          <w:b w:val="false"/>
          <w:bCs w:val="false"/>
          <w:i w:val="false"/>
          <w:iCs w:val="false"/>
          <w:sz w:val="22"/>
          <w:szCs w:val="22"/>
        </w:rPr>
        <w:t>). Für ein Paar mit zwei Kindern im Grundschulalter liegen sie 2026 bei rund 1.010 $ (</w:t>
      </w:r>
      <w:r>
        <w:rPr>
          <w:rFonts w:eastAsia="Cambria" w:cs="Cambria"/>
          <w:b w:val="false"/>
          <w:bCs w:val="false"/>
          <w:i/>
          <w:iCs/>
          <w:sz w:val="22"/>
          <w:szCs w:val="22"/>
        </w:rPr>
        <w:t>Thrifty</w:t>
      </w:r>
      <w:r>
        <w:rPr>
          <w:rFonts w:eastAsia="Cambria" w:cs="Cambria"/>
          <w:b w:val="false"/>
          <w:bCs w:val="false"/>
          <w:i w:val="false"/>
          <w:iCs w:val="false"/>
          <w:sz w:val="22"/>
          <w:szCs w:val="22"/>
        </w:rPr>
        <w:t>, sparsam), 1.120 $ (</w:t>
      </w:r>
      <w:r>
        <w:rPr>
          <w:rFonts w:eastAsia="Cambria" w:cs="Cambria"/>
          <w:b w:val="false"/>
          <w:bCs w:val="false"/>
          <w:i/>
          <w:iCs/>
          <w:sz w:val="22"/>
          <w:szCs w:val="22"/>
        </w:rPr>
        <w:t>Low-Cost</w:t>
      </w:r>
      <w:r>
        <w:rPr>
          <w:rFonts w:eastAsia="Cambria" w:cs="Cambria"/>
          <w:b w:val="false"/>
          <w:bCs w:val="false"/>
          <w:i w:val="false"/>
          <w:iCs w:val="false"/>
          <w:sz w:val="22"/>
          <w:szCs w:val="22"/>
        </w:rPr>
        <w:t>), 1.380 $ (</w:t>
      </w:r>
      <w:r>
        <w:rPr>
          <w:rFonts w:eastAsia="Cambria" w:cs="Cambria"/>
          <w:b w:val="false"/>
          <w:bCs w:val="false"/>
          <w:i/>
          <w:iCs/>
          <w:sz w:val="22"/>
          <w:szCs w:val="22"/>
        </w:rPr>
        <w:t>Moderate</w:t>
      </w:r>
      <w:r>
        <w:rPr>
          <w:rFonts w:eastAsia="Cambria" w:cs="Cambria"/>
          <w:b w:val="false"/>
          <w:bCs w:val="false"/>
          <w:i w:val="false"/>
          <w:iCs w:val="false"/>
          <w:sz w:val="22"/>
          <w:szCs w:val="22"/>
        </w:rPr>
        <w:t>) und 1.670 $ (</w:t>
      </w:r>
      <w:r>
        <w:rPr>
          <w:rFonts w:eastAsia="Cambria" w:cs="Cambria"/>
          <w:b w:val="false"/>
          <w:bCs w:val="false"/>
          <w:i/>
          <w:iCs/>
          <w:sz w:val="22"/>
          <w:szCs w:val="22"/>
        </w:rPr>
        <w:t>Liberal</w:t>
      </w:r>
      <w:r>
        <w:rPr>
          <w:rFonts w:eastAsia="Cambria" w:cs="Cambria"/>
          <w:b w:val="false"/>
          <w:bCs w:val="false"/>
          <w:i w:val="false"/>
          <w:iCs w:val="false"/>
          <w:sz w:val="22"/>
          <w:szCs w:val="22"/>
        </w:rPr>
        <w:t>) im Monat. Alleinstehende brauchen pro Kopf etwa ein Fünftel mehr, also grob 300–500 $. Restaurant, Lieferdienste, Alkohol und Haushaltswaren wie Putzmittel und Küchenpapier sind darin nicht enthalten.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plant für ihren ersten Monat im Großraum Detroit mit den USDA-Richtwerten für vier Personen: 1.120 $ (</w:t>
            </w:r>
            <w:r>
              <w:rPr>
                <w:rFonts w:eastAsia="Cambria" w:cs="Cambria"/>
                <w:b w:val="false"/>
                <w:bCs w:val="false"/>
                <w:i/>
                <w:iCs/>
                <w:sz w:val="20"/>
                <w:szCs w:val="20"/>
              </w:rPr>
              <w:t>Low-Cost</w:t>
            </w:r>
            <w:r>
              <w:rPr>
                <w:rFonts w:eastAsia="Cambria" w:cs="Cambria"/>
                <w:b w:val="false"/>
                <w:bCs w:val="false"/>
                <w:i w:val="false"/>
                <w:iCs w:val="false"/>
                <w:sz w:val="20"/>
                <w:szCs w:val="20"/>
              </w:rPr>
              <w:t>) bis 1.380 $ (</w:t>
            </w:r>
            <w:r>
              <w:rPr>
                <w:rFonts w:eastAsia="Cambria" w:cs="Cambria"/>
                <w:b w:val="false"/>
                <w:bCs w:val="false"/>
                <w:i/>
                <w:iCs/>
                <w:sz w:val="20"/>
                <w:szCs w:val="20"/>
              </w:rPr>
              <w:t>Moderate</w:t>
            </w:r>
            <w:r>
              <w:rPr>
                <w:rFonts w:eastAsia="Cambria" w:cs="Cambria"/>
                <w:b w:val="false"/>
                <w:bCs w:val="false"/>
                <w:i w:val="false"/>
                <w:iCs w:val="false"/>
                <w:sz w:val="20"/>
                <w:szCs w:val="20"/>
              </w:rPr>
              <w:t>). Anna kauft wöchentlich bei Aldi und Meijer, Markus fährt einmal im Monat zu Costco und zahlt 65 $ für die Mitgliedschaft. Am Monatsende stehen 1.290 $ für Lebensmittel auf der Liste, dazu rund 240 $ für zwei Restaurantbesuche und drei Lieferbestellungen. Das Toastbrot mögen weder Lena noch Jonas – „Papa, das schmeckt nach nichts“, findet Jonas beim ersten Frühstück –, am Wochenende backt Markus deshalb Roggenmischbrot nach deutschem Rezept, abgewogen in Gramm. Die Pfandflaschen bringen in Michigan 10 Cent je Stück, die Kinder werfen sie in den Automaten im Supermarkt.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Einkaufsalltag: Einheiten, Kundenkarte, Steuer, Pfand</w:t>
      </w:r>
    </w:p>
    <w:p>
      <w:pPr>
        <w:pStyle w:val="Normal"/>
        <w:keepNext w:val="false"/>
        <w:keepLines w:val="false"/>
        <w:spacing w:lineRule="exact" w:line="288" w:before="0" w:after="140"/>
        <w:jc w:val="left"/>
        <w:rPr/>
      </w:pPr>
      <w:r>
        <w:rPr>
          <w:rFonts w:eastAsia="Cambria" w:cs="Cambria"/>
          <w:b/>
          <w:bCs/>
          <w:i w:val="false"/>
          <w:iCs w:val="false"/>
          <w:sz w:val="22"/>
          <w:szCs w:val="22"/>
        </w:rPr>
        <w:t>Einheiten.</w:t>
      </w:r>
      <w:r>
        <w:rPr>
          <w:rFonts w:eastAsia="Cambria" w:cs="Cambria"/>
          <w:b w:val="false"/>
          <w:bCs w:val="false"/>
          <w:i w:val="false"/>
          <w:iCs w:val="false"/>
          <w:sz w:val="22"/>
          <w:szCs w:val="22"/>
        </w:rPr>
        <w:t xml:space="preserve"> Verpackungen und Preisschilder rechnen in </w:t>
      </w:r>
      <w:r>
        <w:rPr>
          <w:rFonts w:eastAsia="Cambria" w:cs="Cambria"/>
          <w:b w:val="false"/>
          <w:bCs w:val="false"/>
          <w:i/>
          <w:iCs/>
          <w:sz w:val="22"/>
          <w:szCs w:val="22"/>
        </w:rPr>
        <w:t>Gallons</w:t>
      </w:r>
      <w:r>
        <w:rPr>
          <w:rFonts w:eastAsia="Cambria" w:cs="Cambria"/>
          <w:b w:val="false"/>
          <w:bCs w:val="false"/>
          <w:i w:val="false"/>
          <w:iCs w:val="false"/>
          <w:sz w:val="22"/>
          <w:szCs w:val="22"/>
        </w:rPr>
        <w:t xml:space="preserve">, </w:t>
      </w:r>
      <w:r>
        <w:rPr>
          <w:rFonts w:eastAsia="Cambria" w:cs="Cambria"/>
          <w:b w:val="false"/>
          <w:bCs w:val="false"/>
          <w:i/>
          <w:iCs/>
          <w:sz w:val="22"/>
          <w:szCs w:val="22"/>
        </w:rPr>
        <w:t>Pounds</w:t>
      </w:r>
      <w:r>
        <w:rPr>
          <w:rFonts w:eastAsia="Cambria" w:cs="Cambria"/>
          <w:b w:val="false"/>
          <w:bCs w:val="false"/>
          <w:i w:val="false"/>
          <w:iCs w:val="false"/>
          <w:sz w:val="22"/>
          <w:szCs w:val="22"/>
        </w:rPr>
        <w:t xml:space="preserve"> (lb) und </w:t>
      </w:r>
      <w:r>
        <w:rPr>
          <w:rFonts w:eastAsia="Cambria" w:cs="Cambria"/>
          <w:b w:val="false"/>
          <w:bCs w:val="false"/>
          <w:i/>
          <w:iCs/>
          <w:sz w:val="22"/>
          <w:szCs w:val="22"/>
        </w:rPr>
        <w:t>Ounces</w:t>
      </w:r>
      <w:r>
        <w:rPr>
          <w:rFonts w:eastAsia="Cambria" w:cs="Cambria"/>
          <w:b w:val="false"/>
          <w:bCs w:val="false"/>
          <w:i w:val="false"/>
          <w:iCs w:val="false"/>
          <w:sz w:val="22"/>
          <w:szCs w:val="22"/>
        </w:rPr>
        <w:t xml:space="preserve"> (oz): 1 lb = 454 g, 1 oz = 28 g. Neben dem Verkaufspreis steht der Preis pro Einheit (</w:t>
      </w:r>
      <w:r>
        <w:rPr>
          <w:rFonts w:eastAsia="Cambria" w:cs="Cambria"/>
          <w:b w:val="false"/>
          <w:bCs w:val="false"/>
          <w:i/>
          <w:iCs/>
          <w:sz w:val="22"/>
          <w:szCs w:val="22"/>
        </w:rPr>
        <w:t>Unit Price</w:t>
      </w:r>
      <w:r>
        <w:rPr>
          <w:rFonts w:eastAsia="Cambria" w:cs="Cambria"/>
          <w:b w:val="false"/>
          <w:bCs w:val="false"/>
          <w:i w:val="false"/>
          <w:iCs w:val="false"/>
          <w:sz w:val="22"/>
          <w:szCs w:val="22"/>
        </w:rPr>
        <w:t>, etwa pro Unze); er ist der einzige faire Vergleich, weil Packungsgrößen ständig wechseln.</w:t>
      </w:r>
    </w:p>
    <w:p>
      <w:pPr>
        <w:pStyle w:val="Normal"/>
        <w:keepNext w:val="false"/>
        <w:keepLines w:val="false"/>
        <w:spacing w:lineRule="exact" w:line="288" w:before="0" w:after="140"/>
        <w:jc w:val="left"/>
        <w:rPr/>
      </w:pPr>
      <w:r>
        <w:rPr>
          <w:rFonts w:eastAsia="Cambria" w:cs="Cambria"/>
          <w:b/>
          <w:bCs/>
          <w:i w:val="false"/>
          <w:iCs w:val="false"/>
          <w:sz w:val="22"/>
          <w:szCs w:val="22"/>
        </w:rPr>
        <w:t>Kundenkarte.</w:t>
      </w:r>
      <w:r>
        <w:rPr>
          <w:rFonts w:eastAsia="Cambria" w:cs="Cambria"/>
          <w:b w:val="false"/>
          <w:bCs w:val="false"/>
          <w:i w:val="false"/>
          <w:iCs w:val="false"/>
          <w:sz w:val="22"/>
          <w:szCs w:val="22"/>
        </w:rPr>
        <w:t xml:space="preserve"> Bei Kroger, Safeway, Meijer und vielen anderen Ketten gelten die Angebotspreise nur mit </w:t>
      </w:r>
      <w:r>
        <w:rPr>
          <w:rFonts w:eastAsia="Cambria" w:cs="Cambria"/>
          <w:b w:val="false"/>
          <w:bCs w:val="false"/>
          <w:i/>
          <w:iCs/>
          <w:sz w:val="22"/>
          <w:szCs w:val="22"/>
        </w:rPr>
        <w:t>Loyalty Card</w:t>
      </w:r>
      <w:r>
        <w:rPr>
          <w:rFonts w:eastAsia="Cambria" w:cs="Cambria"/>
          <w:b w:val="false"/>
          <w:bCs w:val="false"/>
          <w:i w:val="false"/>
          <w:iCs w:val="false"/>
          <w:sz w:val="22"/>
          <w:szCs w:val="22"/>
        </w:rPr>
        <w:t xml:space="preserve"> (Kundenkarte) oder App. Die Anmeldung dauert eine Minute; an der Kasse genügt oft die Telefonnummer.</w:t>
      </w:r>
    </w:p>
    <w:p>
      <w:pPr>
        <w:pStyle w:val="Normal"/>
        <w:keepNext w:val="false"/>
        <w:keepLines w:val="false"/>
        <w:spacing w:lineRule="exact" w:line="288" w:before="0" w:after="140"/>
        <w:jc w:val="left"/>
        <w:rPr/>
      </w:pPr>
      <w:r>
        <w:rPr>
          <w:rFonts w:eastAsia="Cambria" w:cs="Cambria"/>
          <w:b/>
          <w:bCs/>
          <w:i w:val="false"/>
          <w:iCs w:val="false"/>
          <w:sz w:val="22"/>
          <w:szCs w:val="22"/>
        </w:rPr>
        <w:t>Steuer und Tüten.</w:t>
      </w:r>
      <w:r>
        <w:rPr>
          <w:rFonts w:eastAsia="Cambria" w:cs="Cambria"/>
          <w:b w:val="false"/>
          <w:bCs w:val="false"/>
          <w:i w:val="false"/>
          <w:iCs w:val="false"/>
          <w:sz w:val="22"/>
          <w:szCs w:val="22"/>
        </w:rPr>
        <w:t xml:space="preserve"> Restaurantessen, Alkohol und Nichtlebensmittel zahlen den vollen Steuersatz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In Michigan bleibt der Supermarkteinkauf steuerfrei, das Restaurantessen kostet 6 %. In Kalifornien, New York, Oregon und Washington sind Einwegplastiktüten verboten oder kostenpflichtig; bring eigene Taschen mit.</w:t>
      </w:r>
    </w:p>
    <w:p>
      <w:pPr>
        <w:pStyle w:val="Normal"/>
        <w:keepNext w:val="false"/>
        <w:keepLines w:val="false"/>
        <w:spacing w:lineRule="exact" w:line="288" w:before="0" w:after="140"/>
        <w:jc w:val="left"/>
        <w:rPr/>
      </w:pPr>
      <w:r>
        <w:rPr>
          <w:rFonts w:eastAsia="Cambria" w:cs="Cambria"/>
          <w:b/>
          <w:bCs/>
          <w:i w:val="false"/>
          <w:iCs w:val="false"/>
          <w:sz w:val="22"/>
          <w:szCs w:val="22"/>
        </w:rPr>
        <w:t>Pfand.</w:t>
      </w:r>
      <w:r>
        <w:rPr>
          <w:rFonts w:eastAsia="Cambria" w:cs="Cambria"/>
          <w:b w:val="false"/>
          <w:bCs w:val="false"/>
          <w:i w:val="false"/>
          <w:iCs w:val="false"/>
          <w:sz w:val="22"/>
          <w:szCs w:val="22"/>
        </w:rPr>
        <w:t xml:space="preserve"> Zehn Bundesstaaten kennen Pfand auf Flaschen und Dosen, meist 5 Cent, in Michigan und Oregon 10 Cent. Die Rückgabe läuft über Automaten im Supermarkt.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Eigenmarken (</w:t>
            </w:r>
            <w:r>
              <w:rPr>
                <w:rFonts w:eastAsia="Cambria" w:cs="Cambria"/>
                <w:b w:val="false"/>
                <w:bCs w:val="false"/>
                <w:i/>
                <w:iCs/>
                <w:sz w:val="20"/>
                <w:szCs w:val="20"/>
              </w:rPr>
              <w:t>Store Brands</w:t>
            </w:r>
            <w:r>
              <w:rPr>
                <w:rFonts w:eastAsia="Cambria" w:cs="Cambria"/>
                <w:b w:val="false"/>
                <w:bCs w:val="false"/>
                <w:i w:val="false"/>
                <w:iCs w:val="false"/>
                <w:sz w:val="20"/>
                <w:szCs w:val="20"/>
              </w:rPr>
              <w:t xml:space="preserve"> wie Great Value, Kirkland Signature oder die Aldi-Marken). Sie kosten oft ein Fünftel bis ein Drittel weniger als Markenware. Costco rechnet sich für Familien, die dort regelmäßig Fleisch, Milch und Getränke kaufen; Einpersonenhaushalte bleiben meist bei Aldi.</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Qualität, Zusatzstoffe und Bio-Siegel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Farbstoffen ändert sich gerade viel (Stand September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Nährwerttabelle (</w:t>
      </w:r>
      <w:r>
        <w:rPr>
          <w:rFonts w:eastAsia="Cambria" w:cs="Cambria"/>
          <w:b w:val="false"/>
          <w:bCs w:val="false"/>
          <w:i/>
          <w:iCs/>
          <w:sz w:val="22"/>
          <w:szCs w:val="22"/>
        </w:rPr>
        <w:t>Nutrition Facts</w:t>
      </w:r>
      <w:r>
        <w:rPr>
          <w:rFonts w:eastAsia="Cambria" w:cs="Cambria"/>
          <w:b w:val="false"/>
          <w:bCs w:val="false"/>
          <w:i w:val="false"/>
          <w:iCs w:val="false"/>
          <w:sz w:val="22"/>
          <w:szCs w:val="22"/>
        </w:rPr>
        <w:t>) nennt Werte pro Portion (</w:t>
      </w:r>
      <w:r>
        <w:rPr>
          <w:rFonts w:eastAsia="Cambria" w:cs="Cambria"/>
          <w:b w:val="false"/>
          <w:bCs w:val="false"/>
          <w:i/>
          <w:iCs/>
          <w:sz w:val="22"/>
          <w:szCs w:val="22"/>
        </w:rPr>
        <w:t>Serving Size</w:t>
      </w:r>
      <w:r>
        <w:rPr>
          <w:rFonts w:eastAsia="Cambria" w:cs="Cambria"/>
          <w:b w:val="false"/>
          <w:bCs w:val="false"/>
          <w:i w:val="false"/>
          <w:iCs w:val="false"/>
          <w:sz w:val="22"/>
          <w:szCs w:val="22"/>
        </w:rPr>
        <w:t>), nicht pro 100 g, und eine Packung enthält oft mehrere Portionen. Zugesetzter Zucker (</w:t>
      </w:r>
      <w:r>
        <w:rPr>
          <w:rFonts w:eastAsia="Cambria" w:cs="Cambria"/>
          <w:b w:val="false"/>
          <w:bCs w:val="false"/>
          <w:i/>
          <w:iCs/>
          <w:sz w:val="22"/>
          <w:szCs w:val="22"/>
        </w:rPr>
        <w:t>Added Sugars</w:t>
      </w:r>
      <w:r>
        <w:rPr>
          <w:rFonts w:eastAsia="Cambria" w:cs="Cambria"/>
          <w:b w:val="false"/>
          <w:bCs w:val="false"/>
          <w:i w:val="false"/>
          <w:iCs w:val="false"/>
          <w:sz w:val="22"/>
          <w:szCs w:val="22"/>
        </w:rPr>
        <w:t xml:space="preserve">) hat eine eigene Zeile, ein Blick lohnt bei Cerealien, Joghurt und Softdrinks. Allergene stehen in einer </w:t>
      </w:r>
      <w:r>
        <w:rPr>
          <w:rFonts w:eastAsia="Cambria" w:cs="Cambria"/>
          <w:b w:val="false"/>
          <w:bCs w:val="false"/>
          <w:i/>
          <w:iCs/>
          <w:sz w:val="22"/>
          <w:szCs w:val="22"/>
        </w:rPr>
        <w:t>Contains</w:t>
      </w:r>
      <w:r>
        <w:rPr>
          <w:rFonts w:eastAsia="Cambria" w:cs="Cambria"/>
          <w:b w:val="false"/>
          <w:bCs w:val="false"/>
          <w:i w:val="false"/>
          <w:iCs w:val="false"/>
          <w:sz w:val="22"/>
          <w:szCs w:val="22"/>
        </w:rPr>
        <w:t>-Zeile; seit 2023 gehört Sesam zu den neun Hauptallergenen.</w:t>
      </w:r>
    </w:p>
    <w:p>
      <w:pPr>
        <w:pStyle w:val="Normal"/>
        <w:keepNext w:val="false"/>
        <w:keepLines w:val="false"/>
        <w:spacing w:lineRule="exact" w:line="288" w:before="0" w:after="140"/>
        <w:jc w:val="left"/>
        <w:rPr/>
      </w:pPr>
      <w:r>
        <w:rPr>
          <w:rFonts w:eastAsia="Cambria" w:cs="Cambria"/>
          <w:b w:val="false"/>
          <w:bCs w:val="false"/>
          <w:i/>
          <w:iCs/>
          <w:sz w:val="22"/>
          <w:szCs w:val="22"/>
        </w:rPr>
        <w:t>USDA Organic</w:t>
      </w:r>
      <w:r>
        <w:rPr>
          <w:rFonts w:eastAsia="Cambria" w:cs="Cambria"/>
          <w:b w:val="false"/>
          <w:bCs w:val="false"/>
          <w:i w:val="false"/>
          <w:iCs w:val="false"/>
          <w:sz w:val="22"/>
          <w:szCs w:val="22"/>
        </w:rPr>
        <w:t xml:space="preserve">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w:t>
      </w:r>
      <w:r>
        <w:rPr>
          <w:rFonts w:eastAsia="Cambria" w:cs="Cambria"/>
          <w:b w:val="false"/>
          <w:bCs w:val="false"/>
          <w:i/>
          <w:iCs/>
          <w:sz w:val="22"/>
          <w:szCs w:val="22"/>
        </w:rPr>
        <w:t>Bioengineered</w:t>
      </w:r>
      <w:r>
        <w:rPr>
          <w:rFonts w:eastAsia="Cambria" w:cs="Cambria"/>
          <w:b w:val="false"/>
          <w:bCs w:val="false"/>
          <w:i w:val="false"/>
          <w:iCs w:val="false"/>
          <w:sz w:val="22"/>
          <w:szCs w:val="22"/>
        </w:rPr>
        <w:t xml:space="preserve"> gekennzeichnet sein.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Milch, Eier und Butter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Deutschland kommt, hält gekühlte Eier im Regal zunächst für einen Verpackungsfehler –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w:t>
      </w:r>
      <w:r>
        <w:rPr>
          <w:rFonts w:eastAsia="Cambria" w:cs="Cambria"/>
          <w:b w:val="false"/>
          <w:bCs w:val="false"/>
          <w:i/>
          <w:iCs/>
          <w:sz w:val="22"/>
          <w:szCs w:val="22"/>
        </w:rPr>
        <w:t>Large</w:t>
      </w:r>
      <w:r>
        <w:rPr>
          <w:rFonts w:eastAsia="Cambria" w:cs="Cambria"/>
          <w:b w:val="false"/>
          <w:bCs w:val="false"/>
          <w:i w:val="false"/>
          <w:iCs w:val="false"/>
          <w:sz w:val="22"/>
          <w:szCs w:val="22"/>
        </w:rPr>
        <w:t xml:space="preserve"> (ca. 57 g), meist zwölf Stück (</w:t>
      </w:r>
      <w:r>
        <w:rPr>
          <w:rFonts w:eastAsia="Cambria" w:cs="Cambria"/>
          <w:b w:val="false"/>
          <w:bCs w:val="false"/>
          <w:i/>
          <w:iCs/>
          <w:sz w:val="22"/>
          <w:szCs w:val="22"/>
        </w:rPr>
        <w:t>Dozen</w:t>
      </w:r>
      <w:r>
        <w:rPr>
          <w:rFonts w:eastAsia="Cambria" w:cs="Cambria"/>
          <w:b w:val="false"/>
          <w:bCs w:val="false"/>
          <w:i w:val="false"/>
          <w:iCs w:val="false"/>
          <w:sz w:val="22"/>
          <w:szCs w:val="22"/>
        </w:rPr>
        <w:t>); für Tiramisu oder Mayonnaise gibt es pasteurisierte Eier in der Schale.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Milch kommt in Gallonen (3,8 l), halben Gallonen und Quarts (0,95 l) als </w:t>
      </w:r>
      <w:r>
        <w:rPr>
          <w:rFonts w:eastAsia="Cambria" w:cs="Cambria"/>
          <w:b w:val="false"/>
          <w:bCs w:val="false"/>
          <w:i/>
          <w:iCs/>
          <w:sz w:val="22"/>
          <w:szCs w:val="22"/>
        </w:rPr>
        <w:t>Whole Milk</w:t>
      </w:r>
      <w:r>
        <w:rPr>
          <w:rFonts w:eastAsia="Cambria" w:cs="Cambria"/>
          <w:b w:val="false"/>
          <w:bCs w:val="false"/>
          <w:i w:val="false"/>
          <w:iCs w:val="false"/>
          <w:sz w:val="22"/>
          <w:szCs w:val="22"/>
        </w:rPr>
        <w:t xml:space="preserve"> (mindestens 3,25 % Fett), </w:t>
      </w:r>
      <w:r>
        <w:rPr>
          <w:rFonts w:eastAsia="Cambria" w:cs="Cambria"/>
          <w:b w:val="false"/>
          <w:bCs w:val="false"/>
          <w:i/>
          <w:iCs/>
          <w:sz w:val="22"/>
          <w:szCs w:val="22"/>
        </w:rPr>
        <w:t>2 %</w:t>
      </w:r>
      <w:r>
        <w:rPr>
          <w:rFonts w:eastAsia="Cambria" w:cs="Cambria"/>
          <w:b w:val="false"/>
          <w:bCs w:val="false"/>
          <w:i w:val="false"/>
          <w:iCs w:val="false"/>
          <w:sz w:val="22"/>
          <w:szCs w:val="22"/>
        </w:rPr>
        <w:t xml:space="preserve">, </w:t>
      </w:r>
      <w:r>
        <w:rPr>
          <w:rFonts w:eastAsia="Cambria" w:cs="Cambria"/>
          <w:b w:val="false"/>
          <w:bCs w:val="false"/>
          <w:i/>
          <w:iCs/>
          <w:sz w:val="22"/>
          <w:szCs w:val="22"/>
        </w:rPr>
        <w:t>1 %</w:t>
      </w:r>
      <w:r>
        <w:rPr>
          <w:rFonts w:eastAsia="Cambria" w:cs="Cambria"/>
          <w:b w:val="false"/>
          <w:bCs w:val="false"/>
          <w:i w:val="false"/>
          <w:iCs w:val="false"/>
          <w:sz w:val="22"/>
          <w:szCs w:val="22"/>
        </w:rPr>
        <w:t xml:space="preserve"> oder </w:t>
      </w:r>
      <w:r>
        <w:rPr>
          <w:rFonts w:eastAsia="Cambria" w:cs="Cambria"/>
          <w:b w:val="false"/>
          <w:bCs w:val="false"/>
          <w:i/>
          <w:iCs/>
          <w:sz w:val="22"/>
          <w:szCs w:val="22"/>
        </w:rPr>
        <w:t>Skim</w:t>
      </w:r>
      <w:r>
        <w:rPr>
          <w:rFonts w:eastAsia="Cambria" w:cs="Cambria"/>
          <w:b w:val="false"/>
          <w:bCs w:val="false"/>
          <w:i w:val="false"/>
          <w:iCs w:val="false"/>
          <w:sz w:val="22"/>
          <w:szCs w:val="22"/>
        </w:rPr>
        <w:t xml:space="preserve"> (entrahmt), dazu laktosefrei und pflanzlich (Hafer, Mandel, Soja). H-Milch ist eine Nische. Butter gibt es in Riegeln (</w:t>
      </w:r>
      <w:r>
        <w:rPr>
          <w:rFonts w:eastAsia="Cambria" w:cs="Cambria"/>
          <w:b w:val="false"/>
          <w:bCs w:val="false"/>
          <w:i/>
          <w:iCs/>
          <w:sz w:val="22"/>
          <w:szCs w:val="22"/>
        </w:rPr>
        <w:t>Sticks</w:t>
      </w:r>
      <w:r>
        <w:rPr>
          <w:rFonts w:eastAsia="Cambria" w:cs="Cambria"/>
          <w:b w:val="false"/>
          <w:bCs w:val="false"/>
          <w:i w:val="false"/>
          <w:iCs w:val="false"/>
          <w:sz w:val="22"/>
          <w:szCs w:val="22"/>
        </w:rPr>
        <w:t xml:space="preserve">, je 113 g), meist gesalzen; für deutsche Backrezepte nimmst du </w:t>
      </w:r>
      <w:r>
        <w:rPr>
          <w:rFonts w:eastAsia="Cambria" w:cs="Cambria"/>
          <w:b w:val="false"/>
          <w:bCs w:val="false"/>
          <w:i/>
          <w:iCs/>
          <w:sz w:val="22"/>
          <w:szCs w:val="22"/>
        </w:rPr>
        <w:t>Unsalted</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Brot, Wurst, Käse: Wo bekommt man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tbl>
      <w:tblPr>
        <w:tblW w:w="6480" w:type="dxa"/>
        <w:jc w:val="left"/>
        <w:tblInd w:w="0" w:type="dxa"/>
        <w:tblLayout w:type="fixed"/>
        <w:tblCellMar>
          <w:top w:w="50" w:type="dxa"/>
          <w:left w:w="80" w:type="dxa"/>
          <w:bottom w:w="50" w:type="dxa"/>
          <w:right w:w="80" w:type="dxa"/>
        </w:tblCellMar>
      </w:tblPr>
      <w:tblGrid>
        <w:gridCol w:w="1597"/>
        <w:gridCol w:w="2506"/>
        <w:gridCol w:w="2377"/>
      </w:tblGrid>
      <w:tr>
        <w:trPr>
          <w:tblHeader w:val="true"/>
          <w:cantSplit w:val="true"/>
        </w:trPr>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Produkt</w:t>
            </w:r>
          </w:p>
        </w:tc>
        <w:tc>
          <w:tcPr>
            <w:tcW w:w="2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es gibt</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 du suchst</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Weiches Sandwichbrot, </w:t>
            </w:r>
            <w:r>
              <w:rPr>
                <w:rFonts w:eastAsia="Cambria" w:cs="Cambria"/>
                <w:b w:val="false"/>
                <w:bCs w:val="false"/>
                <w:i/>
                <w:iCs/>
                <w:sz w:val="18"/>
                <w:szCs w:val="18"/>
              </w:rPr>
              <w:t>Sourdough</w:t>
            </w:r>
            <w:r>
              <w:rPr>
                <w:rFonts w:eastAsia="Cambria" w:cs="Cambria"/>
                <w:b w:val="false"/>
                <w:bCs w:val="false"/>
                <w:i w:val="false"/>
                <w:iCs w:val="false"/>
                <w:sz w:val="18"/>
                <w:szCs w:val="18"/>
              </w:rPr>
              <w:t xml:space="preserve">, </w:t>
            </w:r>
            <w:r>
              <w:rPr>
                <w:rFonts w:eastAsia="Cambria" w:cs="Cambria"/>
                <w:b w:val="false"/>
                <w:bCs w:val="false"/>
                <w:i/>
                <w:iCs/>
                <w:sz w:val="18"/>
                <w:szCs w:val="18"/>
              </w:rPr>
              <w:t>Rye</w:t>
            </w:r>
            <w:r>
              <w:rPr>
                <w:rFonts w:eastAsia="Cambria" w:cs="Cambria"/>
                <w:b w:val="false"/>
                <w:bCs w:val="false"/>
                <w:i w:val="false"/>
                <w:iCs w:val="false"/>
                <w:sz w:val="18"/>
                <w:szCs w:val="18"/>
              </w:rPr>
              <w:t xml:space="preserve"> (Roggenmischbrot mit Kümmel)</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Bäckereitheke bei Whole Foods, Wegmans, Publix, Lidl; Bäckereien, Wochenmärkte</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Brötchen</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Hard Rolls</w:t>
            </w:r>
            <w:r>
              <w:rPr>
                <w:rFonts w:eastAsia="Cambria" w:cs="Cambria"/>
                <w:b w:val="false"/>
                <w:bCs w:val="false"/>
                <w:i w:val="false"/>
                <w:iCs w:val="false"/>
                <w:sz w:val="18"/>
                <w:szCs w:val="18"/>
              </w:rPr>
              <w:t xml:space="preserve">, </w:t>
            </w:r>
            <w:r>
              <w:rPr>
                <w:rFonts w:eastAsia="Cambria" w:cs="Cambria"/>
                <w:b w:val="false"/>
                <w:bCs w:val="false"/>
                <w:i/>
                <w:iCs/>
                <w:sz w:val="18"/>
                <w:szCs w:val="18"/>
              </w:rPr>
              <w:t>Kaiser Rolls</w:t>
            </w:r>
            <w:r>
              <w:rPr>
                <w:rFonts w:eastAsia="Cambria" w:cs="Cambria"/>
                <w:b w:val="false"/>
                <w:bCs w:val="false"/>
                <w:i w:val="false"/>
                <w:iCs w:val="false"/>
                <w:sz w:val="18"/>
                <w:szCs w:val="18"/>
              </w:rPr>
              <w:t xml:space="preserve">, </w:t>
            </w:r>
            <w:r>
              <w:rPr>
                <w:rFonts w:eastAsia="Cambria" w:cs="Cambria"/>
                <w:b w:val="false"/>
                <w:bCs w:val="false"/>
                <w:i/>
                <w:iCs/>
                <w:sz w:val="18"/>
                <w:szCs w:val="18"/>
              </w:rPr>
              <w:t>Pretzel Rolls</w:t>
            </w:r>
            <w:r>
              <w:rPr>
                <w:rFonts w:eastAsia="Cambria" w:cs="Cambria"/>
                <w:b w:val="false"/>
                <w:bCs w:val="false"/>
                <w:i w:val="false"/>
                <w:iCs w:val="false"/>
                <w:sz w:val="18"/>
                <w:szCs w:val="18"/>
              </w:rPr>
              <w:t>, Ciabatta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 im Supermarkt, Costco</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Wurst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Meats</w:t>
            </w:r>
            <w:r>
              <w:rPr>
                <w:rFonts w:eastAsia="Cambria" w:cs="Cambria"/>
                <w:b w:val="false"/>
                <w:bCs w:val="false"/>
                <w:i w:val="false"/>
                <w:iCs w:val="false"/>
                <w:sz w:val="18"/>
                <w:szCs w:val="18"/>
              </w:rPr>
              <w:t xml:space="preserve"> (Schinken, Truthahn, Salami, dünn geschnitten), Bratwurst (</w:t>
            </w:r>
            <w:r>
              <w:rPr>
                <w:rFonts w:eastAsia="Cambria" w:cs="Cambria"/>
                <w:b w:val="false"/>
                <w:bCs w:val="false"/>
                <w:i/>
                <w:iCs/>
                <w:sz w:val="18"/>
                <w:szCs w:val="18"/>
              </w:rPr>
              <w:t>Brats</w:t>
            </w:r>
            <w:r>
              <w:rPr>
                <w:rFonts w:eastAsia="Cambria" w:cs="Cambria"/>
                <w:b w:val="false"/>
                <w:bCs w:val="false"/>
                <w:i w:val="false"/>
                <w:iCs w:val="false"/>
                <w:sz w:val="18"/>
                <w:szCs w:val="18"/>
              </w:rPr>
              <w:t>), Kielbasa, Hot Dogs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Counter</w:t>
            </w:r>
            <w:r>
              <w:rPr>
                <w:rFonts w:eastAsia="Cambria" w:cs="Cambria"/>
                <w:b w:val="false"/>
                <w:bCs w:val="false"/>
                <w:i w:val="false"/>
                <w:iCs w:val="false"/>
                <w:sz w:val="18"/>
                <w:szCs w:val="18"/>
              </w:rPr>
              <w:t>; Brats vor allem im Mittleren Westen, Kielbasa in polnischen Läden</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Aufschnitt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Lyoner, Leberkäse, Teewurst: selten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German Delis</w:t>
            </w:r>
            <w:r>
              <w:rPr>
                <w:rFonts w:eastAsia="Cambria" w:cs="Cambria"/>
                <w:b w:val="false"/>
                <w:bCs w:val="false"/>
                <w:i w:val="false"/>
                <w:iCs w:val="false"/>
                <w:sz w:val="18"/>
                <w:szCs w:val="18"/>
              </w:rPr>
              <w:t xml:space="preserve"> in Städten mit deutscher Einwanderung (etwa Milwaukee, Cincinnati, Chicago, New York); Onlineshops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Cheddar, Gouda, Emmentaler (</w:t>
            </w:r>
            <w:r>
              <w:rPr>
                <w:rFonts w:eastAsia="Cambria" w:cs="Cambria"/>
                <w:b w:val="false"/>
                <w:bCs w:val="false"/>
                <w:i/>
                <w:iCs/>
                <w:sz w:val="18"/>
                <w:szCs w:val="18"/>
              </w:rPr>
              <w:t>Swiss</w:t>
            </w:r>
            <w:r>
              <w:rPr>
                <w:rFonts w:eastAsia="Cambria" w:cs="Cambria"/>
                <w:b w:val="false"/>
                <w:bCs w:val="false"/>
                <w:i w:val="false"/>
                <w:iCs w:val="false"/>
                <w:sz w:val="18"/>
                <w:szCs w:val="18"/>
              </w:rPr>
              <w:t>), Havarti, Mozzarella, Parmesan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Käseregal und -theke; Costco, Trader Joe’s, Whole Foods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Quark, Schmand</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Quark selten; Ersatz: </w:t>
            </w:r>
            <w:r>
              <w:rPr>
                <w:rFonts w:eastAsia="Cambria" w:cs="Cambria"/>
                <w:b w:val="false"/>
                <w:bCs w:val="false"/>
                <w:i/>
                <w:iCs/>
                <w:sz w:val="18"/>
                <w:szCs w:val="18"/>
              </w:rPr>
              <w:t>Skyr</w:t>
            </w:r>
            <w:r>
              <w:rPr>
                <w:rFonts w:eastAsia="Cambria" w:cs="Cambria"/>
                <w:b w:val="false"/>
                <w:bCs w:val="false"/>
                <w:i w:val="false"/>
                <w:iCs w:val="false"/>
                <w:sz w:val="18"/>
                <w:szCs w:val="18"/>
              </w:rPr>
              <w:t xml:space="preserve">, abgetropfter </w:t>
            </w:r>
            <w:r>
              <w:rPr>
                <w:rFonts w:eastAsia="Cambria" w:cs="Cambria"/>
                <w:b w:val="false"/>
                <w:bCs w:val="false"/>
                <w:i/>
                <w:iCs/>
                <w:sz w:val="18"/>
                <w:szCs w:val="18"/>
              </w:rPr>
              <w:t>Greek Yogurt</w:t>
            </w:r>
            <w:r>
              <w:rPr>
                <w:rFonts w:eastAsia="Cambria" w:cs="Cambria"/>
                <w:b w:val="false"/>
                <w:bCs w:val="false"/>
                <w:i w:val="false"/>
                <w:iCs w:val="false"/>
                <w:sz w:val="18"/>
                <w:szCs w:val="18"/>
              </w:rPr>
              <w:t xml:space="preserve">, </w:t>
            </w:r>
            <w:r>
              <w:rPr>
                <w:rFonts w:eastAsia="Cambria" w:cs="Cambria"/>
                <w:b w:val="false"/>
                <w:bCs w:val="false"/>
                <w:i/>
                <w:iCs/>
                <w:sz w:val="18"/>
                <w:szCs w:val="18"/>
              </w:rPr>
              <w:t>Sour Cream</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Joghurtregal; </w:t>
            </w:r>
            <w:r>
              <w:rPr>
                <w:rFonts w:eastAsia="Cambria" w:cs="Cambria"/>
                <w:b w:val="false"/>
                <w:bCs w:val="false"/>
                <w:i/>
                <w:iCs/>
                <w:sz w:val="18"/>
                <w:szCs w:val="18"/>
              </w:rPr>
              <w:t>Farmer Cheese</w:t>
            </w:r>
            <w:r>
              <w:rPr>
                <w:rFonts w:eastAsia="Cambria" w:cs="Cambria"/>
                <w:b w:val="false"/>
                <w:bCs w:val="false"/>
                <w:i w:val="false"/>
                <w:iCs w:val="false"/>
                <w:sz w:val="18"/>
                <w:szCs w:val="18"/>
              </w:rPr>
              <w:t xml:space="preserve"> in osteuropäischen Läden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Brot lohnt der Blick aufs Etikett: „Wheat Bread“ ist nicht automatisch Vollkorn, gesucht ist „100 % Whole Wheat“. Roggenmehl (</w:t>
      </w:r>
      <w:r>
        <w:rPr>
          <w:rFonts w:eastAsia="Cambria" w:cs="Cambria"/>
          <w:b w:val="false"/>
          <w:bCs w:val="false"/>
          <w:i/>
          <w:iCs/>
          <w:sz w:val="22"/>
          <w:szCs w:val="22"/>
        </w:rPr>
        <w:t>Rye Flour</w:t>
      </w:r>
      <w:r>
        <w:rPr>
          <w:rFonts w:eastAsia="Cambria" w:cs="Cambria"/>
          <w:b w:val="false"/>
          <w:bCs w:val="false"/>
          <w:i w:val="false"/>
          <w:iCs w:val="false"/>
          <w:sz w:val="22"/>
          <w:szCs w:val="22"/>
        </w:rPr>
        <w:t>), Dinkelmehl (</w:t>
      </w:r>
      <w:r>
        <w:rPr>
          <w:rFonts w:eastAsia="Cambria" w:cs="Cambria"/>
          <w:b w:val="false"/>
          <w:bCs w:val="false"/>
          <w:i/>
          <w:iCs/>
          <w:sz w:val="22"/>
          <w:szCs w:val="22"/>
        </w:rPr>
        <w:t>Spelt</w:t>
      </w:r>
      <w:r>
        <w:rPr>
          <w:rFonts w:eastAsia="Cambria" w:cs="Cambria"/>
          <w:b w:val="false"/>
          <w:bCs w:val="false"/>
          <w:i w:val="false"/>
          <w:iCs w:val="false"/>
          <w:sz w:val="22"/>
          <w:szCs w:val="22"/>
        </w:rPr>
        <w: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Grundnahrungsmitteln sind US-Supermärkte günstig und vielfältig; der Aufwand steckt bei Brot, Wurst und Käse. Behandle das als kleines Projekt der ersten Monate, nicht als tägliche Enttäuschung.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Lebensmittel finden und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rFonts w:eastAsia="Cambria" w:cs="Cambria"/>
          <w:b w:val="false"/>
          <w:bCs w:val="false"/>
          <w:i/>
          <w:iCs/>
          <w:sz w:val="22"/>
          <w:szCs w:val="22"/>
        </w:rPr>
        <w:t>German Delis</w:t>
      </w:r>
      <w:r>
        <w:rPr>
          <w:rFonts w:eastAsia="Cambria" w:cs="Cambria"/>
          <w:b w:val="false"/>
          <w:bCs w:val="false"/>
          <w:i w:val="false"/>
          <w:iCs w:val="false"/>
          <w:sz w:val="22"/>
          <w:szCs w:val="22"/>
        </w:rPr>
        <w:t xml:space="preserve"> und Onlineshops; der Versand kostet oft so viel wie die Ware. Lokale Gruppen von Deutschen kennen die besten Bezugsquellen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(Kapitel </w:t>
            </w:r>
            <w:hyperlink w:anchor="k23">
              <w:r>
                <w:rPr>
                  <w:rStyle w:val="ListLabel114"/>
                  <w:rFonts w:eastAsia="Cambria" w:cs="Cambria"/>
                  <w:b w:val="false"/>
                  <w:bCs w:val="false"/>
                  <w:i w:val="false"/>
                  <w:iCs w:val="false"/>
                  <w:sz w:val="20"/>
                  <w:szCs w:val="20"/>
                </w:rPr>
                <w:t>23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ab 21, Regeln je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Mindestalter für Kauf und Konsum liegt in allen Bundesstaaten bei 21 Jahren; in Deutschland sind es 16 für Bier und Wein und 18 für Spirituosen. Läden und Bars kontrollieren streng, oft jeden, der jünger als 30 aussieht: Führerschein, </w:t>
      </w:r>
      <w:r>
        <w:rPr>
          <w:rFonts w:eastAsia="Cambria" w:cs="Cambria"/>
          <w:b w:val="false"/>
          <w:bCs w:val="false"/>
          <w:i/>
          <w:iCs/>
          <w:sz w:val="22"/>
          <w:szCs w:val="22"/>
        </w:rPr>
        <w:t>State ID</w:t>
      </w:r>
      <w:r>
        <w:rPr>
          <w:rFonts w:eastAsia="Cambria" w:cs="Cambria"/>
          <w:b w:val="false"/>
          <w:bCs w:val="false"/>
          <w:i w:val="false"/>
          <w:iCs w:val="false"/>
          <w:sz w:val="22"/>
          <w:szCs w:val="22"/>
        </w:rPr>
        <w:t xml:space="preserve"> oder Reisepass gehören in die Tasche, eine Kopie genügt nicht. Auch das Glas Wein für ein 16-jähriges Kind am Familientisch ist heikel: Wer Alkohol an unter 21-Jährige abgibt, kann sich strafbar machen; einige Bundesstaaten nehmen Eltern zu Hause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Wo und wann du Alkohol kaufst, regelt jeder Bundesstaat, teils der Landkreis. In vielen Staaten verkaufen Supermärkte Bier und Wein, Spirituosen nur </w:t>
      </w:r>
      <w:r>
        <w:rPr>
          <w:rFonts w:eastAsia="Cambria" w:cs="Cambria"/>
          <w:b w:val="false"/>
          <w:bCs w:val="false"/>
          <w:i/>
          <w:iCs/>
          <w:sz w:val="22"/>
          <w:szCs w:val="22"/>
        </w:rPr>
        <w:t>Liquor Stores</w:t>
      </w:r>
      <w:r>
        <w:rPr>
          <w:rFonts w:eastAsia="Cambria" w:cs="Cambria"/>
          <w:b w:val="false"/>
          <w:bCs w:val="false"/>
          <w:i w:val="false"/>
          <w:iCs w:val="false"/>
          <w:sz w:val="22"/>
          <w:szCs w:val="22"/>
        </w:rPr>
        <w:t xml:space="preserve">; in Kalifornien und Michigan gibt es Spirituosen auch im Supermarkt. In 17 </w:t>
      </w:r>
      <w:r>
        <w:rPr>
          <w:rFonts w:eastAsia="Cambria" w:cs="Cambria"/>
          <w:b w:val="false"/>
          <w:bCs w:val="false"/>
          <w:i/>
          <w:iCs/>
          <w:sz w:val="22"/>
          <w:szCs w:val="22"/>
        </w:rPr>
        <w:t>Control States</w:t>
      </w:r>
      <w:r>
        <w:rPr>
          <w:rFonts w:eastAsia="Cambria" w:cs="Cambria"/>
          <w:b w:val="false"/>
          <w:bCs w:val="false"/>
          <w:i w:val="false"/>
          <w:iCs w:val="false"/>
          <w:sz w:val="22"/>
          <w:szCs w:val="22"/>
        </w:rPr>
        <w:t xml:space="preserve"> kontrolliert der Staat den Großhandel, in einigen (etwa Pennsylvania, Utah, Virginia) auch den Verkauf in eigenen Läden mit festen Öffnungszeiten. Sonntags gelten teils Einschränkungen, und in </w:t>
      </w:r>
      <w:r>
        <w:rPr>
          <w:rFonts w:eastAsia="Cambria" w:cs="Cambria"/>
          <w:b w:val="false"/>
          <w:bCs w:val="false"/>
          <w:i/>
          <w:iCs/>
          <w:sz w:val="22"/>
          <w:szCs w:val="22"/>
        </w:rPr>
        <w:t>Dry Counties</w:t>
      </w:r>
      <w:r>
        <w:rPr>
          <w:rFonts w:eastAsia="Cambria" w:cs="Cambria"/>
          <w:b w:val="false"/>
          <w:bCs w:val="false"/>
          <w:i w:val="false"/>
          <w:iCs w:val="false"/>
          <w:sz w:val="22"/>
          <w:szCs w:val="22"/>
        </w:rPr>
        <w:t xml:space="preserve"> (vor allem im Süden, etwa in Teilen von Kentucky und Tennessee) ist der Verkauf ganz oder teilweise verboten. Die Regeln aller Staaten stehen in der NIAAA-Datenbank (Quellenliste).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Bars liegt die letzte Bestellung (</w:t>
      </w:r>
      <w:r>
        <w:rPr>
          <w:rFonts w:eastAsia="Cambria" w:cs="Cambria"/>
          <w:b w:val="false"/>
          <w:bCs w:val="false"/>
          <w:i/>
          <w:iCs/>
          <w:sz w:val="22"/>
          <w:szCs w:val="22"/>
        </w:rPr>
        <w:t>Last Call</w:t>
      </w:r>
      <w:r>
        <w:rPr>
          <w:rFonts w:eastAsia="Cambria" w:cs="Cambria"/>
          <w:b w:val="false"/>
          <w:bCs w:val="false"/>
          <w:i w:val="false"/>
          <w:iCs w:val="false"/>
          <w:sz w:val="22"/>
          <w:szCs w:val="22"/>
        </w:rPr>
        <w:t>) je nach Stadt zwischen etwa 1 und 4 Uhr. In Großstädten kostet ein Bier oft 7–10 $, ein Cocktail 14–20 $, dazu Steuer und Trinkgeld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Craft-Brauereien brauen häufig Pils, Kölsch und Weizen.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geöffneter Alkoholbehälter im Fahrgastraum (</w:t>
            </w:r>
            <w:r>
              <w:rPr>
                <w:rFonts w:eastAsia="Cambria" w:cs="Cambria"/>
                <w:b w:val="false"/>
                <w:bCs w:val="false"/>
                <w:i/>
                <w:iCs/>
                <w:sz w:val="20"/>
                <w:szCs w:val="20"/>
              </w:rPr>
              <w:t>Open Container</w:t>
            </w:r>
            <w:r>
              <w:rPr>
                <w:rFonts w:eastAsia="Cambria" w:cs="Cambria"/>
                <w:b w:val="false"/>
                <w:bCs w:val="false"/>
                <w:i w:val="false"/>
                <w:iCs w:val="false"/>
                <w:sz w:val="20"/>
                <w:szCs w:val="20"/>
              </w:rPr>
              <w:t>)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w:t>
            </w:r>
            <w:r>
              <w:rPr>
                <w:rFonts w:eastAsia="Cambria" w:cs="Cambria"/>
                <w:b w:val="false"/>
                <w:bCs w:val="false"/>
                <w:i/>
                <w:iCs/>
                <w:sz w:val="20"/>
                <w:szCs w:val="20"/>
              </w:rPr>
              <w:t>DUI</w:t>
            </w:r>
            <w:r>
              <w:rPr>
                <w:rFonts w:eastAsia="Cambria" w:cs="Cambria"/>
                <w:b w:val="false"/>
                <w:bCs w:val="false"/>
                <w:i w:val="false"/>
                <w:iCs w:val="false"/>
                <w:sz w:val="20"/>
                <w:szCs w:val="20"/>
              </w:rPr>
              <w:t>) kostet Führerschein und Geld und kann Visum und Green Card gefährden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Restaurants und Lieferdienste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Trinkgeld, Preise ohne Steuer, Reste und Rechnung teilen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Im Alltag zählt außerdem: Du wartest am Eingang auf die Platzanweisung (</w:t>
      </w:r>
      <w:r>
        <w:rPr>
          <w:rFonts w:eastAsia="Cambria" w:cs="Cambria"/>
          <w:b w:val="false"/>
          <w:bCs w:val="false"/>
          <w:i/>
          <w:iCs/>
          <w:sz w:val="22"/>
          <w:szCs w:val="22"/>
        </w:rPr>
        <w:t>Please wait to be seated</w:t>
      </w:r>
      <w:r>
        <w:rPr>
          <w:rFonts w:eastAsia="Cambria" w:cs="Cambria"/>
          <w:b w:val="false"/>
          <w:bCs w:val="false"/>
          <w:i w:val="false"/>
          <w:iCs w:val="false"/>
          <w:sz w:val="22"/>
          <w:szCs w:val="22"/>
        </w:rPr>
        <w:t>), beliebte Lokale nehmen Reservierungen über Apps wie OpenTable oder Resy an, sonst kommst du auf eine Warteliste. Die Küche schließt früh, in Kleinstädten oft um 21 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w:t>
      </w:r>
      <w:r>
        <w:rPr>
          <w:rFonts w:eastAsia="Cambria" w:cs="Cambria"/>
          <w:b w:val="false"/>
          <w:bCs w:val="false"/>
          <w:i/>
          <w:iCs/>
          <w:sz w:val="22"/>
          <w:szCs w:val="22"/>
        </w:rPr>
        <w:t>Curbside Pickup</w:t>
      </w:r>
      <w:r>
        <w:rPr>
          <w:rFonts w:eastAsia="Cambria" w:cs="Cambria"/>
          <w:b w:val="false"/>
          <w:bCs w:val="false"/>
          <w:i w:val="false"/>
          <w:iCs w:val="false"/>
          <w:sz w:val="22"/>
          <w:szCs w:val="22"/>
        </w:rPr>
        <w:t>): Du bestellst online, ein Mitarbeiter lädt die Ware in dein Auto, meist kostenlos oder gegen kleine Gebühr.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Kochen: Cups, Ounces und Fahrenheit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US-Rezepte messen Volumen statt Gewicht – wer nach deutschem Rezept 250 g Mehl abwiegen will, steht zunächst ratlos vor einem Becherset ohne Waage. Ein Satz Messbecher (</w:t>
      </w:r>
      <w:r>
        <w:rPr>
          <w:rFonts w:eastAsia="Cambria" w:cs="Cambria"/>
          <w:b w:val="false"/>
          <w:bCs w:val="false"/>
          <w:i/>
          <w:iCs/>
          <w:sz w:val="22"/>
          <w:szCs w:val="22"/>
        </w:rPr>
        <w:t>Measuring Cups</w:t>
      </w:r>
      <w:r>
        <w:rPr>
          <w:rFonts w:eastAsia="Cambria" w:cs="Cambria"/>
          <w:b w:val="false"/>
          <w:bCs w:val="false"/>
          <w:i w:val="false"/>
          <w:iCs w:val="false"/>
          <w:sz w:val="22"/>
          <w:szCs w:val="22"/>
        </w:rPr>
        <w:t>), eine Küchenwaage mit Gramm- und Unzen-Anzeige und ein Fleischthermometer erleichtern alles. Die wichtigsten Werte:</w:t>
      </w:r>
    </w:p>
    <w:tbl>
      <w:tblPr>
        <w:tblW w:w="6480" w:type="dxa"/>
        <w:jc w:val="left"/>
        <w:tblInd w:w="0" w:type="dxa"/>
        <w:tblLayout w:type="fixed"/>
        <w:tblCellMar>
          <w:top w:w="50" w:type="dxa"/>
          <w:left w:w="80" w:type="dxa"/>
          <w:bottom w:w="50" w:type="dxa"/>
          <w:right w:w="80" w:type="dxa"/>
        </w:tblCellMar>
      </w:tblPr>
      <w:tblGrid>
        <w:gridCol w:w="2231"/>
        <w:gridCol w:w="1791"/>
        <w:gridCol w:w="2458"/>
      </w:tblGrid>
      <w:tr>
        <w:trPr>
          <w:tblHeader w:val="true"/>
          <w:cantSplit w:val="true"/>
        </w:trPr>
        <w:tc>
          <w:tcPr>
            <w:tcW w:w="2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17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Metrisch</w:t>
            </w:r>
          </w:p>
        </w:tc>
        <w:tc>
          <w:tcPr>
            <w:tcW w:w="24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 Mehl ca. 125 g, Zucker ca. 200 g, Butter ca. 225 g</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tablespoon (Tbsp)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teaspoon (tsp) ca. 5 ml</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fluid ounce (fl oz)</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fl oz = 1 cup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pint, 1 quart, 1 gallon</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473 ml, 0,95 l, 3,8 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pints = 1 quart, 4 quarts = 1 gallon</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ounce (oz), 1 pound (lb)</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g, 454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 1 lb</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stick Butter</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 = 8 Tbsp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 °F, 400 °F, 450 °F</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°C, 200 °C, 230 °C</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 minus 32, geteilt durch 1,8</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Backofen kennt </w:t>
      </w:r>
      <w:r>
        <w:rPr>
          <w:rFonts w:eastAsia="Cambria" w:cs="Cambria"/>
          <w:b w:val="false"/>
          <w:bCs w:val="false"/>
          <w:i/>
          <w:iCs/>
          <w:sz w:val="22"/>
          <w:szCs w:val="22"/>
        </w:rPr>
        <w:t>Bake</w:t>
      </w:r>
      <w:r>
        <w:rPr>
          <w:rFonts w:eastAsia="Cambria" w:cs="Cambria"/>
          <w:b w:val="false"/>
          <w:bCs w:val="false"/>
          <w:i w:val="false"/>
          <w:iCs w:val="false"/>
          <w:sz w:val="22"/>
          <w:szCs w:val="22"/>
        </w:rPr>
        <w:t xml:space="preserve"> (Ober- und Unterhitze), </w:t>
      </w:r>
      <w:r>
        <w:rPr>
          <w:rFonts w:eastAsia="Cambria" w:cs="Cambria"/>
          <w:b w:val="false"/>
          <w:bCs w:val="false"/>
          <w:i/>
          <w:iCs/>
          <w:sz w:val="22"/>
          <w:szCs w:val="22"/>
        </w:rPr>
        <w:t>Convection</w:t>
      </w:r>
      <w:r>
        <w:rPr>
          <w:rFonts w:eastAsia="Cambria" w:cs="Cambria"/>
          <w:b w:val="false"/>
          <w:bCs w:val="false"/>
          <w:i w:val="false"/>
          <w:iCs w:val="false"/>
          <w:sz w:val="22"/>
          <w:szCs w:val="22"/>
        </w:rPr>
        <w:t xml:space="preserve"> (Umluft; Temperatur etwa 25 °F senken) und </w:t>
      </w:r>
      <w:r>
        <w:rPr>
          <w:rFonts w:eastAsia="Cambria" w:cs="Cambria"/>
          <w:b w:val="false"/>
          <w:bCs w:val="false"/>
          <w:i/>
          <w:iCs/>
          <w:sz w:val="22"/>
          <w:szCs w:val="22"/>
        </w:rPr>
        <w:t>Broil</w:t>
      </w:r>
      <w:r>
        <w:rPr>
          <w:rFonts w:eastAsia="Cambria" w:cs="Cambria"/>
          <w:b w:val="false"/>
          <w:bCs w:val="false"/>
          <w:i w:val="false"/>
          <w:iCs w:val="false"/>
          <w:sz w:val="22"/>
          <w:szCs w:val="22"/>
        </w:rPr>
        <w:t xml:space="preserve"> (Grill). Wichtige Zutaten: Backpulver heißt </w:t>
      </w:r>
      <w:r>
        <w:rPr>
          <w:rFonts w:eastAsia="Cambria" w:cs="Cambria"/>
          <w:b w:val="false"/>
          <w:bCs w:val="false"/>
          <w:i/>
          <w:iCs/>
          <w:sz w:val="22"/>
          <w:szCs w:val="22"/>
        </w:rPr>
        <w:t>baking powder</w:t>
      </w:r>
      <w:r>
        <w:rPr>
          <w:rFonts w:eastAsia="Cambria" w:cs="Cambria"/>
          <w:b w:val="false"/>
          <w:bCs w:val="false"/>
          <w:i w:val="false"/>
          <w:iCs w:val="false"/>
          <w:sz w:val="22"/>
          <w:szCs w:val="22"/>
        </w:rPr>
        <w:t xml:space="preserve">, Natron </w:t>
      </w:r>
      <w:r>
        <w:rPr>
          <w:rFonts w:eastAsia="Cambria" w:cs="Cambria"/>
          <w:b w:val="false"/>
          <w:bCs w:val="false"/>
          <w:i/>
          <w:iCs/>
          <w:sz w:val="22"/>
          <w:szCs w:val="22"/>
        </w:rPr>
        <w:t>baking soda</w:t>
      </w:r>
      <w:r>
        <w:rPr>
          <w:rFonts w:eastAsia="Cambria" w:cs="Cambria"/>
          <w:b w:val="false"/>
          <w:bCs w:val="false"/>
          <w:i w:val="false"/>
          <w:iCs w:val="false"/>
          <w:sz w:val="22"/>
          <w:szCs w:val="22"/>
        </w:rPr>
        <w:t xml:space="preserve"> (nicht verwechseln), Speisestärke </w:t>
      </w:r>
      <w:r>
        <w:rPr>
          <w:rFonts w:eastAsia="Cambria" w:cs="Cambria"/>
          <w:b w:val="false"/>
          <w:bCs w:val="false"/>
          <w:i/>
          <w:iCs/>
          <w:sz w:val="22"/>
          <w:szCs w:val="22"/>
        </w:rPr>
        <w:t>cornstarch</w:t>
      </w:r>
      <w:r>
        <w:rPr>
          <w:rFonts w:eastAsia="Cambria" w:cs="Cambria"/>
          <w:b w:val="false"/>
          <w:bCs w:val="false"/>
          <w:i w:val="false"/>
          <w:iCs w:val="false"/>
          <w:sz w:val="22"/>
          <w:szCs w:val="22"/>
        </w:rPr>
        <w:t xml:space="preserve">, Schlagsahne </w:t>
      </w:r>
      <w:r>
        <w:rPr>
          <w:rFonts w:eastAsia="Cambria" w:cs="Cambria"/>
          <w:b w:val="false"/>
          <w:bCs w:val="false"/>
          <w:i/>
          <w:iCs/>
          <w:sz w:val="22"/>
          <w:szCs w:val="22"/>
        </w:rPr>
        <w:t>heavy cream</w:t>
      </w:r>
      <w:r>
        <w:rPr>
          <w:rFonts w:eastAsia="Cambria" w:cs="Cambria"/>
          <w:b w:val="false"/>
          <w:bCs w:val="false"/>
          <w:i w:val="false"/>
          <w:iCs w:val="false"/>
          <w:sz w:val="22"/>
          <w:szCs w:val="22"/>
        </w:rPr>
        <w:t xml:space="preserve">, Schmand </w:t>
      </w:r>
      <w:r>
        <w:rPr>
          <w:rFonts w:eastAsia="Cambria" w:cs="Cambria"/>
          <w:b w:val="false"/>
          <w:bCs w:val="false"/>
          <w:i/>
          <w:iCs/>
          <w:sz w:val="22"/>
          <w:szCs w:val="22"/>
        </w:rPr>
        <w:t>sour cream</w:t>
      </w:r>
      <w:r>
        <w:rPr>
          <w:rFonts w:eastAsia="Cambria" w:cs="Cambria"/>
          <w:b w:val="false"/>
          <w:bCs w:val="false"/>
          <w:i w:val="false"/>
          <w:iCs w:val="false"/>
          <w:sz w:val="22"/>
          <w:szCs w:val="22"/>
        </w:rPr>
        <w:t xml:space="preserve">; Weizenmehl Type 550 entspricht etwa </w:t>
      </w:r>
      <w:r>
        <w:rPr>
          <w:rFonts w:eastAsia="Cambria" w:cs="Cambria"/>
          <w:b w:val="false"/>
          <w:bCs w:val="false"/>
          <w:i/>
          <w:iCs/>
          <w:sz w:val="22"/>
          <w:szCs w:val="22"/>
        </w:rPr>
        <w:t>all-purpose flour</w:t>
      </w:r>
      <w:r>
        <w:rPr>
          <w:rFonts w:eastAsia="Cambria" w:cs="Cambria"/>
          <w:b w:val="false"/>
          <w:bCs w:val="false"/>
          <w:i w:val="false"/>
          <w:iCs w:val="false"/>
          <w:sz w:val="22"/>
          <w:szCs w:val="22"/>
        </w:rPr>
        <w:t>. Als Kerntemperatur gelten für Geflügel 165 °F (74 °C), für Hackfleisch 160 °F (71 °C). Elektrische Küchengeräte aus Deutschland laufen an 120 Volt meist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Trinkwasser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Leitungswasser ist in den USA fast überall trinkbar und im Restaurant gratis. Öffentliche Wasserwerke unterliegen dem Bundesgesetz </w:t>
      </w:r>
      <w:r>
        <w:rPr>
          <w:rFonts w:eastAsia="Cambria" w:cs="Cambria"/>
          <w:b w:val="false"/>
          <w:bCs w:val="false"/>
          <w:i/>
          <w:iCs/>
          <w:sz w:val="22"/>
          <w:szCs w:val="22"/>
        </w:rPr>
        <w:t>Safe Drinking Water Act</w:t>
      </w:r>
      <w:r>
        <w:rPr>
          <w:rFonts w:eastAsia="Cambria" w:cs="Cambria"/>
          <w:b w:val="false"/>
          <w:bCs w:val="false"/>
          <w:i w:val="false"/>
          <w:iCs w:val="false"/>
          <w:sz w:val="22"/>
          <w:szCs w:val="22"/>
        </w:rPr>
        <w:t xml:space="preserve"> und der Aufsicht der Umweltbehörde EPA. Jedes Jahr, meist bis 1. Juli, veröffentlichen sie einen Wasserqualitätsbericht (</w:t>
      </w:r>
      <w:r>
        <w:rPr>
          <w:rFonts w:eastAsia="Cambria" w:cs="Cambria"/>
          <w:b w:val="false"/>
          <w:bCs w:val="false"/>
          <w:i/>
          <w:iCs/>
          <w:sz w:val="22"/>
          <w:szCs w:val="22"/>
        </w:rPr>
        <w:t>Consumer Confidence Report</w:t>
      </w:r>
      <w:r>
        <w:rPr>
          <w:rFonts w:eastAsia="Cambria" w:cs="Cambria"/>
          <w:b w:val="false"/>
          <w:bCs w:val="false"/>
          <w:i w:val="false"/>
          <w:iCs w:val="false"/>
          <w:sz w:val="22"/>
          <w:szCs w:val="22"/>
        </w:rPr>
        <w:t xml:space="preserve">)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w:t>
      </w:r>
      <w:r>
        <w:rPr>
          <w:rFonts w:eastAsia="Cambria" w:cs="Cambria"/>
          <w:b w:val="false"/>
          <w:bCs w:val="false"/>
          <w:i/>
          <w:iCs/>
          <w:sz w:val="22"/>
          <w:szCs w:val="22"/>
        </w:rPr>
        <w:t>Seltzer</w:t>
      </w:r>
      <w:r>
        <w:rPr>
          <w:rFonts w:eastAsia="Cambria" w:cs="Cambria"/>
          <w:b w:val="false"/>
          <w:bCs w:val="false"/>
          <w:i w:val="false"/>
          <w:iCs w:val="false"/>
          <w:sz w:val="22"/>
          <w:szCs w:val="22"/>
        </w:rPr>
        <w:t xml:space="preserve"> oder </w:t>
      </w:r>
      <w:r>
        <w:rPr>
          <w:rFonts w:eastAsia="Cambria" w:cs="Cambria"/>
          <w:b w:val="false"/>
          <w:bCs w:val="false"/>
          <w:i/>
          <w:iCs/>
          <w:sz w:val="22"/>
          <w:szCs w:val="22"/>
        </w:rPr>
        <w:t>Sparkling Water</w:t>
      </w:r>
      <w:r>
        <w:rPr>
          <w:rFonts w:eastAsia="Cambria" w:cs="Cambria"/>
          <w:b w:val="false"/>
          <w:bCs w:val="false"/>
          <w:i w:val="false"/>
          <w:iCs w:val="false"/>
          <w:sz w:val="22"/>
          <w:szCs w:val="22"/>
        </w:rPr>
        <w:t xml:space="preserve"> und ist meist milder als deutsches Mineralwasser.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Themen sind im Fluss: PFAS (langlebige Industriechemikalien) und Fluorid. Für PFOA und PFOS gilt ein Grenzwert von 4 ng/l; nach 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Bei Rohrbrüchen ordnet der Versorger eine </w:t>
      </w:r>
      <w:r>
        <w:rPr>
          <w:rFonts w:eastAsia="Cambria" w:cs="Cambria"/>
          <w:b w:val="false"/>
          <w:bCs w:val="false"/>
          <w:i/>
          <w:iCs/>
          <w:sz w:val="22"/>
          <w:szCs w:val="22"/>
        </w:rPr>
        <w:t>Boil Water Advisory</w:t>
      </w:r>
      <w:r>
        <w:rPr>
          <w:rFonts w:eastAsia="Cambria" w:cs="Cambria"/>
          <w:b w:val="false"/>
          <w:bCs w:val="false"/>
          <w:i w:val="false"/>
          <w:iCs w:val="false"/>
          <w:sz w:val="22"/>
          <w:szCs w:val="22"/>
        </w:rPr>
        <w:t xml:space="preserve"> an: Wasser vor dem Trinken eine Minute sprudelnd kochen.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Öffentliche Schulen bieten Frühstück und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über das </w:t>
      </w:r>
      <w:r>
        <w:rPr>
          <w:rFonts w:eastAsia="Cambria" w:cs="Cambria"/>
          <w:b w:val="false"/>
          <w:bCs w:val="false"/>
          <w:i/>
          <w:iCs/>
          <w:sz w:val="22"/>
          <w:szCs w:val="22"/>
        </w:rPr>
        <w:t>National School Lunch Program</w:t>
      </w:r>
      <w:r>
        <w:rPr>
          <w:rFonts w:eastAsia="Cambria" w:cs="Cambria"/>
          <w:b w:val="false"/>
          <w:bCs w:val="false"/>
          <w:i w:val="false"/>
          <w:iCs w:val="false"/>
          <w:sz w:val="22"/>
          <w:szCs w:val="22"/>
        </w:rPr>
        <w:t>. Das Mittagessen liegt früh, oft zwischen 10:30 und 12:30 Uhr, und dauert 20 bis 30 Minuten. Pizza, Nuggets und Pasta stehen neben Salat, Obst und Milch. Den Preis legt der Distrikt fest, meist einige Dollar je Mahlzeit.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Teilnahme keine Rolle. Wer selbst packt, gibt eine Lunchbox mit. Viele Schulen sind wegen Allergien nussfrei (</w:t>
      </w:r>
      <w:r>
        <w:rPr>
          <w:rFonts w:eastAsia="Cambria" w:cs="Cambria"/>
          <w:b w:val="false"/>
          <w:bCs w:val="false"/>
          <w:i/>
          <w:iCs/>
          <w:sz w:val="22"/>
          <w:szCs w:val="22"/>
        </w:rPr>
        <w:t>Peanut-Free</w:t>
      </w:r>
      <w:r>
        <w:rPr>
          <w:rFonts w:eastAsia="Cambria" w:cs="Cambria"/>
          <w:b w:val="false"/>
          <w:bCs w:val="false"/>
          <w:i w:val="false"/>
          <w:iCs w:val="false"/>
          <w:sz w:val="22"/>
          <w:szCs w:val="22"/>
        </w:rPr>
        <w:t>): Melde Allergien bei der Anmeldung. Guthaben lädst du meist per App des Distrikts auf. Mehr zum Schulsystem steht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83"/>
        <w:gridCol w:w="2996"/>
      </w:tblGrid>
      <w:tr>
        <w:trPr>
          <w:tblHeader w:val="true"/>
          <w:cantSplit w:val="true"/>
        </w:trPr>
        <w:tc>
          <w:tcPr>
            <w:tcW w:w="34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Öffnungszeiten, auch sonntags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Einkauf in vielen Regionen mühsam</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 Grundnahrungsmittel bei Aldi, Walmart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 Wurst und Käse in deutscher Qualität nur mit Aufwand</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Vielfalt an Küchen und Zutaten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Zusatzstoffe und Zucker in vielen Fertigprodukten</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 bei Ketten wie Aldi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Lieferdienst kosten 25–30 % Aufschlag</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Craft-Bier-, Wein- und Kaffeekultur</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Zersplitterte Alkoholregeln, Ausweispflicht, kein Trinken in der Öffentlichkeit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Leitungswasser meist gut, im Restaurant gratis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Bleirohre in alten Häusern, regional verschiedene Wasserqualität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Schulmahlzeiten in neun Bundesstaaten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Cups, Ounces und Fahrenheit verlangen Umgewöhnung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probiere Ersatz für Brot, Wurst und Käse in Ruhe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Basisläden festlegen (Discounter und Vollsortimenter), Kundenkarten oder Apps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Monatsbudget für Lebensmittel mit den USDA-Richtwerten planen, Restaurant und Lieferdienst extra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sich eine Costco-Mitgliedschaft für deinen Haushalt 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 für Brot, Wurst und Käse finden: Bäckereitheke, German Deli, Onlineshop, Backzutaten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Führerschein oder State ID für Alkoholkäufe mitnehmen; Alkohol im Auto nur verschlossen im Kofferraum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Wasserqualitätsbericht des Versorgers lesen; bei Häusern vor 1986 Bleitest und zertifizierten Filter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Küchenwaage mit Gramm und Unzen, Messbecher und Fleischthermometer kaufen; Küchengeräte auf 120 Volt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bei der Einreise angeben und keine Wurstwaren mitbringen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Schulkindern Preise, Allergieregeln und Guthabenkonto der Schulcafeteria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US-Landwirtschaftsministerium (USDA) — Richtwerte für Lebensmittelkosten (</w:t>
      </w:r>
      <w:hyperlink r:id="rId329">
        <w:r>
          <w:rPr>
            <w:rStyle w:val="ListLabel113"/>
            <w:rFonts w:eastAsia="Cambria" w:cs="Cambria"/>
            <w:b w:val="false"/>
            <w:bCs w:val="false"/>
            <w:i w:val="false"/>
            <w:iCs w:val="false"/>
            <w:color w:val="0563C1"/>
            <w:sz w:val="22"/>
            <w:szCs w:val="22"/>
            <w:u w:val="single"/>
          </w:rPr>
          <w:t>fna.usda.gov/research/cnpp/usda-food-plans</w:t>
        </w:r>
      </w:hyperlink>
      <w:r>
        <w:rPr>
          <w:rFonts w:eastAsia="Cambria" w:cs="Cambria"/>
          <w:b w:val="false"/>
          <w:bCs w:val="false"/>
          <w:i w:val="false"/>
          <w:iCs w:val="false"/>
          <w:sz w:val="22"/>
          <w:szCs w:val="22"/>
        </w:rPr>
        <w:t>) und Schulmahlzeiten (</w:t>
      </w:r>
      <w:hyperlink r:id="rId330">
        <w:r>
          <w:rPr>
            <w:rStyle w:val="ListLabel113"/>
            <w:rFonts w:eastAsia="Cambria" w:cs="Cambria"/>
            <w:b w:val="false"/>
            <w:bCs w:val="false"/>
            <w:i w:val="false"/>
            <w:iCs w:val="false"/>
            <w:color w:val="0563C1"/>
            <w:sz w:val="22"/>
            <w:szCs w:val="22"/>
            <w:u w:val="single"/>
          </w:rPr>
          <w:t>fna.usda.gov/nslp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Statistikbehörde BLS — Durchschnittspreise für Lebensmittel (</w:t>
      </w:r>
      <w:hyperlink r:id="rId331">
        <w:r>
          <w:rPr>
            <w:rStyle w:val="ListLabel113"/>
            <w:rFonts w:eastAsia="Cambria" w:cs="Cambria"/>
            <w:b w:val="false"/>
            <w:bCs w:val="false"/>
            <w:i w:val="false"/>
            <w:iCs w:val="false"/>
            <w:color w:val="0563C1"/>
            <w:sz w:val="22"/>
            <w:szCs w:val="22"/>
            <w:u w:val="single"/>
          </w:rPr>
          <w:t>bls.gov</w:t>
        </w:r>
      </w:hyperlink>
      <w:r>
        <w:rPr>
          <w:rFonts w:eastAsia="Cambria" w:cs="Cambria"/>
          <w:b w:val="false"/>
          <w:bCs w:val="false"/>
          <w:i w:val="false"/>
          <w:iCs w:val="false"/>
          <w:sz w:val="22"/>
          <w:szCs w:val="22"/>
        </w:rPr>
        <w:t>, Suche: average retail food and energy prices)</w:t>
      </w:r>
    </w:p>
    <w:p>
      <w:pPr>
        <w:pStyle w:val="ListParagraph"/>
        <w:numPr>
          <w:ilvl w:val="0"/>
          <w:numId w:val="1"/>
        </w:numPr>
        <w:spacing w:lineRule="exact" w:line="288" w:before="0" w:after="60"/>
        <w:rPr/>
      </w:pPr>
      <w:r>
        <w:rPr>
          <w:rFonts w:eastAsia="Cambria" w:cs="Cambria"/>
          <w:b w:val="false"/>
          <w:bCs w:val="false"/>
          <w:i w:val="false"/>
          <w:iCs w:val="false"/>
          <w:sz w:val="22"/>
          <w:szCs w:val="22"/>
        </w:rPr>
        <w:t>USDA — Bio-Kennzeichnung (</w:t>
      </w:r>
      <w:hyperlink r:id="rId332">
        <w:r>
          <w:rPr>
            <w:rStyle w:val="ListLabel113"/>
            <w:rFonts w:eastAsia="Cambria" w:cs="Cambria"/>
            <w:b w:val="false"/>
            <w:bCs w:val="false"/>
            <w:i w:val="false"/>
            <w:iCs w:val="false"/>
            <w:color w:val="0563C1"/>
            <w:sz w:val="22"/>
            <w:szCs w:val="22"/>
            <w:u w:val="single"/>
          </w:rPr>
          <w:t>usda.gov/topics/organic</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Lebensmittelbehörde FDA — Farbstoffe und Zusatzstoffe (</w:t>
      </w:r>
      <w:hyperlink r:id="rId333">
        <w:r>
          <w:rPr>
            <w:rStyle w:val="ListLabel113"/>
            <w:rFonts w:eastAsia="Cambria" w:cs="Cambria"/>
            <w:b w:val="false"/>
            <w:bCs w:val="false"/>
            <w:i w:val="false"/>
            <w:iCs w:val="false"/>
            <w:color w:val="0563C1"/>
            <w:sz w:val="22"/>
            <w:szCs w:val="22"/>
            <w:u w:val="single"/>
          </w:rPr>
          <w:t>fda.gov/food</w:t>
        </w:r>
      </w:hyperlink>
      <w:r>
        <w:rPr>
          <w:rFonts w:eastAsia="Cambria" w:cs="Cambria"/>
          <w:b w:val="false"/>
          <w:bCs w:val="false"/>
          <w:i w:val="false"/>
          <w:iCs w:val="false"/>
          <w:sz w:val="22"/>
          <w:szCs w:val="22"/>
        </w:rPr>
        <w:t>, Suche: Red No. 3)</w:t>
      </w:r>
    </w:p>
    <w:p>
      <w:pPr>
        <w:pStyle w:val="ListParagraph"/>
        <w:numPr>
          <w:ilvl w:val="0"/>
          <w:numId w:val="1"/>
        </w:numPr>
        <w:spacing w:lineRule="exact" w:line="288" w:before="0" w:after="60"/>
        <w:rPr/>
      </w:pPr>
      <w:r>
        <w:rPr>
          <w:rFonts w:eastAsia="Cambria" w:cs="Cambria"/>
          <w:b w:val="false"/>
          <w:bCs w:val="false"/>
          <w:i w:val="false"/>
          <w:iCs w:val="false"/>
          <w:sz w:val="22"/>
          <w:szCs w:val="22"/>
        </w:rPr>
        <w:t>Umweltbehörde EPA — Trinkwasser, Blei und Wasserqualitätsbericht (</w:t>
      </w:r>
      <w:hyperlink r:id="rId334">
        <w:r>
          <w:rPr>
            <w:rStyle w:val="ListLabel113"/>
            <w:rFonts w:eastAsia="Cambria" w:cs="Cambria"/>
            <w:b w:val="false"/>
            <w:bCs w:val="false"/>
            <w:i w:val="false"/>
            <w:iCs w:val="false"/>
            <w:color w:val="0563C1"/>
            <w:sz w:val="22"/>
            <w:szCs w:val="22"/>
            <w:u w:val="single"/>
          </w:rPr>
          <w:t>epa.gov/ground-water-and-drinking-water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Alkoholpolitik-Datenbank des NIAAA — Gesetze der Bundesstaaten (</w:t>
      </w:r>
      <w:hyperlink r:id="rId335">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Grenzschutzbehörde CBP — Einfuhr von Lebensmitteln (</w:t>
      </w:r>
      <w:hyperlink r:id="rId336">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Suche: prohibited and restricted items)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tc>
      </w:tr>
    </w:tbl>
    <w:p>
      <w:pPr>
        <w:sectPr>
          <w:footerReference w:type="even" r:id="rId337"/>
          <w:footerReference w:type="default" r:id="rId338"/>
          <w:footerReference w:type="first" r:id="rId33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87" w:name="__RefHeading___Toc56512_3457424410"/>
      <w:bookmarkEnd w:id="87"/>
      <w:r>
        <w:rPr>
          <w:rFonts w:eastAsia="Amazon Ember" w:cs="Amazon Ember" w:ascii="Amazon Ember" w:hAnsi="Amazon Ember"/>
          <w:b/>
          <w:bCs/>
          <w:color w:val="0000FF"/>
        </w:rPr>
        <w:t>TEIL IX — Kinder und Schule</w:t>
      </w:r>
    </w:p>
    <w:p>
      <w:pPr>
        <w:sectPr>
          <w:footerReference w:type="even" r:id="rId340"/>
          <w:footerReference w:type="default" r:id="rId341"/>
          <w:footerReference w:type="first" r:id="rId34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Schulsystem, Englisch als Zweitsprache, Babys, Teenager und College: was Eltern wissen müssen.</w:t>
      </w:r>
      <w:r>
        <w:br w:type="page"/>
      </w:r>
    </w:p>
    <w:p>
      <w:pPr>
        <w:pStyle w:val="Heading2"/>
        <w:keepNext w:val="true"/>
        <w:spacing w:lineRule="exact" w:line="340" w:before="0" w:after="300"/>
        <w:jc w:val="center"/>
        <w:rPr/>
      </w:pPr>
      <w:bookmarkStart w:id="88" w:name="__RefHeading___Toc56514_3457424410"/>
      <w:bookmarkStart w:id="89" w:name="k36"/>
      <w:bookmarkEnd w:id="88"/>
      <w:r>
        <w:rPr>
          <w:rFonts w:eastAsia="Amazon Ember" w:cs="Amazon Ember" w:ascii="Amazon Ember" w:hAnsi="Amazon Ember"/>
          <w:b/>
          <w:bCs/>
          <w:color w:val="0000FF"/>
          <w:sz w:val="36"/>
          <w:szCs w:val="36"/>
        </w:rPr>
        <w:t>Kapitel 36: Das amerikanische Schulsystem verstehen</w:t>
      </w:r>
      <w:bookmarkEnd w:id="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regeln die Bundesstaaten und ihre Schuldistrikte; ein einheitliches Schulsystem gibt es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Wohnort gleich Schule: Deine Adresse bestimmt die öffentliche Schule, die Grundsteuer vor Ort finanziert sie zu großen Teilen. Prüfe den Distrikt, bevor du mietest oder kaufst.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vom Kindergarten (mit fünf Jahren) über Elementary, Middle und High School bis Grade 12. Die Tabelle unten ordnet deutsche Klassen ein.</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die Anmeldung braucht keine SSN und keinen Statusnachweis, aber Wohnsitznachweis, Impfnachweis und Zeugnisse.</w:t>
            </w:r>
          </w:p>
          <w:p>
            <w:pPr>
              <w:pStyle w:val="ListParagraph"/>
              <w:numPr>
                <w:ilvl w:val="0"/>
                <w:numId w:val="1"/>
              </w:numPr>
              <w:spacing w:lineRule="exact" w:line="264" w:before="0" w:after="50"/>
              <w:rPr/>
            </w:pPr>
            <w:r>
              <w:rPr>
                <w:rFonts w:eastAsia="Cambria" w:cs="Cambria"/>
                <w:b w:val="false"/>
                <w:bCs w:val="false"/>
                <w:i w:val="false"/>
                <w:iCs w:val="false"/>
                <w:sz w:val="20"/>
                <w:szCs w:val="20"/>
              </w:rPr>
              <w:t>Bewertungsportale sind ein Startpunkt, kein Urteil; besuche die 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Schwierig ist vor allem der Umzug in Grade 11 oder 12; das US-Diploma ist nicht automatisch das Abitur.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Wohnort gleich Schule: Schuldistrikt und 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Schulwesen ist Sache der Bundesstaaten, die vieles an örtliche Schuldistrikte (</w:t>
      </w:r>
      <w:r>
        <w:rPr>
          <w:rFonts w:eastAsia="Cambria" w:cs="Cambria"/>
          <w:b w:val="false"/>
          <w:bCs w:val="false"/>
          <w:i/>
          <w:iCs/>
          <w:sz w:val="22"/>
          <w:szCs w:val="22"/>
        </w:rPr>
        <w:t>School Districts</w:t>
      </w:r>
      <w:r>
        <w:rPr>
          <w:rFonts w:eastAsia="Cambria" w:cs="Cambria"/>
          <w:b w:val="false"/>
          <w:bCs w:val="false"/>
          <w:i w:val="false"/>
          <w:iCs w:val="false"/>
          <w:sz w:val="22"/>
          <w:szCs w:val="22"/>
        </w:rPr>
        <w:t>) weitergeben – mit eigener Verwaltung, meist einem gewählten Gremium (</w:t>
      </w:r>
      <w:r>
        <w:rPr>
          <w:rFonts w:eastAsia="Cambria" w:cs="Cambria"/>
          <w:b w:val="false"/>
          <w:bCs w:val="false"/>
          <w:i/>
          <w:iCs/>
          <w:sz w:val="22"/>
          <w:szCs w:val="22"/>
        </w:rPr>
        <w:t>School Board</w:t>
      </w:r>
      <w:r>
        <w:rPr>
          <w:rFonts w:eastAsia="Cambria" w:cs="Cambria"/>
          <w:b w:val="false"/>
          <w:bCs w:val="false"/>
          <w:i w:val="false"/>
          <w:iCs w:val="false"/>
          <w:sz w:val="22"/>
          <w:szCs w:val="22"/>
        </w:rPr>
        <w:t>), und eigenem Budget. Die Grenzen decken sich oft nicht mit Stadt oder Landkreis: Ein Distrikt kann mehrere Gemeinden umfassen, eine Stadt mehrere Distrikte.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den 954 Mrd. $, die öffentliche Schulen 2020–21 einnahmen, kamen 46 % von den Staaten, 44 % aus lokalen Quellen und 11 % vom Bund (inklusive Corona-Hilfen). Von den lokalen Mitteln stammten 83 % aus der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rund 36 % aller Einnahmen (NCES, National Center for Education Statistics). Die Anteile schwanken: In Hawaii und Vermont zahlt der Staat 88 %, in New Hampshire und Nebraska nur 31 %.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lokale Steuerbasis prägt also Ausstattung, Gebäude und Gehälter: Wo Häuser viel wert sind, bringt derselbe Steuersatz mehr Geld für die Schule, weshalb Häuser in gefragten Distrikten oft mehr 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Mieter zahlen über die Miete indirekt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Zuweisung läuft über das Einzugsgebiet (</w:t>
      </w:r>
      <w:r>
        <w:rPr>
          <w:rFonts w:eastAsia="Cambria" w:cs="Cambria"/>
          <w:b w:val="false"/>
          <w:bCs w:val="false"/>
          <w:i/>
          <w:iCs/>
          <w:sz w:val="22"/>
          <w:szCs w:val="22"/>
        </w:rPr>
        <w:t>Attendance Zone</w:t>
      </w:r>
      <w:r>
        <w:rPr>
          <w:rFonts w:eastAsia="Cambria" w:cs="Cambria"/>
          <w:b w:val="false"/>
          <w:bCs w:val="false"/>
          <w:i w:val="false"/>
          <w:iCs w:val="false"/>
          <w:sz w:val="22"/>
          <w:szCs w:val="22"/>
        </w:rPr>
        <w:t>): Kinder besuchen die Schule ihrer Adresse, gegenüberliegende Straßenseiten können zu verschiedenen Schulen gehören. Viele Staaten erlauben in Grenzen auch einen anderen Distrikt (</w:t>
      </w:r>
      <w:r>
        <w:rPr>
          <w:rFonts w:eastAsia="Cambria" w:cs="Cambria"/>
          <w:b w:val="false"/>
          <w:bCs w:val="false"/>
          <w:i/>
          <w:iCs/>
          <w:sz w:val="22"/>
          <w:szCs w:val="22"/>
        </w:rPr>
        <w:t>Open Enrollment</w:t>
      </w:r>
      <w:r>
        <w:rPr>
          <w:rFonts w:eastAsia="Cambria" w:cs="Cambria"/>
          <w:b w:val="false"/>
          <w:bCs w:val="false"/>
          <w:i w:val="false"/>
          <w:iCs w:val="false"/>
          <w:sz w:val="22"/>
          <w:szCs w:val="22"/>
        </w:rPr>
        <w:t>) bei freien Plätzen; Fristen, Regeln und Fahrdienst legt jeder Staat und Distrikt selbst fest.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keinen Mietvertrag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bevor der Distrikt schriftlich bestätigt, welche Schule zur Adresse gehört. Portale wie Zillow zeigen die Zuordnung meist an, verbindlich ist nur die Auskunft des Distrikts. Einzugsgebiete ändern sich zudem; frage nach geplanten Neuzuschnitten.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Regionen zu deinem Beruf passen, steht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 von Pre-K bis Grade 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Bezeichnungen sind einheitlich, der Zuschnitt nicht: Meist folgen auf die freiwillige Vorschule (</w:t>
      </w:r>
      <w:r>
        <w:rPr>
          <w:rFonts w:eastAsia="Cambria" w:cs="Cambria"/>
          <w:b w:val="false"/>
          <w:bCs w:val="false"/>
          <w:i/>
          <w:iCs/>
          <w:sz w:val="22"/>
          <w:szCs w:val="22"/>
        </w:rPr>
        <w:t>Pre-K</w:t>
      </w:r>
      <w:r>
        <w:rPr>
          <w:rFonts w:eastAsia="Cambria" w:cs="Cambria"/>
          <w:b w:val="false"/>
          <w:bCs w:val="false"/>
          <w:i w:val="false"/>
          <w:iCs w:val="false"/>
          <w:sz w:val="22"/>
          <w:szCs w:val="22"/>
        </w:rPr>
        <w:t xml:space="preserve">, drei bis vier Jahre) der Kindergarten mit fünf,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(Grade 1–5), die </w:t>
      </w:r>
      <w:r>
        <w:rPr>
          <w:rFonts w:eastAsia="Cambria" w:cs="Cambria"/>
          <w:b w:val="false"/>
          <w:bCs w:val="false"/>
          <w:i/>
          <w:iCs/>
          <w:sz w:val="22"/>
          <w:szCs w:val="22"/>
        </w:rPr>
        <w:t>Middle School</w:t>
      </w:r>
      <w:r>
        <w:rPr>
          <w:rFonts w:eastAsia="Cambria" w:cs="Cambria"/>
          <w:b w:val="false"/>
          <w:bCs w:val="false"/>
          <w:i w:val="false"/>
          <w:iCs w:val="false"/>
          <w:sz w:val="22"/>
          <w:szCs w:val="22"/>
        </w:rPr>
        <w:t xml:space="preserve"> (Grade 6–8) und die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(Grade 9–12). Manche Distrikte schneiden anders zu (etwa K–8 oder 6–12); die vier High-School-Jahre heißen </w:t>
      </w:r>
      <w:r>
        <w:rPr>
          <w:rFonts w:eastAsia="Cambria" w:cs="Cambria"/>
          <w:b w:val="false"/>
          <w:bCs w:val="false"/>
          <w:i/>
          <w:iCs/>
          <w:sz w:val="22"/>
          <w:szCs w:val="22"/>
        </w:rPr>
        <w:t>Freshman</w:t>
      </w:r>
      <w:r>
        <w:rPr>
          <w:rFonts w:eastAsia="Cambria" w:cs="Cambria"/>
          <w:b w:val="false"/>
          <w:bCs w:val="false"/>
          <w:i w:val="false"/>
          <w:iCs w:val="false"/>
          <w:sz w:val="22"/>
          <w:szCs w:val="22"/>
        </w:rPr>
        <w:t xml:space="preserve">, </w:t>
      </w:r>
      <w:r>
        <w:rPr>
          <w:rFonts w:eastAsia="Cambria" w:cs="Cambria"/>
          <w:b w:val="false"/>
          <w:bCs w:val="false"/>
          <w:i/>
          <w:iCs/>
          <w:sz w:val="22"/>
          <w:szCs w:val="22"/>
        </w:rPr>
        <w:t>Sophomore</w:t>
      </w:r>
      <w:r>
        <w:rPr>
          <w:rFonts w:eastAsia="Cambria" w:cs="Cambria"/>
          <w:b w:val="false"/>
          <w:bCs w:val="false"/>
          <w:i w:val="false"/>
          <w:iCs w:val="false"/>
          <w:sz w:val="22"/>
          <w:szCs w:val="22"/>
        </w:rPr>
        <w:t xml:space="preserve">, </w:t>
      </w:r>
      <w:r>
        <w:rPr>
          <w:rFonts w:eastAsia="Cambria" w:cs="Cambria"/>
          <w:b w:val="false"/>
          <w:bCs w:val="false"/>
          <w:i/>
          <w:iCs/>
          <w:sz w:val="22"/>
          <w:szCs w:val="22"/>
        </w:rPr>
        <w:t>Junior</w:t>
      </w:r>
      <w:r>
        <w:rPr>
          <w:rFonts w:eastAsia="Cambria" w:cs="Cambria"/>
          <w:b w:val="false"/>
          <w:bCs w:val="false"/>
          <w:i w:val="false"/>
          <w:iCs w:val="false"/>
          <w:sz w:val="22"/>
          <w:szCs w:val="22"/>
        </w:rPr>
        <w:t xml:space="preserve"> und </w:t>
      </w:r>
      <w:r>
        <w:rPr>
          <w:rFonts w:eastAsia="Cambria" w:cs="Cambria"/>
          <w:b w:val="false"/>
          <w:bCs w:val="false"/>
          <w:i/>
          <w:iCs/>
          <w:sz w:val="22"/>
          <w:szCs w:val="22"/>
        </w:rPr>
        <w:t>Senior</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ist eine Näherung, keine amtliche Norm; der Distrikt entscheidet über die Einstufung.</w:t>
      </w:r>
    </w:p>
    <w:tbl>
      <w:tblPr>
        <w:tblW w:w="6480" w:type="dxa"/>
        <w:jc w:val="left"/>
        <w:tblInd w:w="0" w:type="dxa"/>
        <w:tblLayout w:type="fixed"/>
        <w:tblCellMar>
          <w:top w:w="50" w:type="dxa"/>
          <w:left w:w="80" w:type="dxa"/>
          <w:bottom w:w="50" w:type="dxa"/>
          <w:right w:w="80" w:type="dxa"/>
        </w:tblCellMar>
      </w:tblPr>
      <w:tblGrid>
        <w:gridCol w:w="1956"/>
        <w:gridCol w:w="1438"/>
        <w:gridCol w:w="1440"/>
        <w:gridCol w:w="1645"/>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Lebensalter zu Schuljahresbeginn</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US-Stufe (</w:t>
            </w:r>
            <w:r>
              <w:rPr>
                <w:rFonts w:eastAsia="Cambria" w:cs="Cambria"/>
                <w:b/>
                <w:bCs/>
                <w:i/>
                <w:iCs/>
                <w:sz w:val="18"/>
                <w:szCs w:val="18"/>
              </w:rPr>
              <w:t>Grade</w:t>
            </w:r>
            <w:r>
              <w:rPr>
                <w:rFonts w:eastAsia="Cambria" w:cs="Cambria"/>
                <w:b/>
                <w:bCs/>
                <w:i w:val="false"/>
                <w:iCs w:val="false"/>
                <w:sz w:val="18"/>
                <w:szCs w:val="18"/>
              </w:rPr>
              <w:t>)</w:t>
            </w:r>
          </w:p>
        </w:tc>
        <w:tc>
          <w:tcPr>
            <w:tcW w:w="14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US-Schulform</w:t>
            </w:r>
          </w:p>
        </w:tc>
        <w:tc>
          <w:tcPr>
            <w:tcW w:w="16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Vorschule</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Kita, Vorschulgruppe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letztes Kita-Jahr, Vorklasse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2–4</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2–4</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5</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5</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11–13</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6–8</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6–8</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9 (Freshman)</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9</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10 (Sophomore)</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10</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11 (Junior)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12 (Senior)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12, bei G9 Vorstufe zu 13</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Klasse 13 hat kein amerikanisches Gegenstück: Grade 12 endet mit dem </w:t>
      </w:r>
      <w:r>
        <w:rPr>
          <w:rFonts w:eastAsia="Cambria" w:cs="Cambria"/>
          <w:b w:val="false"/>
          <w:bCs w:val="false"/>
          <w:i/>
          <w:iCs/>
          <w:sz w:val="22"/>
          <w:szCs w:val="22"/>
        </w:rPr>
        <w:t>High School Diploma</w:t>
      </w:r>
      <w:r>
        <w:rPr>
          <w:rFonts w:eastAsia="Cambria" w:cs="Cambria"/>
          <w:b w:val="false"/>
          <w:bCs w:val="false"/>
          <w:i w:val="false"/>
          <w:iCs w:val="false"/>
          <w:sz w:val="22"/>
          <w:szCs w:val="22"/>
        </w:rPr>
        <w:t>.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 Tagesablauf und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t>
      </w:r>
      <w:r>
        <w:rPr>
          <w:rFonts w:eastAsia="Cambria" w:cs="Cambria"/>
          <w:b w:val="false"/>
          <w:bCs w:val="false"/>
          <w:i/>
          <w:iCs/>
          <w:sz w:val="22"/>
          <w:szCs w:val="22"/>
        </w:rPr>
        <w:t>Winter Break</w:t>
      </w:r>
      <w:r>
        <w:rPr>
          <w:rFonts w:eastAsia="Cambria" w:cs="Cambria"/>
          <w:b w:val="false"/>
          <w:bCs w:val="false"/>
          <w:i w:val="false"/>
          <w:iCs w:val="false"/>
          <w:sz w:val="22"/>
          <w:szCs w:val="22"/>
        </w:rPr>
        <w:t>), eine Woche im Frühjahr (</w:t>
      </w:r>
      <w:r>
        <w:rPr>
          <w:rFonts w:eastAsia="Cambria" w:cs="Cambria"/>
          <w:b w:val="false"/>
          <w:bCs w:val="false"/>
          <w:i/>
          <w:iCs/>
          <w:sz w:val="22"/>
          <w:szCs w:val="22"/>
        </w:rPr>
        <w:t>Spring Break</w:t>
      </w:r>
      <w:r>
        <w:rPr>
          <w:rFonts w:eastAsia="Cambria" w:cs="Cambria"/>
          <w:b w:val="false"/>
          <w:bCs w:val="false"/>
          <w:i w:val="false"/>
          <w:iCs w:val="false"/>
          <w:sz w:val="22"/>
          <w:szCs w:val="22"/>
        </w:rPr>
        <w:t>) und einzelne Fortbildungstage der Lehrkräfte.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Sommerferien dauern etwa 10 bis 12 Wochen, in Deutschland rund sechs. Wer arbeitet, braucht dafür Betreuung: Sommercamps kosten Geld, und beliebte Angebote sind im Frühjahr ausgebucht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rFonts w:eastAsia="Cambria" w:cs="Cambria"/>
          <w:b w:val="false"/>
          <w:bCs w:val="false"/>
          <w:i/>
          <w:iCs/>
          <w:sz w:val="22"/>
          <w:szCs w:val="22"/>
        </w:rPr>
        <w:t>Homeroom</w:t>
      </w:r>
      <w:r>
        <w:rPr>
          <w:rFonts w:eastAsia="Cambria" w:cs="Cambria"/>
          <w:b w:val="false"/>
          <w:bCs w:val="false"/>
          <w:i w:val="false"/>
          <w:iCs w:val="false"/>
          <w:sz w:val="22"/>
          <w:szCs w:val="22"/>
        </w:rPr>
        <w:t xml:space="preserve">), dazu kommen Fachkräfte für Sport, Musik und Kunst. Das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dauert oft nur 20 bis 30 Minuten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dazu eine Pause im Freien (</w:t>
      </w:r>
      <w:r>
        <w:rPr>
          <w:rFonts w:eastAsia="Cambria" w:cs="Cambria"/>
          <w:b w:val="false"/>
          <w:bCs w:val="false"/>
          <w:i/>
          <w:iCs/>
          <w:sz w:val="22"/>
          <w:szCs w:val="22"/>
        </w:rPr>
        <w:t>Recess</w:t>
      </w:r>
      <w:r>
        <w:rPr>
          <w:rFonts w:eastAsia="Cambria" w:cs="Cambria"/>
          <w:b w:val="false"/>
          <w:bCs w:val="false"/>
          <w:i w:val="false"/>
          <w:iCs w:val="false"/>
          <w:sz w:val="22"/>
          <w:szCs w:val="22"/>
        </w:rPr>
        <w:t>). Ab der Middle School wechseln die Kinder zwischen Fachräumen und Lehrkräften.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Schule läuft damit bis in den Nachmittag, aber ohne Hort im deutschen Sinn: Wer länger arbeitet, bucht kostenpflichtige Betreuung vor und nach dem Unterricht (</w:t>
      </w:r>
      <w:r>
        <w:rPr>
          <w:rFonts w:eastAsia="Cambria" w:cs="Cambria"/>
          <w:b w:val="false"/>
          <w:bCs w:val="false"/>
          <w:i/>
          <w:iCs/>
          <w:sz w:val="22"/>
          <w:szCs w:val="22"/>
        </w:rPr>
        <w:t>Before Care</w:t>
      </w:r>
      <w:r>
        <w:rPr>
          <w:rFonts w:eastAsia="Cambria" w:cs="Cambria"/>
          <w:b w:val="false"/>
          <w:bCs w:val="false"/>
          <w:i w:val="false"/>
          <w:iCs w:val="false"/>
          <w:sz w:val="22"/>
          <w:szCs w:val="22"/>
        </w:rPr>
        <w:t xml:space="preserve">, </w:t>
      </w:r>
      <w:r>
        <w:rPr>
          <w:rFonts w:eastAsia="Cambria" w:cs="Cambria"/>
          <w:b w:val="false"/>
          <w:bCs w:val="false"/>
          <w:i/>
          <w:iCs/>
          <w:sz w:val="22"/>
          <w:szCs w:val="22"/>
        </w:rPr>
        <w:t>After Care</w:t>
      </w:r>
      <w:r>
        <w:rPr>
          <w:rFonts w:eastAsia="Cambria" w:cs="Cambria"/>
          <w:b w:val="false"/>
          <w:bCs w:val="false"/>
          <w:i w:val="false"/>
          <w:iCs w:val="false"/>
          <w:sz w:val="22"/>
          <w:szCs w:val="22"/>
        </w:rPr>
        <w:t>). Zur Schule geht es mit dem gelben Schulbus oder im Auto der Eltern (</w:t>
      </w:r>
      <w:r>
        <w:rPr>
          <w:rFonts w:eastAsia="Cambria" w:cs="Cambria"/>
          <w:b w:val="false"/>
          <w:bCs w:val="false"/>
          <w:i/>
          <w:iCs/>
          <w:sz w:val="22"/>
          <w:szCs w:val="22"/>
        </w:rPr>
        <w:t>Car Line</w:t>
      </w:r>
      <w:r>
        <w:rPr>
          <w:rFonts w:eastAsia="Cambria" w:cs="Cambria"/>
          <w:b w:val="false"/>
          <w:bCs w:val="false"/>
          <w:i w:val="false"/>
          <w:iCs w:val="false"/>
          <w:sz w:val="22"/>
          <w:szCs w:val="22"/>
        </w:rPr>
        <w:t xml:space="preserve"> heißt die Autoschlange vor dem Eingang) – laut Verkehrsbehörde NHTSA ist die Busfahrt mehr als 70-mal sicherer als dieselbe Strecke im Auto. Blinkt der Bus rot und klappt sein Stoppschild aus, müssen Autos anhalten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Charter, Magnet, privat, Homeschooling</w:t>
      </w:r>
    </w:p>
    <w:tbl>
      <w:tblPr>
        <w:tblW w:w="6480" w:type="dxa"/>
        <w:jc w:val="left"/>
        <w:tblInd w:w="0" w:type="dxa"/>
        <w:tblLayout w:type="fixed"/>
        <w:tblCellMar>
          <w:top w:w="50" w:type="dxa"/>
          <w:left w:w="80" w:type="dxa"/>
          <w:bottom w:w="50" w:type="dxa"/>
          <w:right w:w="80" w:type="dxa"/>
        </w:tblCellMar>
      </w:tblPr>
      <w:tblGrid>
        <w:gridCol w:w="1675"/>
        <w:gridCol w:w="1452"/>
        <w:gridCol w:w="1788"/>
        <w:gridCol w:w="1564"/>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Zugang</w:t>
            </w:r>
          </w:p>
        </w:tc>
        <w:tc>
          <w:tcPr>
            <w:tcW w:w="17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5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w:t>
            </w:r>
            <w:r>
              <w:rPr>
                <w:rFonts w:eastAsia="Cambria" w:cs="Cambria"/>
                <w:b w:val="false"/>
                <w:bCs w:val="false"/>
                <w:i/>
                <w:iCs/>
                <w:sz w:val="18"/>
                <w:szCs w:val="18"/>
              </w:rPr>
              <w:t>Public School</w:t>
            </w:r>
            <w:r>
              <w:rPr>
                <w:rFonts w:eastAsia="Cambria" w:cs="Cambria"/>
                <w:b w:val="false"/>
                <w:bCs w:val="false"/>
                <w:i w:val="false"/>
                <w:iCs w:val="false"/>
                <w:sz w:val="18"/>
                <w:szCs w:val="18"/>
              </w:rPr>
              <w:t>)</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Wohnadresse</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49,6 Mio. Schüler (Herbst 2022)</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Charter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oft Los</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finanziert, eigenes Konzept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Magnet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Auswahl</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Schwerpunkt, z. B. Technik, Kunst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 oder religiös</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Schulgeld</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Mio. Schüler (Herbst 2021)</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Homeschooling</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Zuweisung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Materialkosten</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3,3 % der Schüler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Kostenlos“ gilt nur für den Unterricht der öffentlichen Schule; für Sport, Ausflüge, Instrumente und Materiallisten (</w:t>
      </w:r>
      <w:r>
        <w:rPr>
          <w:rFonts w:eastAsia="Cambria" w:cs="Cambria"/>
          <w:b w:val="false"/>
          <w:bCs w:val="false"/>
          <w:i/>
          <w:iCs/>
          <w:sz w:val="22"/>
          <w:szCs w:val="22"/>
        </w:rPr>
        <w:t>School Supply Lists</w:t>
      </w:r>
      <w:r>
        <w:rPr>
          <w:rFonts w:eastAsia="Cambria" w:cs="Cambria"/>
          <w:b w:val="false"/>
          <w:bCs w:val="false"/>
          <w:i w:val="false"/>
          <w:iCs w:val="false"/>
          <w:sz w:val="22"/>
          <w:szCs w:val="22"/>
        </w:rPr>
        <w:t>) zahlst du oft dazu.</w:t>
      </w:r>
    </w:p>
    <w:p>
      <w:pPr>
        <w:pStyle w:val="Normal"/>
        <w:keepNext w:val="false"/>
        <w:keepLines w:val="false"/>
        <w:spacing w:lineRule="exact" w:line="288" w:before="0" w:after="140"/>
        <w:jc w:val="left"/>
        <w:rPr/>
      </w:pPr>
      <w:r>
        <w:rPr>
          <w:rFonts w:eastAsia="Cambria" w:cs="Cambria"/>
          <w:b w:val="false"/>
          <w:bCs w:val="false"/>
          <w:i/>
          <w:iCs/>
          <w:sz w:val="22"/>
          <w:szCs w:val="22"/>
        </w:rPr>
        <w:t>Charter-Schulen</w:t>
      </w:r>
      <w:r>
        <w:rPr>
          <w:rFonts w:eastAsia="Cambria" w:cs="Cambria"/>
          <w:b w:val="false"/>
          <w:bCs w:val="false"/>
          <w:i w:val="false"/>
          <w:iCs w:val="false"/>
          <w:sz w:val="22"/>
          <w:szCs w:val="22"/>
        </w:rPr>
        <w:t xml:space="preserve">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zwischen Dezember und Februar; gibt es mehr Bewerber als Plätze, entscheidet meist das Los.</w:t>
      </w:r>
    </w:p>
    <w:p>
      <w:pPr>
        <w:pStyle w:val="Normal"/>
        <w:keepNext w:val="false"/>
        <w:keepLines w:val="false"/>
        <w:spacing w:lineRule="exact" w:line="288" w:before="0" w:after="140"/>
        <w:jc w:val="left"/>
        <w:rPr/>
      </w:pPr>
      <w:r>
        <w:rPr>
          <w:rFonts w:eastAsia="Cambria" w:cs="Cambria"/>
          <w:b w:val="false"/>
          <w:bCs w:val="false"/>
          <w:i/>
          <w:iCs/>
          <w:sz w:val="22"/>
          <w:szCs w:val="22"/>
        </w:rPr>
        <w:t>Private und religiöse Schulen</w:t>
      </w:r>
      <w:r>
        <w:rPr>
          <w:rFonts w:eastAsia="Cambria" w:cs="Cambria"/>
          <w:b w:val="false"/>
          <w:bCs w:val="false"/>
          <w:i w:val="false"/>
          <w:iCs w:val="false"/>
          <w:sz w:val="22"/>
          <w:szCs w:val="22"/>
        </w:rPr>
        <w:t xml:space="preserve"> (katholisch, evangelisch, jüdisch, islamisch, unabhängig) verlangen Schulgeld: Der Durchschnitt lag laut NCES 2020–21 bei rund 12.800 $ pro Jahr – katholische Schulen rund 9.700 $, andere konfessionelle rund 10.900 $, nicht konfessionelle rund 19.600 $; heutige Preise liegen höher. Frage die Schule, wie stark der Glaube den Alltag prägt und ob sie Kinder anderer Konfessionen aufnimmt. Viele Staaten fördern Privatschulen zusätzlich über Gutscheine oder Bildungskonten (</w:t>
      </w:r>
      <w:r>
        <w:rPr>
          <w:rFonts w:eastAsia="Cambria" w:cs="Cambria"/>
          <w:b w:val="false"/>
          <w:bCs w:val="false"/>
          <w:i/>
          <w:iCs/>
          <w:sz w:val="22"/>
          <w:szCs w:val="22"/>
        </w:rPr>
        <w:t>Vouchers</w:t>
      </w:r>
      <w:r>
        <w:rPr>
          <w:rFonts w:eastAsia="Cambria" w:cs="Cambria"/>
          <w:b w:val="false"/>
          <w:bCs w:val="false"/>
          <w:i w:val="false"/>
          <w:iCs w:val="false"/>
          <w:sz w:val="22"/>
          <w:szCs w:val="22"/>
        </w:rPr>
        <w:t xml:space="preserve">, </w:t>
      </w:r>
      <w:r>
        <w:rPr>
          <w:rFonts w:eastAsia="Cambria" w:cs="Cambria"/>
          <w:b w:val="false"/>
          <w:bCs w:val="false"/>
          <w:i/>
          <w:iCs/>
          <w:sz w:val="22"/>
          <w:szCs w:val="22"/>
        </w:rPr>
        <w:t>Education Savings Accounts</w:t>
      </w:r>
      <w:r>
        <w:rPr>
          <w:rFonts w:eastAsia="Cambria" w:cs="Cambria"/>
          <w:b w:val="false"/>
          <w:bCs w:val="false"/>
          <w:i w:val="false"/>
          <w:iCs w:val="false"/>
          <w:sz w:val="22"/>
          <w:szCs w:val="22"/>
        </w:rPr>
        <w:t>); 2025 hatten 19 Staaten Programme für alle Familien, Berechtigung regelt jeder Staat selbst.</w:t>
      </w:r>
    </w:p>
    <w:p>
      <w:pPr>
        <w:pStyle w:val="Normal"/>
        <w:keepNext w:val="false"/>
        <w:keepLines w:val="false"/>
        <w:spacing w:lineRule="exact" w:line="288" w:before="0" w:after="140"/>
        <w:jc w:val="left"/>
        <w:rPr/>
      </w:pPr>
      <w:r>
        <w:rPr>
          <w:rFonts w:eastAsia="Cambria" w:cs="Cambria"/>
          <w:b w:val="false"/>
          <w:bCs w:val="false"/>
          <w:i/>
          <w:iCs/>
          <w:sz w:val="22"/>
          <w:szCs w:val="22"/>
        </w:rPr>
        <w:t>Homeschooling</w:t>
      </w:r>
      <w:r>
        <w:rPr>
          <w:rFonts w:eastAsia="Cambria" w:cs="Cambria"/>
          <w:b w:val="false"/>
          <w:bCs w:val="false"/>
          <w:i w:val="false"/>
          <w:iCs w:val="false"/>
          <w:sz w:val="22"/>
          <w:szCs w:val="22"/>
        </w:rPr>
        <w:t xml:space="preserve">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grundsätzlich unzulässig, weil die Schulpflicht dort für alle Kinder mit Wohnsitz gilt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Schulen bewerten: Ratings und ihre 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GreatSchools vergibt Bewertungen von 1 bis 10 aus drei Bausteinen: Testergebnisse (</w:t>
      </w:r>
      <w:r>
        <w:rPr>
          <w:rFonts w:eastAsia="Cambria" w:cs="Cambria"/>
          <w:b w:val="false"/>
          <w:bCs w:val="false"/>
          <w:i/>
          <w:iCs/>
          <w:sz w:val="22"/>
          <w:szCs w:val="22"/>
        </w:rPr>
        <w:t>Test Score</w:t>
      </w:r>
      <w:r>
        <w:rPr>
          <w:rFonts w:eastAsia="Cambria" w:cs="Cambria"/>
          <w:b w:val="false"/>
          <w:bCs w:val="false"/>
          <w:i w:val="false"/>
          <w:iCs w:val="false"/>
          <w:sz w:val="22"/>
          <w:szCs w:val="22"/>
        </w:rPr>
        <w:t>), Lernfortschritt (</w:t>
      </w:r>
      <w:r>
        <w:rPr>
          <w:rFonts w:eastAsia="Cambria" w:cs="Cambria"/>
          <w:b w:val="false"/>
          <w:bCs w:val="false"/>
          <w:i/>
          <w:iCs/>
          <w:sz w:val="22"/>
          <w:szCs w:val="22"/>
        </w:rPr>
        <w:t>Student Progress</w:t>
      </w:r>
      <w:r>
        <w:rPr>
          <w:rFonts w:eastAsia="Cambria" w:cs="Cambria"/>
          <w:b w:val="false"/>
          <w:bCs w:val="false"/>
          <w:i w:val="false"/>
          <w:iCs w:val="false"/>
          <w:sz w:val="22"/>
          <w:szCs w:val="22"/>
        </w:rPr>
        <w:t xml:space="preserve"> – wie stark die Leistungen über die Zeit wachsen) und, nur an High Schools, Studienvorbereitung (</w:t>
      </w:r>
      <w:r>
        <w:rPr>
          <w:rFonts w:eastAsia="Cambria" w:cs="Cambria"/>
          <w:b w:val="false"/>
          <w:bCs w:val="false"/>
          <w:i/>
          <w:iCs/>
          <w:sz w:val="22"/>
          <w:szCs w:val="22"/>
        </w:rPr>
        <w:t>College Readiness</w:t>
      </w:r>
      <w:r>
        <w:rPr>
          <w:rFonts w:eastAsia="Cambria" w:cs="Cambria"/>
          <w:b w:val="false"/>
          <w:bCs w:val="false"/>
          <w:i w:val="false"/>
          <w:iCs w:val="false"/>
          <w:sz w:val="22"/>
          <w:szCs w:val="22"/>
        </w:rPr>
        <w:t>: SAT/ACT, Abschlussquote, AP und IB). Niche mischt Daten mit Eltern- und Schülerumfragen. Außerdem muss jeder Staat nach ESSA (</w:t>
      </w:r>
      <w:r>
        <w:rPr>
          <w:rFonts w:eastAsia="Cambria" w:cs="Cambria"/>
          <w:b w:val="false"/>
          <w:bCs w:val="false"/>
          <w:i/>
          <w:iCs/>
          <w:sz w:val="22"/>
          <w:szCs w:val="22"/>
        </w:rPr>
        <w:t>Every Student Succeeds Act</w:t>
      </w:r>
      <w:r>
        <w:rPr>
          <w:rFonts w:eastAsia="Cambria" w:cs="Cambria"/>
          <w:b w:val="false"/>
          <w:bCs w:val="false"/>
          <w:i w:val="false"/>
          <w:iCs w:val="false"/>
          <w:sz w:val="22"/>
          <w:szCs w:val="22"/>
        </w:rPr>
        <w:t>) für jede Schule und jeden Distrikt einen Schulbericht (</w:t>
      </w:r>
      <w:r>
        <w:rPr>
          <w:rFonts w:eastAsia="Cambria" w:cs="Cambria"/>
          <w:b w:val="false"/>
          <w:bCs w:val="false"/>
          <w:i/>
          <w:iCs/>
          <w:sz w:val="22"/>
          <w:szCs w:val="22"/>
        </w:rPr>
        <w:t>School Report Card</w:t>
      </w:r>
      <w:r>
        <w:rPr>
          <w:rFonts w:eastAsia="Cambria" w:cs="Cambria"/>
          <w:b w:val="false"/>
          <w:bCs w:val="false"/>
          <w:i w:val="false"/>
          <w:iCs w:val="false"/>
          <w:sz w:val="22"/>
          <w:szCs w:val="22"/>
        </w:rPr>
        <w:t>) veröffentlichen, meist auf der Website der Landesbildungsbehörde.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Rating ersetzt keinen Besuch. Vergleiche Distrikte, nicht nur Einzelschulen, vereinbare einen Rundgang oder komm zum </w:t>
            </w:r>
            <w:r>
              <w:rPr>
                <w:rFonts w:eastAsia="Cambria" w:cs="Cambria"/>
                <w:b w:val="false"/>
                <w:bCs w:val="false"/>
                <w:i/>
                <w:iCs/>
                <w:sz w:val="20"/>
                <w:szCs w:val="20"/>
              </w:rPr>
              <w:t>Open House</w:t>
            </w:r>
            <w:r>
              <w:rPr>
                <w:rFonts w:eastAsia="Cambria" w:cs="Cambria"/>
                <w:b w:val="false"/>
                <w:bCs w:val="false"/>
                <w:i w:val="false"/>
                <w:iCs w:val="false"/>
                <w:sz w:val="20"/>
                <w:szCs w:val="20"/>
              </w:rPr>
              <w:t>, und sprich mit Schulleitung (</w:t>
            </w:r>
            <w:r>
              <w:rPr>
                <w:rFonts w:eastAsia="Cambria" w:cs="Cambria"/>
                <w:b w:val="false"/>
                <w:bCs w:val="false"/>
                <w:i/>
                <w:iCs/>
                <w:sz w:val="20"/>
                <w:szCs w:val="20"/>
              </w:rPr>
              <w:t>Principal</w:t>
            </w:r>
            <w:r>
              <w:rPr>
                <w:rFonts w:eastAsia="Cambria" w:cs="Cambria"/>
                <w:b w:val="false"/>
                <w:bCs w:val="false"/>
                <w:i w:val="false"/>
                <w:iCs w:val="false"/>
                <w:sz w:val="20"/>
                <w:szCs w:val="20"/>
              </w:rPr>
              <w:t>) und Eltern vor Ort. Frage nach Klassengröße, Förderung für neu Zugewanderte (Kapitel </w:t>
            </w:r>
            <w:hyperlink w:anchor="k37">
              <w:r>
                <w:rPr>
                  <w:rStyle w:val="ListLabel114"/>
                  <w:rFonts w:eastAsia="Cambria" w:cs="Cambria"/>
                  <w:b w:val="false"/>
                  <w:bCs w:val="false"/>
                  <w:i w:val="false"/>
                  <w:iCs w:val="false"/>
                  <w:sz w:val="20"/>
                  <w:szCs w:val="20"/>
                </w:rPr>
                <w:t>37</w:t>
              </w:r>
            </w:hyperlink>
            <w:r>
              <w:rPr>
                <w:rFonts w:eastAsia="Cambria" w:cs="Cambria"/>
                <w:b w:val="false"/>
                <w:bCs w:val="false"/>
                <w:i w:val="false"/>
                <w:iCs w:val="false"/>
                <w:sz w:val="20"/>
                <w:szCs w:val="20"/>
              </w:rPr>
              <w:t>), Sonderförderung, Sicherheitskonzept und Schulbus.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Green Card oder gültigen Aufenthaltstitel bleibe einem Kind die öffentliche Schule verschlossen. Tatsächlich entschied der Oberste Gerichtshof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1982 in </w:t>
      </w:r>
      <w:r>
        <w:rPr>
          <w:rFonts w:eastAsia="Cambria" w:cs="Cambria"/>
          <w:b w:val="false"/>
          <w:bCs w:val="false"/>
          <w:i/>
          <w:iCs/>
          <w:sz w:val="22"/>
          <w:szCs w:val="22"/>
        </w:rPr>
        <w:t>Plyler v. Doe</w:t>
      </w:r>
      <w:r>
        <w:rPr>
          <w:rFonts w:eastAsia="Cambria" w:cs="Cambria"/>
          <w:b w:val="false"/>
          <w:bCs w:val="false"/>
          <w:i w:val="false"/>
          <w:iCs w:val="false"/>
          <w:sz w:val="22"/>
          <w:szCs w:val="22"/>
        </w:rPr>
        <w:t>,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brauchst du meist:</w:t>
      </w:r>
    </w:p>
    <w:p>
      <w:pPr>
        <w:pStyle w:val="ListParagraph"/>
        <w:numPr>
          <w:ilvl w:val="0"/>
          <w:numId w:val="1"/>
        </w:numPr>
        <w:spacing w:lineRule="exact" w:line="288" w:before="0" w:after="60"/>
        <w:rPr/>
      </w:pPr>
      <w:r>
        <w:rPr>
          <w:rFonts w:eastAsia="Cambria" w:cs="Cambria"/>
          <w:b/>
          <w:bCs/>
          <w:i w:val="false"/>
          <w:iCs w:val="false"/>
          <w:sz w:val="22"/>
          <w:szCs w:val="22"/>
        </w:rPr>
        <w:t>Altersnachweis:</w:t>
      </w:r>
      <w:r>
        <w:rPr>
          <w:rFonts w:eastAsia="Cambria" w:cs="Cambria"/>
          <w:b w:val="false"/>
          <w:bCs w:val="false"/>
          <w:i w:val="false"/>
          <w:iCs w:val="false"/>
          <w:sz w:val="22"/>
          <w:szCs w:val="22"/>
        </w:rPr>
        <w:t xml:space="preserve"> Geburtsurkunde oder Reisepass.</w:t>
      </w:r>
    </w:p>
    <w:p>
      <w:pPr>
        <w:pStyle w:val="ListParagraph"/>
        <w:numPr>
          <w:ilvl w:val="0"/>
          <w:numId w:val="1"/>
        </w:numPr>
        <w:spacing w:lineRule="exact" w:line="288" w:before="0" w:after="60"/>
        <w:rPr/>
      </w:pPr>
      <w:r>
        <w:rPr>
          <w:rFonts w:eastAsia="Cambria" w:cs="Cambria"/>
          <w:b/>
          <w:bCs/>
          <w:i w:val="false"/>
          <w:iCs w:val="false"/>
          <w:sz w:val="22"/>
          <w:szCs w:val="22"/>
        </w:rPr>
        <w:t>Wohnsitznachweis:</w:t>
      </w:r>
      <w:r>
        <w:rPr>
          <w:rFonts w:eastAsia="Cambria" w:cs="Cambria"/>
          <w:b w:val="false"/>
          <w:bCs w:val="false"/>
          <w:i w:val="false"/>
          <w:iCs w:val="false"/>
          <w:sz w:val="22"/>
          <w:szCs w:val="22"/>
        </w:rPr>
        <w:t xml:space="preserve"> Mietvertrag oder Kaufvertrag plus eine Rechnung mit deiner Adresse (Strom, Gas, Internet), oft zwei Belege. Melde Strom und Internet deshalb früh an.</w:t>
      </w:r>
    </w:p>
    <w:p>
      <w:pPr>
        <w:pStyle w:val="ListParagraph"/>
        <w:numPr>
          <w:ilvl w:val="0"/>
          <w:numId w:val="1"/>
        </w:numPr>
        <w:spacing w:lineRule="exact" w:line="288" w:before="0" w:after="60"/>
        <w:rPr/>
      </w:pPr>
      <w:r>
        <w:rPr>
          <w:rFonts w:eastAsia="Cambria" w:cs="Cambria"/>
          <w:b/>
          <w:bCs/>
          <w:i w:val="false"/>
          <w:iCs w:val="false"/>
          <w:sz w:val="22"/>
          <w:szCs w:val="22"/>
        </w:rPr>
        <w:t>Impfnachweis:</w:t>
      </w:r>
      <w:r>
        <w:rPr>
          <w:rFonts w:eastAsia="Cambria" w:cs="Cambria"/>
          <w:b w:val="false"/>
          <w:bCs w:val="false"/>
          <w:i w:val="false"/>
          <w:iCs w:val="false"/>
          <w:sz w:val="22"/>
          <w:szCs w:val="22"/>
        </w:rPr>
        <w:t xml:space="preserve"> der Impfpass; Pflichten und Ausnahmen legt jeder Staat fest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Manche Schulen wollen dazu eine ärztliche Bescheinigung (</w:t>
      </w:r>
      <w:r>
        <w:rPr>
          <w:rFonts w:eastAsia="Cambria" w:cs="Cambria"/>
          <w:b w:val="false"/>
          <w:bCs w:val="false"/>
          <w:i/>
          <w:iCs/>
          <w:sz w:val="22"/>
          <w:szCs w:val="22"/>
        </w:rPr>
        <w:t>Physical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Zeugnisse:</w:t>
      </w:r>
      <w:r>
        <w:rPr>
          <w:rFonts w:eastAsia="Cambria" w:cs="Cambria"/>
          <w:b w:val="false"/>
          <w:bCs w:val="false"/>
          <w:i w:val="false"/>
          <w:iCs w:val="false"/>
          <w:sz w:val="22"/>
          <w:szCs w:val="22"/>
        </w:rPr>
        <w:t xml:space="preserve"> die letzten Zeugnisse (</w:t>
      </w:r>
      <w:r>
        <w:rPr>
          <w:rFonts w:eastAsia="Cambria" w:cs="Cambria"/>
          <w:b w:val="false"/>
          <w:bCs w:val="false"/>
          <w:i/>
          <w:iCs/>
          <w:sz w:val="22"/>
          <w:szCs w:val="22"/>
        </w:rPr>
        <w:t>Transcripts</w:t>
      </w:r>
      <w:r>
        <w:rPr>
          <w:rFonts w:eastAsia="Cambria" w:cs="Cambria"/>
          <w:b w:val="false"/>
          <w:bCs w:val="false"/>
          <w:i w:val="false"/>
          <w:iCs w:val="false"/>
          <w:sz w:val="22"/>
          <w:szCs w:val="22"/>
        </w:rPr>
        <w:t>), an der High School mit Fächern und Stunden, am besten mit englischer Übersetzung.</w:t>
      </w:r>
    </w:p>
    <w:p>
      <w:pPr>
        <w:pStyle w:val="ListParagraph"/>
        <w:numPr>
          <w:ilvl w:val="0"/>
          <w:numId w:val="1"/>
        </w:numPr>
        <w:spacing w:lineRule="exact" w:line="288" w:before="0" w:after="60"/>
        <w:rPr/>
      </w:pPr>
      <w:r>
        <w:rPr>
          <w:rFonts w:eastAsia="Cambria" w:cs="Cambria"/>
          <w:b/>
          <w:bCs/>
          <w:i w:val="false"/>
          <w:iCs w:val="false"/>
          <w:sz w:val="22"/>
          <w:szCs w:val="22"/>
        </w:rPr>
        <w:t>Ausweis der Sorgeberechtigten</w:t>
      </w:r>
      <w:r>
        <w:rPr>
          <w:rFonts w:eastAsia="Cambria" w:cs="Cambria"/>
          <w:b w:val="false"/>
          <w:bCs w:val="false"/>
          <w:i w:val="false"/>
          <w:iCs w:val="false"/>
          <w:sz w:val="22"/>
          <w:szCs w:val="22"/>
        </w:rPr>
        <w:t xml:space="preserve"> und der Fragebogen zur Familiensprache (</w:t>
      </w:r>
      <w:r>
        <w:rPr>
          <w:rFonts w:eastAsia="Cambria" w:cs="Cambria"/>
          <w:b w:val="false"/>
          <w:bCs w:val="false"/>
          <w:i/>
          <w:iCs/>
          <w:sz w:val="22"/>
          <w:szCs w:val="22"/>
        </w:rPr>
        <w:t>Home Language Survey</w:t>
      </w:r>
      <w:r>
        <w:rPr>
          <w:rFonts w:eastAsia="Cambria" w:cs="Cambria"/>
          <w:b w:val="false"/>
          <w:bCs w:val="false"/>
          <w:i w:val="false"/>
          <w:iCs w:val="false"/>
          <w:sz w:val="22"/>
          <w:szCs w:val="22"/>
        </w:rPr>
        <w:t>), dessen Antworten einen Sprachtest auslösen können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den geforderten Impfnachweis nimmt die Schule dein Kind meist nicht auf, bis er vollständig ist. Lass den Impfpass vor dem Abflug vom Kinderarzt gegen die Liste des Zielstaats abgleichen und packe Zeugnisse, Impfpass und Geburtsurkunde ins Handgepäck.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ihr Haus im Großraum Detroit nach dem Schulbezirk aus. Anna, in Deutschland Grundschullehrerin, vergleicht drei Distrikte, liest die Schulberichte des Staates und achtet auf den Lernfortschritt statt nur auf die Gesamtnote. Zwei Schulen besuchen die Brandts. Bei einer Besichtigung fragt Anna die Rektorin offen: „What happens with a child who barely speaks English?“ – die Antwort, ein fester Förderplan ab dem ersten Schultag, gibt am Ende den Ausschlag. Der Distrikt bestätigt per E-Mail, welche Grundschule zur Adresse gehört; erst dann unterschreiben sie den Mietvertrag. Nach dem Einzug melden sie Strom sofort an. Mit Mietvertrag, erster Stromrechnung, Impfpässen, Geburtsurkunden und Lenas Zeugnis gehen sie zur Anmeldung. Lena (9) kommt in Grade 4, Jonas (5) in den Kindergarten; rund vier Wochen nach der Landung sitzen beide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Lehrplan, Tests, Noten und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Inhalte legen die Staaten als Standards fest; wie Lehrkräfte sie umsetzen und welche Bücher sie nutzen, entscheiden Distrikt und Schule. Es gibt keine bundesweite Abschlussprüfung wie das Abitur, einzelne Staaten verlangen eigene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Abschluss zählen, regeln die Staaten. Für Neuzugewanderte gelten Sonderregeln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Noten laufen meist von A (sehr gut) bis F (nicht bestanden), oft mit Prozentwerten dahinter, etwa 90–100 % für ein A – die Richtung ist also umgekehrt zu den deutschen Noten 1 bis 6. Der Notendurchschnitt (</w:t>
      </w:r>
      <w:r>
        <w:rPr>
          <w:rFonts w:eastAsia="Cambria" w:cs="Cambria"/>
          <w:b w:val="false"/>
          <w:bCs w:val="false"/>
          <w:i/>
          <w:iCs/>
          <w:sz w:val="22"/>
          <w:szCs w:val="22"/>
        </w:rPr>
        <w:t>GPA</w:t>
      </w:r>
      <w:r>
        <w:rPr>
          <w:rFonts w:eastAsia="Cambria" w:cs="Cambria"/>
          <w:b w:val="false"/>
          <w:bCs w:val="false"/>
          <w:i w:val="false"/>
          <w:iCs w:val="false"/>
          <w:sz w:val="22"/>
          <w:szCs w:val="22"/>
        </w:rPr>
        <w:t xml:space="preserve">, </w:t>
      </w:r>
      <w:r>
        <w:rPr>
          <w:rFonts w:eastAsia="Cambria" w:cs="Cambria"/>
          <w:b w:val="false"/>
          <w:bCs w:val="false"/>
          <w:i/>
          <w:iCs/>
          <w:sz w:val="22"/>
          <w:szCs w:val="22"/>
        </w:rPr>
        <w:t>Grade Point Average</w:t>
      </w:r>
      <w:r>
        <w:rPr>
          <w:rFonts w:eastAsia="Cambria" w:cs="Cambria"/>
          <w:b w:val="false"/>
          <w:bCs w:val="false"/>
          <w:i w:val="false"/>
          <w:iCs w:val="false"/>
          <w:sz w:val="22"/>
          <w:szCs w:val="22"/>
        </w:rPr>
        <w:t>) rechnet A = 4, B = 3, C = 2, D = 1, F = 0 und reicht bis 4,0; Honors- und AP-Kurse zählen an vielen Schulen gewichtet bis 5,0. Ab Grade 9 fließen die Noten in den GPA ein, der später in die College-Bewerbung eingeht.</w:t>
      </w:r>
    </w:p>
    <w:p>
      <w:pPr>
        <w:pStyle w:val="Normal"/>
        <w:keepNext w:val="false"/>
        <w:keepLines w:val="false"/>
        <w:spacing w:lineRule="exact" w:line="288" w:before="0" w:after="140"/>
        <w:jc w:val="left"/>
        <w:rPr/>
      </w:pPr>
      <w:r>
        <w:rPr>
          <w:rFonts w:eastAsia="Cambria" w:cs="Cambria"/>
          <w:b w:val="false"/>
          <w:bCs w:val="false"/>
          <w:i/>
          <w:iCs/>
          <w:sz w:val="22"/>
          <w:szCs w:val="22"/>
        </w:rPr>
        <w:t>Honors</w:t>
      </w:r>
      <w:r>
        <w:rPr>
          <w:rFonts w:eastAsia="Cambria" w:cs="Cambria"/>
          <w:b w:val="false"/>
          <w:bCs w:val="false"/>
          <w:i w:val="false"/>
          <w:iCs w:val="false"/>
          <w:sz w:val="22"/>
          <w:szCs w:val="22"/>
        </w:rPr>
        <w:t xml:space="preserve">-Kurse sind anspruchsvollere Varianten des Regelkurses. </w:t>
      </w:r>
      <w:r>
        <w:rPr>
          <w:rFonts w:eastAsia="Cambria" w:cs="Cambria"/>
          <w:b w:val="false"/>
          <w:bCs w:val="false"/>
          <w:i/>
          <w:iCs/>
          <w:sz w:val="22"/>
          <w:szCs w:val="22"/>
        </w:rPr>
        <w:t>Advanced Placement</w:t>
      </w:r>
      <w:r>
        <w:rPr>
          <w:rFonts w:eastAsia="Cambria" w:cs="Cambria"/>
          <w:b w:val="false"/>
          <w:bCs w:val="false"/>
          <w:i w:val="false"/>
          <w:iCs w:val="false"/>
          <w:sz w:val="22"/>
          <w:szCs w:val="22"/>
        </w:rPr>
        <w:t xml:space="preserve"> (AP) sind College-nahe Kurse mit Prüfung im Mai auf einer Skala von 1 bis 5; ob und ab welcher Punktzahl ein College sie anrechnet, entscheidet jede Hochschule. Das </w:t>
      </w:r>
      <w:r>
        <w:rPr>
          <w:rFonts w:eastAsia="Cambria" w:cs="Cambria"/>
          <w:b w:val="false"/>
          <w:bCs w:val="false"/>
          <w:i/>
          <w:iCs/>
          <w:sz w:val="22"/>
          <w:szCs w:val="22"/>
        </w:rPr>
        <w:t>International Baccalaureate</w:t>
      </w:r>
      <w:r>
        <w:rPr>
          <w:rFonts w:eastAsia="Cambria" w:cs="Cambria"/>
          <w:b w:val="false"/>
          <w:bCs w:val="false"/>
          <w:i w:val="false"/>
          <w:iCs w:val="false"/>
          <w:sz w:val="22"/>
          <w:szCs w:val="22"/>
        </w:rPr>
        <w:t xml:space="preserve"> (IB) ist ein zweijähriges Diplomprogramm in Grade 11 und 12 mit höchstens 45 Punkten an ausgewählten Schulen; es kann in Deutschland zur direkten Studienzulassung führen.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College-Bewerbung zählen zudem </w:t>
      </w:r>
      <w:r>
        <w:rPr>
          <w:rFonts w:eastAsia="Cambria" w:cs="Cambria"/>
          <w:b w:val="false"/>
          <w:bCs w:val="false"/>
          <w:i/>
          <w:iCs/>
          <w:sz w:val="22"/>
          <w:szCs w:val="22"/>
        </w:rPr>
        <w:t>SAT</w:t>
      </w:r>
      <w:r>
        <w:rPr>
          <w:rFonts w:eastAsia="Cambria" w:cs="Cambria"/>
          <w:b w:val="false"/>
          <w:bCs w:val="false"/>
          <w:i w:val="false"/>
          <w:iCs w:val="false"/>
          <w:sz w:val="22"/>
          <w:szCs w:val="22"/>
        </w:rPr>
        <w:t xml:space="preserve"> und </w:t>
      </w:r>
      <w:r>
        <w:rPr>
          <w:rFonts w:eastAsia="Cambria" w:cs="Cambria"/>
          <w:b w:val="false"/>
          <w:bCs w:val="false"/>
          <w:i/>
          <w:iCs/>
          <w:sz w:val="22"/>
          <w:szCs w:val="22"/>
        </w:rPr>
        <w:t>ACT</w:t>
      </w:r>
      <w:r>
        <w:rPr>
          <w:rFonts w:eastAsia="Cambria" w:cs="Cambria"/>
          <w:b w:val="false"/>
          <w:bCs w:val="false"/>
          <w:i w:val="false"/>
          <w:iCs w:val="false"/>
          <w:sz w:val="22"/>
          <w:szCs w:val="22"/>
        </w:rP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rFonts w:eastAsia="Cambria" w:cs="Cambria"/>
          <w:b w:val="false"/>
          <w:bCs w:val="false"/>
          <w:i/>
          <w:iCs/>
          <w:sz w:val="22"/>
          <w:szCs w:val="22"/>
        </w:rPr>
        <w:t>test-optional</w:t>
      </w:r>
      <w:r>
        <w:rPr>
          <w:rFonts w:eastAsia="Cambria" w:cs="Cambria"/>
          <w:b w:val="false"/>
          <w:bCs w:val="false"/>
          <w:i w:val="false"/>
          <w:iCs w:val="false"/>
          <w:sz w:val="22"/>
          <w:szCs w:val="22"/>
        </w:rPr>
        <w:t>. Kosten, Finanzierung und Abitur-Anerkennung: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Diploma gehören Kurspunkte (</w:t>
      </w:r>
      <w:r>
        <w:rPr>
          <w:rFonts w:eastAsia="Cambria" w:cs="Cambria"/>
          <w:b w:val="false"/>
          <w:bCs w:val="false"/>
          <w:i/>
          <w:iCs/>
          <w:sz w:val="22"/>
          <w:szCs w:val="22"/>
        </w:rPr>
        <w:t>Credits</w:t>
      </w:r>
      <w:r>
        <w:rPr>
          <w:rFonts w:eastAsia="Cambria" w:cs="Cambria"/>
          <w:b w:val="false"/>
          <w:bCs w:val="false"/>
          <w:i w:val="false"/>
          <w:iCs w:val="false"/>
          <w:sz w:val="22"/>
          <w:szCs w:val="22"/>
        </w:rPr>
        <w:t>): meist 20 bis 24, verteilt auf feste Fächer wie Englisch, Mathematik, Naturwissenschaften, Sozialkunde und Sport sowie Wahlfächer – Staat und Distrikt legen das jeweils fest. Wer in Grade 11 oder 12 zuzieht, klärt fehlende Credits früh mit der Beratungslehrkraft (</w:t>
      </w:r>
      <w:r>
        <w:rPr>
          <w:rFonts w:eastAsia="Cambria" w:cs="Cambria"/>
          <w:b w:val="false"/>
          <w:bCs w:val="false"/>
          <w:i/>
          <w:iCs/>
          <w:sz w:val="22"/>
          <w:szCs w:val="22"/>
        </w:rPr>
        <w:t>Counselor</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Hausaufgaben, Sport, Clubs und die Elternrolle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Hausaufgaben (</w:t>
      </w:r>
      <w:r>
        <w:rPr>
          <w:rFonts w:eastAsia="Cambria" w:cs="Cambria"/>
          <w:b w:val="false"/>
          <w:bCs w:val="false"/>
          <w:i/>
          <w:iCs/>
          <w:sz w:val="22"/>
          <w:szCs w:val="22"/>
        </w:rPr>
        <w:t>Homework</w:t>
      </w:r>
      <w:r>
        <w:rPr>
          <w:rFonts w:eastAsia="Cambria" w:cs="Cambria"/>
          <w:b w:val="false"/>
          <w:bCs w:val="false"/>
          <w:i w:val="false"/>
          <w:iCs w:val="false"/>
          <w:sz w:val="22"/>
          <w:szCs w:val="22"/>
        </w:rPr>
        <w:t>) sind üblich, ihr Umfang schwankt: in der Grundschule meist kurz, an der High School, vor allem mit AP- und Honors-Kursen, oft mehrere Stunden pro 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Sport und Clubs gehören zur Schule, nicht zum Verein: Schulteams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für die erste Mannschaft,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für die zweite), dazu Orchester, Chor, Theater, Robotik, Debattierclub und Schülerzeitung. Am </w:t>
      </w:r>
      <w:r>
        <w:rPr>
          <w:rFonts w:eastAsia="Cambria" w:cs="Cambria"/>
          <w:b w:val="false"/>
          <w:bCs w:val="false"/>
          <w:i/>
          <w:iCs/>
          <w:sz w:val="22"/>
          <w:szCs w:val="22"/>
        </w:rPr>
        <w:t>Friday Night Football</w:t>
      </w:r>
      <w:r>
        <w:rPr>
          <w:rFonts w:eastAsia="Cambria" w:cs="Cambria"/>
          <w:b w:val="false"/>
          <w:bCs w:val="false"/>
          <w:i w:val="false"/>
          <w:iCs w:val="false"/>
          <w:sz w:val="22"/>
          <w:szCs w:val="22"/>
        </w:rP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rFonts w:eastAsia="Cambria" w:cs="Cambria"/>
          <w:b w:val="false"/>
          <w:bCs w:val="false"/>
          <w:i/>
          <w:iCs/>
          <w:sz w:val="22"/>
          <w:szCs w:val="22"/>
        </w:rPr>
        <w:t>Tryouts</w:t>
      </w:r>
      <w:r>
        <w:rPr>
          <w:rFonts w:eastAsia="Cambria" w:cs="Cambria"/>
          <w:b w:val="false"/>
          <w:bCs w:val="false"/>
          <w:i w:val="false"/>
          <w:iCs w:val="false"/>
          <w:sz w:val="22"/>
          <w:szCs w:val="22"/>
        </w:rPr>
        <w:t>), vor der Saison meist eine sportärztliche 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viele Distrikte erheben Gebühren fürs Mitmachen (</w:t>
      </w:r>
      <w:r>
        <w:rPr>
          <w:rFonts w:eastAsia="Cambria" w:cs="Cambria"/>
          <w:b w:val="false"/>
          <w:bCs w:val="false"/>
          <w:i/>
          <w:iCs/>
          <w:sz w:val="22"/>
          <w:szCs w:val="22"/>
        </w:rPr>
        <w:t>Pay to Play</w:t>
      </w:r>
      <w:r>
        <w:rPr>
          <w:rFonts w:eastAsia="Cambria" w:cs="Cambria"/>
          <w:b w:val="false"/>
          <w:bCs w:val="false"/>
          <w:i w:val="false"/>
          <w:iCs w:val="false"/>
          <w:sz w:val="22"/>
          <w:szCs w:val="22"/>
        </w:rPr>
        <w:t>). Clubs zählen zudem für spätere College-Bewerbungen (</w:t>
      </w:r>
      <w:r>
        <w:rPr>
          <w:rFonts w:eastAsia="Cambria" w:cs="Cambria"/>
          <w:b w:val="false"/>
          <w:bCs w:val="false"/>
          <w:i/>
          <w:iCs/>
          <w:sz w:val="22"/>
          <w:szCs w:val="22"/>
        </w:rPr>
        <w:t>Extracurriculars</w:t>
      </w:r>
      <w:r>
        <w:rPr>
          <w:rFonts w:eastAsia="Cambria" w:cs="Cambria"/>
          <w:b w:val="false"/>
          <w:bCs w:val="false"/>
          <w:i w:val="false"/>
          <w:iCs w:val="false"/>
          <w:sz w:val="22"/>
          <w:szCs w:val="22"/>
        </w:rPr>
        <w:t>) und sind für Kinder mit wenig Englisch oft der schnellste Weg zu Freunden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 Teacher Association</w:t>
      </w:r>
      <w:r>
        <w:rPr>
          <w:rFonts w:eastAsia="Cambria" w:cs="Cambria"/>
          <w:b w:val="false"/>
          <w:bCs w:val="false"/>
          <w:i w:val="false"/>
          <w:iCs w:val="false"/>
          <w:sz w:val="22"/>
          <w:szCs w:val="22"/>
        </w:rPr>
        <w:t xml:space="preserve">) oder die unabhängige </w:t>
      </w:r>
      <w:r>
        <w:rPr>
          <w:rFonts w:eastAsia="Cambria" w:cs="Cambria"/>
          <w:b w:val="false"/>
          <w:bCs w:val="false"/>
          <w:i/>
          <w:iCs/>
          <w:sz w:val="22"/>
          <w:szCs w:val="22"/>
        </w:rPr>
        <w:t>PTO</w:t>
      </w:r>
      <w:r>
        <w:rPr>
          <w:rFonts w:eastAsia="Cambria" w:cs="Cambria"/>
          <w:b w:val="false"/>
          <w:bCs w:val="false"/>
          <w:i w:val="false"/>
          <w:iCs w:val="false"/>
          <w:sz w:val="22"/>
          <w:szCs w:val="22"/>
        </w:rPr>
        <w:t xml:space="preserve"> organisiert Feste und Spendenaktionen (</w:t>
      </w:r>
      <w:r>
        <w:rPr>
          <w:rFonts w:eastAsia="Cambria" w:cs="Cambria"/>
          <w:b w:val="false"/>
          <w:bCs w:val="false"/>
          <w:i/>
          <w:iCs/>
          <w:sz w:val="22"/>
          <w:szCs w:val="22"/>
        </w:rPr>
        <w:t>Fundraiser</w:t>
      </w:r>
      <w:r>
        <w:rPr>
          <w:rFonts w:eastAsia="Cambria" w:cs="Cambria"/>
          <w:b w:val="false"/>
          <w:bCs w:val="false"/>
          <w:i w:val="false"/>
          <w:iCs w:val="false"/>
          <w:sz w:val="22"/>
          <w:szCs w:val="22"/>
        </w:rPr>
        <w:t>) und finanziert Extras; wer mithilft (</w:t>
      </w:r>
      <w:r>
        <w:rPr>
          <w:rFonts w:eastAsia="Cambria" w:cs="Cambria"/>
          <w:b w:val="false"/>
          <w:bCs w:val="false"/>
          <w:i/>
          <w:iCs/>
          <w:sz w:val="22"/>
          <w:szCs w:val="22"/>
        </w:rPr>
        <w:t>Volunteering</w:t>
      </w:r>
      <w:r>
        <w:rPr>
          <w:rFonts w:eastAsia="Cambria" w:cs="Cambria"/>
          <w:b w:val="false"/>
          <w:bCs w:val="false"/>
          <w:i w:val="false"/>
          <w:iCs w:val="false"/>
          <w:sz w:val="22"/>
          <w:szCs w:val="22"/>
        </w:rPr>
        <w:t>), lernt Eltern und Lehrkräfte schnell kennen. Elternportale und Apps informieren über Noten, Termine und Fehlzeiten. Elternsprechtage (</w:t>
      </w:r>
      <w:r>
        <w:rPr>
          <w:rFonts w:eastAsia="Cambria" w:cs="Cambria"/>
          <w:b w:val="false"/>
          <w:bCs w:val="false"/>
          <w:i/>
          <w:iCs/>
          <w:sz w:val="22"/>
          <w:szCs w:val="22"/>
        </w:rPr>
        <w:t>Parent-Teacher Conferences</w:t>
      </w:r>
      <w:r>
        <w:rPr>
          <w:rFonts w:eastAsia="Cambria" w:cs="Cambria"/>
          <w:b w:val="false"/>
          <w:bCs w:val="false"/>
          <w:i w:val="false"/>
          <w:iCs w:val="false"/>
          <w:sz w:val="22"/>
          <w:szCs w:val="22"/>
        </w:rPr>
        <w:t>) gibt es meist ein- bis zweimal im Jahr, Zeugnisse (</w:t>
      </w:r>
      <w:r>
        <w:rPr>
          <w:rFonts w:eastAsia="Cambria" w:cs="Cambria"/>
          <w:b w:val="false"/>
          <w:bCs w:val="false"/>
          <w:i/>
          <w:iCs/>
          <w:sz w:val="22"/>
          <w:szCs w:val="22"/>
        </w:rPr>
        <w:t>Report Cards</w:t>
      </w:r>
      <w:r>
        <w:rPr>
          <w:rFonts w:eastAsia="Cambria" w:cs="Cambria"/>
          <w:b w:val="false"/>
          <w:bCs w:val="false"/>
          <w:i w:val="false"/>
          <w:iCs w:val="false"/>
          <w:sz w:val="22"/>
          <w:szCs w:val="22"/>
        </w:rPr>
        <w:t>) mehrmals. Lehrkräfte werden mit „Mrs.“, „Mr.“ oder „Ms.“ und Nachnamen angesprochen; kurze, freundliche E-Mails sind der übliche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 Lockdown-Übungen und Schulschießereien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oft an Schulen geschossen wird, hängt von der Zählweise ab:</w:t>
      </w:r>
    </w:p>
    <w:tbl>
      <w:tblPr>
        <w:tblW w:w="6480" w:type="dxa"/>
        <w:jc w:val="left"/>
        <w:tblInd w:w="0" w:type="dxa"/>
        <w:tblLayout w:type="fixed"/>
        <w:tblCellMar>
          <w:top w:w="50" w:type="dxa"/>
          <w:left w:w="80" w:type="dxa"/>
          <w:bottom w:w="50" w:type="dxa"/>
          <w:right w:w="80" w:type="dxa"/>
        </w:tblCellMar>
      </w:tblPr>
      <w:tblGrid>
        <w:gridCol w:w="2706"/>
        <w:gridCol w:w="1647"/>
        <w:gridCol w:w="2127"/>
      </w:tblGrid>
      <w:tr>
        <w:trPr>
          <w:tblHeader w:val="true"/>
          <w:cantSplit w:val="true"/>
        </w:trPr>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1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1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K-12 SSDB (weiteste Definition)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2020, 2023, 2025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 352, 233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Everytown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2024, 2025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229, mindestens 159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CNN-Datenbank</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 (schulbezogene Gewalttote)</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2006–07, 2019–20</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 25 Todesfälle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Sicherheitsverfahren gehören deshalb zum Alltag: 2021–22 hatten 97 % der öffentlichen Schulen kontrollierten Zugang zum Gebäude und 93 % Kameras. Im selben Schuljahr übten 95,5 % Lockdown-Verfahren, 93,0 % Evakuierung und 93,5 % den Schutz im Gebäude (</w:t>
      </w:r>
      <w:r>
        <w:rPr>
          <w:rFonts w:eastAsia="Cambria" w:cs="Cambria"/>
          <w:b w:val="false"/>
          <w:bCs w:val="false"/>
          <w:i/>
          <w:iCs/>
          <w:sz w:val="22"/>
          <w:szCs w:val="22"/>
        </w:rPr>
        <w:t>Shelter in Place</w:t>
      </w:r>
      <w:r>
        <w:rPr>
          <w:rFonts w:eastAsia="Cambria" w:cs="Cambria"/>
          <w:b w:val="false"/>
          <w:bCs w:val="false"/>
          <w:i w:val="false"/>
          <w:iCs w:val="false"/>
          <w:sz w:val="22"/>
          <w:szCs w:val="22"/>
        </w:rPr>
        <w:t xml:space="preserve">; NCES). Bei einem </w:t>
      </w:r>
      <w:r>
        <w:rPr>
          <w:rFonts w:eastAsia="Cambria" w:cs="Cambria"/>
          <w:b w:val="false"/>
          <w:bCs w:val="false"/>
          <w:i/>
          <w:iCs/>
          <w:sz w:val="22"/>
          <w:szCs w:val="22"/>
        </w:rPr>
        <w:t>Lockdown</w:t>
      </w:r>
      <w:r>
        <w:rPr>
          <w:rFonts w:eastAsia="Cambria" w:cs="Cambria"/>
          <w:b w:val="false"/>
          <w:bCs w:val="false"/>
          <w:i w:val="false"/>
          <w:iCs w:val="false"/>
          <w:sz w:val="22"/>
          <w:szCs w:val="22"/>
        </w:rPr>
        <w:t xml:space="preserve"> werden Türen verschlossen, das Licht geht aus, und die Kinder bleiben ruhig außerhalb der Sichtlinie zur Tür. Bei einem </w:t>
      </w:r>
      <w:r>
        <w:rPr>
          <w:rFonts w:eastAsia="Cambria" w:cs="Cambria"/>
          <w:b w:val="false"/>
          <w:bCs w:val="false"/>
          <w:i/>
          <w:iCs/>
          <w:sz w:val="22"/>
          <w:szCs w:val="22"/>
        </w:rPr>
        <w:t>Lockout</w:t>
      </w:r>
      <w:r>
        <w:rPr>
          <w:rFonts w:eastAsia="Cambria" w:cs="Cambria"/>
          <w:b w:val="false"/>
          <w:bCs w:val="false"/>
          <w:i w:val="false"/>
          <w:iCs w:val="false"/>
          <w:sz w:val="22"/>
          <w:szCs w:val="22"/>
        </w:rPr>
        <w:t>, einer Gefahr außerhalb des Gebäudes, läuft der Unterricht drinnen weiter. Häufigkeit und Form regeln Staaten und Distrikte; Grundschulen üben meist altersgerecht.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Eltern hältst du Kontaktdaten und Benachrichtigungen (SMS, E-Mail, App) aktuell, lässt dir das Abholverfahren nach einem Vorfall erklären (</w:t>
      </w:r>
      <w:r>
        <w:rPr>
          <w:rFonts w:eastAsia="Cambria" w:cs="Cambria"/>
          <w:b w:val="false"/>
          <w:bCs w:val="false"/>
          <w:i/>
          <w:iCs/>
          <w:sz w:val="22"/>
          <w:szCs w:val="22"/>
        </w:rPr>
        <w:t>Reunification</w:t>
      </w:r>
      <w:r>
        <w:rPr>
          <w:rFonts w:eastAsia="Cambria" w:cs="Cambria"/>
          <w:b w:val="false"/>
          <w:bCs w:val="false"/>
          <w:i w:val="false"/>
          <w:iCs w:val="false"/>
          <w:sz w:val="22"/>
          <w:szCs w:val="22"/>
        </w:rPr>
        <w:t>) und sprichst mit deinem Kind über die Übungen. Viele Kinder nehmen sie wie eine Feuerübung, manche belastet es; sprich dann mit der Lehrkraft (zum Waffenrecht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Mobbing (</w:t>
      </w:r>
      <w:r>
        <w:rPr>
          <w:rFonts w:eastAsia="Cambria" w:cs="Cambria"/>
          <w:b w:val="false"/>
          <w:bCs w:val="false"/>
          <w:i/>
          <w:iCs/>
          <w:sz w:val="22"/>
          <w:szCs w:val="22"/>
        </w:rPr>
        <w:t>Bullying</w:t>
      </w:r>
      <w:r>
        <w:rPr>
          <w:rFonts w:eastAsia="Cambria" w:cs="Cambria"/>
          <w:b w:val="false"/>
          <w:bCs w:val="false"/>
          <w:i w:val="false"/>
          <w:iCs w:val="false"/>
          <w:sz w:val="22"/>
          <w:szCs w:val="22"/>
        </w:rPr>
        <w:t>)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Sonderförderung: IEP, 504 und Begabtenförderung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Schuljahr 2022–23 erhielten 7,5 Mio. Kinder und Jugendliche zwischen 3 und 21 Jahren Sonderförderung nach dem Bundesgesetz IDEA (</w:t>
      </w:r>
      <w:r>
        <w:rPr>
          <w:rFonts w:eastAsia="Cambria" w:cs="Cambria"/>
          <w:b w:val="false"/>
          <w:bCs w:val="false"/>
          <w:i/>
          <w:iCs/>
          <w:sz w:val="22"/>
          <w:szCs w:val="22"/>
        </w:rPr>
        <w:t>Individuals with Disabilities Education Act</w:t>
      </w:r>
      <w:r>
        <w:rPr>
          <w:rFonts w:eastAsia="Cambria" w:cs="Cambria"/>
          <w:b w:val="false"/>
          <w:bCs w:val="false"/>
          <w:i w:val="false"/>
          <w:iCs w:val="false"/>
          <w:sz w:val="22"/>
          <w:szCs w:val="22"/>
        </w:rPr>
        <w:t>), das sind 15 % aller Schüler an öffentlichen Schulen. Am häufigsten (32 %) sind spezifische Lernstörungen wie Legasthenie. Zwei Instrumente zählen:</w:t>
      </w:r>
    </w:p>
    <w:p>
      <w:pPr>
        <w:pStyle w:val="ListParagraph"/>
        <w:numPr>
          <w:ilvl w:val="0"/>
          <w:numId w:val="1"/>
        </w:numPr>
        <w:spacing w:lineRule="exact" w:line="288" w:before="0" w:after="60"/>
        <w:rPr/>
      </w:pPr>
      <w:r>
        <w:rPr>
          <w:rFonts w:eastAsia="Cambria" w:cs="Cambria"/>
          <w:b/>
          <w:bCs/>
          <w:i w:val="false"/>
          <w:iCs w:val="false"/>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Individualized Education Program</w:t>
      </w:r>
      <w:r>
        <w:rPr>
          <w:rFonts w:eastAsia="Cambria" w:cs="Cambria"/>
          <w:b w:val="false"/>
          <w:bCs w:val="false"/>
          <w:i w:val="false"/>
          <w:iCs w:val="false"/>
          <w:sz w:val="22"/>
          <w:szCs w:val="22"/>
        </w:rPr>
        <w:t>): ein schriftlicher Förderplan mit Zielen, Unterstützung und Anpassungen, von Eltern, Lehrkräften und Fachleuten erstellt und jährlich überprüft; für die Familie kostenlos.</w:t>
      </w:r>
    </w:p>
    <w:p>
      <w:pPr>
        <w:pStyle w:val="ListParagraph"/>
        <w:numPr>
          <w:ilvl w:val="0"/>
          <w:numId w:val="1"/>
        </w:numPr>
        <w:spacing w:lineRule="exact" w:line="288" w:before="0" w:after="60"/>
        <w:rPr/>
      </w:pPr>
      <w:r>
        <w:rPr>
          <w:rFonts w:eastAsia="Cambria" w:cs="Cambria"/>
          <w:b/>
          <w:bCs/>
          <w:i w:val="false"/>
          <w:iCs w:val="false"/>
          <w:sz w:val="22"/>
          <w:szCs w:val="22"/>
        </w:rPr>
        <w:t>504 Plan</w:t>
      </w:r>
      <w:r>
        <w:rPr>
          <w:rFonts w:eastAsia="Cambria" w:cs="Cambria"/>
          <w:b w:val="false"/>
          <w:bCs w:val="false"/>
          <w:i w:val="false"/>
          <w:iCs w:val="false"/>
          <w:sz w:val="22"/>
          <w:szCs w:val="22"/>
        </w:rPr>
        <w:t xml:space="preserve"> (nach Section 504 des Rehabilitation Act): Anpassungen im Regelunterricht, etwa mehr Zeit bei Tests, für Kinder, die keinen Sonderunterricht brauchen, zum Beispiel bei Diabetes, Allergien oder ADHS.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beantragst die Prüfung (</w:t>
      </w:r>
      <w:r>
        <w:rPr>
          <w:rFonts w:eastAsia="Cambria" w:cs="Cambria"/>
          <w:b w:val="false"/>
          <w:bCs w:val="false"/>
          <w:i/>
          <w:iCs/>
          <w:sz w:val="22"/>
          <w:szCs w:val="22"/>
        </w:rPr>
        <w:t>Evaluation</w:t>
      </w:r>
      <w:r>
        <w:rPr>
          <w:rFonts w:eastAsia="Cambria" w:cs="Cambria"/>
          <w:b w:val="false"/>
          <w:bCs w:val="false"/>
          <w:i w:val="false"/>
          <w:iCs w:val="false"/>
          <w:sz w:val="22"/>
          <w:szCs w:val="22"/>
        </w:rPr>
        <w:t>) schriftlich bei der Schulleitung; danach folgt eine Besprechung mit dem Team. Bringe Gutachten und Förderpläne aus Deutschland mit englischer Übersetzung mit: Die Schule testet meist selbst, aber die Unterlagen belegen den Verlauf.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Hochbegabte (</w:t>
      </w:r>
      <w:r>
        <w:rPr>
          <w:rFonts w:eastAsia="Cambria" w:cs="Cambria"/>
          <w:b w:val="false"/>
          <w:bCs w:val="false"/>
          <w:i/>
          <w:iCs/>
          <w:sz w:val="22"/>
          <w:szCs w:val="22"/>
        </w:rPr>
        <w:t>Gifted and Talented</w:t>
      </w:r>
      <w:r>
        <w:rPr>
          <w:rFonts w:eastAsia="Cambria" w:cs="Cambria"/>
          <w:b w:val="false"/>
          <w:bCs w:val="false"/>
          <w:i w:val="false"/>
          <w:iCs w:val="false"/>
          <w:sz w:val="22"/>
          <w:szCs w:val="22"/>
        </w:rPr>
        <w:t>) gibt es keinen bundesweiten Anspruch. Staaten und Distrikte entscheiden über Tests, Aufnahme und Angebot: Zusatzkurse, eigene Klassen, Honors und AP, auch das Überspringen einer Klasse. Sprachförderung für Kinder mit wenig Englisch: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Deutschland: Gymnasium, Gesamtschule, Ganztag, Abitur</w:t>
      </w:r>
    </w:p>
    <w:tbl>
      <w:tblPr>
        <w:tblW w:w="6480" w:type="dxa"/>
        <w:jc w:val="left"/>
        <w:tblInd w:w="0" w:type="dxa"/>
        <w:tblLayout w:type="fixed"/>
        <w:tblCellMar>
          <w:top w:w="50" w:type="dxa"/>
          <w:left w:w="80" w:type="dxa"/>
          <w:bottom w:w="50" w:type="dxa"/>
          <w:right w:w="80" w:type="dxa"/>
        </w:tblCellMar>
      </w:tblPr>
      <w:tblGrid>
        <w:gridCol w:w="2295"/>
        <w:gridCol w:w="2401"/>
        <w:gridCol w:w="17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4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7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Grundschule</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Aufteilung auf Schulformen (Gymnasium, Realschule, Gesamtschule) meist ab Klasse 5</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gemeinsame Middle und High School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Leistungsstufen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Schulform</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Kurse: Honors, AP, IB</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Halbtag oder Ganztag</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ca. 15 Uhr, dann Sport und Clubs</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(beste) bis 6</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 (beste) bis F, GPA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Abitur, zugleich Hochschulreife</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Diploma; Bewerbung mit GPA, Tests, Aufsatz</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w:t>
      </w:r>
      <w:r>
        <w:rPr>
          <w:rFonts w:eastAsia="Cambria" w:cs="Cambria"/>
          <w:b w:val="false"/>
          <w:bCs w:val="false"/>
          <w:i/>
          <w:iCs/>
          <w:sz w:val="22"/>
          <w:szCs w:val="22"/>
        </w:rPr>
        <w:t>Career and Technical Education</w:t>
      </w:r>
      <w:r>
        <w:rPr>
          <w:rFonts w:eastAsia="Cambria" w:cs="Cambria"/>
          <w:b w:val="false"/>
          <w:bCs w:val="false"/>
          <w:i w:val="false"/>
          <w:iCs w:val="false"/>
          <w:sz w:val="22"/>
          <w:szCs w:val="22"/>
        </w:rPr>
        <w:t>); die duale Ausbildung mit Berufsschule ist in den USA die Ausnahme.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Das US-Diploma sei automatisch gleichwertig mit dem Abitur. Tatsächlich bescheinigt das </w:t>
      </w:r>
      <w:r>
        <w:rPr>
          <w:rFonts w:eastAsia="Cambria" w:cs="Cambria"/>
          <w:b w:val="false"/>
          <w:bCs w:val="false"/>
          <w:i/>
          <w:iCs/>
          <w:sz w:val="22"/>
          <w:szCs w:val="22"/>
        </w:rPr>
        <w:t>Diploma</w:t>
      </w:r>
      <w:r>
        <w:rPr>
          <w:rFonts w:eastAsia="Cambria" w:cs="Cambria"/>
          <w:b w:val="false"/>
          <w:bCs w:val="false"/>
          <w:i w:val="false"/>
          <w:iCs w:val="false"/>
          <w:sz w:val="22"/>
          <w:szCs w:val="22"/>
        </w:rP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Was für Rückkehrer gilt, steht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Altersstufen es schwer haben</w:t>
      </w:r>
    </w:p>
    <w:p>
      <w:pPr>
        <w:pStyle w:val="ListParagraph"/>
        <w:numPr>
          <w:ilvl w:val="0"/>
          <w:numId w:val="1"/>
        </w:numPr>
        <w:spacing w:lineRule="exact" w:line="288" w:before="0" w:after="60"/>
        <w:rPr/>
      </w:pPr>
      <w:r>
        <w:rPr>
          <w:rFonts w:eastAsia="Cambria" w:cs="Cambria"/>
          <w:b/>
          <w:bCs/>
          <w:i w:val="false"/>
          <w:iCs w:val="false"/>
          <w:sz w:val="22"/>
          <w:szCs w:val="22"/>
        </w:rPr>
        <w:t>Pre-K bis Grade 3:</w:t>
      </w:r>
      <w:r>
        <w:rPr>
          <w:rFonts w:eastAsia="Cambria" w:cs="Cambria"/>
          <w:b w:val="false"/>
          <w:bCs w:val="false"/>
          <w:i w:val="false"/>
          <w:iCs w:val="false"/>
          <w:sz w:val="22"/>
          <w:szCs w:val="22"/>
        </w:rPr>
        <w:t xml:space="preserve"> Der Anschluss gelingt meist leicht: Kinder lernen Englisch schnell, Noten spielen kaum eine Rolle. Vielerorts hat der Kindergarten aber Lese- und Rechenziele; frage die Schule danach.</w:t>
      </w:r>
    </w:p>
    <w:p>
      <w:pPr>
        <w:pStyle w:val="ListParagraph"/>
        <w:numPr>
          <w:ilvl w:val="0"/>
          <w:numId w:val="1"/>
        </w:numPr>
        <w:spacing w:lineRule="exact" w:line="288" w:before="0" w:after="60"/>
        <w:rPr/>
      </w:pPr>
      <w:r>
        <w:rPr>
          <w:rFonts w:eastAsia="Cambria" w:cs="Cambria"/>
          <w:b/>
          <w:bCs/>
          <w:i w:val="false"/>
          <w:iCs w:val="false"/>
          <w:sz w:val="22"/>
          <w:szCs w:val="22"/>
        </w:rPr>
        <w:t>Grade 4 bis 8:</w:t>
      </w:r>
      <w:r>
        <w:rPr>
          <w:rFonts w:eastAsia="Cambria" w:cs="Cambria"/>
          <w:b w:val="false"/>
          <w:bCs w:val="false"/>
          <w:i w:val="false"/>
          <w:iCs w:val="false"/>
          <w:sz w:val="22"/>
          <w:szCs w:val="22"/>
        </w:rPr>
        <w:t xml:space="preserve"> Die Sprache wird akademisch, und die Middle School bringt Fachlehrkräfte, Klassenwechsel und den Beginn der Teenagerzeit. Plane Geduld und Sprachförderung ein.</w:t>
      </w:r>
    </w:p>
    <w:p>
      <w:pPr>
        <w:pStyle w:val="ListParagraph"/>
        <w:numPr>
          <w:ilvl w:val="0"/>
          <w:numId w:val="1"/>
        </w:numPr>
        <w:spacing w:lineRule="exact" w:line="288" w:before="0" w:after="60"/>
        <w:rPr/>
      </w:pPr>
      <w:r>
        <w:rPr>
          <w:rFonts w:eastAsia="Cambria" w:cs="Cambria"/>
          <w:b/>
          <w:bCs/>
          <w:i w:val="false"/>
          <w:iCs w:val="false"/>
          <w:sz w:val="22"/>
          <w:szCs w:val="22"/>
        </w:rPr>
        <w:t>Grade 9 und 10:</w:t>
      </w:r>
      <w:r>
        <w:rPr>
          <w:rFonts w:eastAsia="Cambria" w:cs="Cambria"/>
          <w:b w:val="false"/>
          <w:bCs w:val="false"/>
          <w:i w:val="false"/>
          <w:iCs w:val="false"/>
          <w:sz w:val="22"/>
          <w:szCs w:val="22"/>
        </w:rPr>
        <w:t xml:space="preserve"> Machbar, aber jetzt fallen die Weichen für Kurswahl, GPA und Clubs. Suche früh das Gespräch mit dem Counselor.</w:t>
      </w:r>
    </w:p>
    <w:p>
      <w:pPr>
        <w:pStyle w:val="ListParagraph"/>
        <w:numPr>
          <w:ilvl w:val="0"/>
          <w:numId w:val="1"/>
        </w:numPr>
        <w:spacing w:lineRule="exact" w:line="288" w:before="0" w:after="60"/>
        <w:rPr/>
      </w:pPr>
      <w:r>
        <w:rPr>
          <w:rFonts w:eastAsia="Cambria" w:cs="Cambria"/>
          <w:b/>
          <w:bCs/>
          <w:i w:val="false"/>
          <w:iCs w:val="false"/>
          <w:sz w:val="22"/>
          <w:szCs w:val="22"/>
        </w:rPr>
        <w:t>Grade 11 und 12:</w:t>
      </w:r>
      <w:r>
        <w:rPr>
          <w:rFonts w:eastAsia="Cambria" w:cs="Cambria"/>
          <w:b w:val="false"/>
          <w:bCs w:val="false"/>
          <w:i w:val="false"/>
          <w:iCs w:val="false"/>
          <w:sz w:val="22"/>
          <w:szCs w:val="22"/>
        </w:rPr>
        <w:t xml:space="preserve"> Der schwierigste Zeitpunkt. Credits fehlen, der GPA aus Grade 11 zählt besonders, SAT oder ACT stehen an, und die College-Fristen liegen im Herbst des letzten Jahres.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Grade 11 oder 12 lohnt es, vor dem Umzug zu rechnen: Fehlen Credits? Reicht die Zeit für Tests und Bewerbungen? Alternativen sind ein Umzug nach dem Schulabschluss oder eine deutsche Auslandsschule. Bei H-4 und L-2 endet der Kinderstatus mit 21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einfachsten ist der Sommer vor Schuljahresbeginn; ein Wechsel im laufenden Jahr ist möglich.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Schulen und Deutsch bewahren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deutschen Unterricht oder einen deutschen Abschluss sucht, hat drei Wege. Erstens die </w:t>
      </w:r>
      <w:r>
        <w:rPr>
          <w:rFonts w:eastAsia="Cambria" w:cs="Cambria"/>
          <w:b w:val="false"/>
          <w:bCs w:val="false"/>
          <w:i/>
          <w:iCs/>
          <w:sz w:val="22"/>
          <w:szCs w:val="22"/>
        </w:rPr>
        <w:t>deutschen Auslandsschulen</w:t>
      </w:r>
      <w:r>
        <w:rPr>
          <w:rFonts w:eastAsia="Cambria" w:cs="Cambria"/>
          <w:b w:val="false"/>
          <w:bCs w:val="false"/>
          <w:i w:val="false"/>
          <w:iCs w:val="false"/>
          <w:sz w:val="22"/>
          <w:szCs w:val="22"/>
        </w:rPr>
        <w:t>, die Schulgeld kosten. Nach verfügbaren Listen bestehen sie unter anderem in Mountain View und San Francisco (</w:t>
      </w:r>
      <w:r>
        <w:rPr>
          <w:rFonts w:eastAsia="Cambria" w:cs="Cambria"/>
          <w:b w:val="false"/>
          <w:bCs w:val="false"/>
          <w:i/>
          <w:iCs/>
          <w:sz w:val="22"/>
          <w:szCs w:val="22"/>
        </w:rPr>
        <w:t>German International School Silicon Valley</w:t>
      </w:r>
      <w:r>
        <w:rPr>
          <w:rFonts w:eastAsia="Cambria" w:cs="Cambria"/>
          <w:b w:val="false"/>
          <w:bCs w:val="false"/>
          <w:i w:val="false"/>
          <w:iCs w:val="false"/>
          <w:sz w:val="22"/>
          <w:szCs w:val="22"/>
        </w:rPr>
        <w:t>, GISSV), Boston, Chicago, Stamford, West Hartford, White Plains (</w:t>
      </w:r>
      <w:r>
        <w:rPr>
          <w:rFonts w:eastAsia="Cambria" w:cs="Cambria"/>
          <w:b w:val="false"/>
          <w:bCs w:val="false"/>
          <w:i/>
          <w:iCs/>
          <w:sz w:val="22"/>
          <w:szCs w:val="22"/>
        </w:rPr>
        <w:t>German International School New York</w:t>
      </w:r>
      <w:r>
        <w:rPr>
          <w:rFonts w:eastAsia="Cambria" w:cs="Cambria"/>
          <w:b w:val="false"/>
          <w:bCs w:val="false"/>
          <w:i w:val="false"/>
          <w:iCs w:val="false"/>
          <w:sz w:val="22"/>
          <w:szCs w:val="22"/>
        </w:rPr>
        <w:t>, GISNY), Brooklyn, Portland, Washington, D.C. und Phoenix; die Stufen unterscheiden sich, aktueller Stand bei der Zentralstelle für das Auslandsschulwesen (auslandsschulwesen.de).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Zweitens die öffentliche </w:t>
      </w:r>
      <w:r>
        <w:rPr>
          <w:rFonts w:eastAsia="Cambria" w:cs="Cambria"/>
          <w:b w:val="false"/>
          <w:bCs w:val="false"/>
          <w:i/>
          <w:iCs/>
          <w:sz w:val="22"/>
          <w:szCs w:val="22"/>
        </w:rPr>
        <w:t>Immersionsschule</w:t>
      </w:r>
      <w:r>
        <w:rPr>
          <w:rFonts w:eastAsia="Cambria" w:cs="Cambria"/>
          <w:b w:val="false"/>
          <w:bCs w:val="false"/>
          <w:i w:val="false"/>
          <w:iCs w:val="false"/>
          <w:sz w:val="22"/>
          <w:szCs w:val="22"/>
        </w:rP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rFonts w:eastAsia="Cambria" w:cs="Cambria"/>
          <w:b w:val="false"/>
          <w:bCs w:val="false"/>
          <w:i/>
          <w:iCs/>
          <w:sz w:val="22"/>
          <w:szCs w:val="22"/>
        </w:rPr>
        <w:t>Samstagsschule</w:t>
      </w:r>
      <w:r>
        <w:rPr>
          <w:rFonts w:eastAsia="Cambria" w:cs="Cambria"/>
          <w:b w:val="false"/>
          <w:bCs w:val="false"/>
          <w:i w:val="false"/>
          <w:iCs w:val="false"/>
          <w:sz w:val="22"/>
          <w:szCs w:val="22"/>
        </w:rPr>
        <w:t xml:space="preserve"> neben der öffentlichen Schule, etwa an der GISSV, in Boston und in Tempe bei Phoenix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Anmeldung ohne SSN und Statusnachweis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Qualität und Ausstattung hängen an Wohnort, Distrikt und Grundsteuer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Kurswahl an der High School (Honors, AP, Kunst, Musik, Technik)</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Schulschießereien und Lockdown-Übungen gehören zum Alltag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Musik und Clubs direkt an der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Betreuungslücke, Camps kosten extra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läuft bis in den Nachmittag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für Sport, Materialien und Ausflüge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Auslese statt früher Trennung nach der Grundschule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Pflichttests und GPA ab Grade 9 erzeugen Leistungsdruck</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Schulen sind an Neuzugewanderte gewöhnt (Kapitel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in Grade 11 oder 12 schwierig; US-Diploma ist nicht das Abitur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Wohnort und Distrikt, dann Stichtag und Einstufung, sammle die Unterlagen und plane die Anmeldung mit dem Mietvertrag ein; bei Teenagern sprich früh mit dem Counselor über Credits und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der Adresse auf der Distrikt-Website prüfen und die Zuordnung schriftlich bestätigen lassen, bevor du unterschreibst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Distrikte mit Rating, Wachstumswert und Schulbericht vergleichen und mindestens eine Schule besuchen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Distrikt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letzte Zeugnisse (mit Übersetzung) und Impfpass ins Handgepäck 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Impfstatus vor dem Abflug mit dem Kinderarzt und der Liste des Zielstaats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Wohnsitznachweis vorbereiten: Mietvertrag und eine Rechnung mit der neuen Adresse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Charter- und Magnet-Schulen die Bewerbungsfrist (oft Dezember bis Februar)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Gutachten und Förderpläne aus Deutschland übersetzen lassen, falls dein Kind Förderbedarf hat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Sommerbetreuung und After Care früh anfragen; bei Teenagern Credits mit dem Counselor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NCES, Bildungsstatistikbehörde — Schüler, Schulfinanzen, Charter-Schulen, Sicherheit (</w:t>
      </w:r>
      <w:hyperlink r:id="rId343">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NCES Digest of Education Statistics — Sicherheitsübungen, Privatschulen (</w:t>
      </w:r>
      <w:hyperlink r:id="rId344">
        <w:r>
          <w:rPr>
            <w:rStyle w:val="ListLabel113"/>
            <w:rFonts w:eastAsia="Cambria" w:cs="Cambria"/>
            <w:b w:val="false"/>
            <w:bCs w:val="false"/>
            <w:i w:val="false"/>
            <w:iCs w:val="false"/>
            <w:color w:val="0563C1"/>
            <w:sz w:val="22"/>
            <w:szCs w:val="22"/>
            <w:u w:val="single"/>
          </w:rPr>
          <w:t>nces.ed.gov/programs/digest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Bildungsministerium der USA — Schulrecht, IDEA, Beschwerden beim Office for Civil Rights (</w:t>
      </w:r>
      <w:hyperlink r:id="rId345">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GreatSchools — Methodik der Schulbewertungen (</w:t>
      </w:r>
      <w:hyperlink r:id="rId346">
        <w:r>
          <w:rPr>
            <w:rStyle w:val="ListLabel113"/>
            <w:rFonts w:eastAsia="Cambria" w:cs="Cambria"/>
            <w:b w:val="false"/>
            <w:bCs w:val="false"/>
            <w:i w:val="false"/>
            <w:iCs w:val="false"/>
            <w:color w:val="0563C1"/>
            <w:sz w:val="22"/>
            <w:szCs w:val="22"/>
            <w:u w:val="single"/>
          </w:rPr>
          <w:t>greatschools.org/gk/ratings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 deines Staates — Schulberichte, z. B. für Michigan (</w:t>
      </w:r>
      <w:hyperlink r:id="rId347">
        <w:r>
          <w:rPr>
            <w:rStyle w:val="ListLabel113"/>
            <w:rFonts w:eastAsia="Cambria" w:cs="Cambria"/>
            <w:b w:val="false"/>
            <w:bCs w:val="false"/>
            <w:i w:val="false"/>
            <w:iCs w:val="false"/>
            <w:color w:val="0563C1"/>
            <w:sz w:val="22"/>
            <w:szCs w:val="22"/>
            <w:u w:val="single"/>
          </w:rPr>
          <w:t>mischooldata.org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348">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SAT, AP, Studienplanung (</w:t>
      </w:r>
      <w:hyperlink r:id="rId349">
        <w:r>
          <w:rPr>
            <w:rStyle w:val="ListLabel113"/>
            <w:rFonts w:eastAsia="Cambria" w:cs="Cambria"/>
            <w:b w:val="false"/>
            <w:bCs w:val="false"/>
            <w:i w:val="false"/>
            <w:iCs w:val="false"/>
            <w:color w:val="0563C1"/>
            <w:sz w:val="22"/>
            <w:szCs w:val="22"/>
            <w:u w:val="single"/>
          </w:rPr>
          <w:t>collegeboard.org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September 2026. Diese Angaben ändern sich schnell: Schulgelder der deutschen Auslandsschulen (Zahlen für 2026–27), Testpflichten der Hochschulen, Gesetzentwürfe zu </w:t>
            </w:r>
            <w:r>
              <w:rPr>
                <w:rFonts w:eastAsia="Cambria" w:cs="Cambria"/>
                <w:b w:val="false"/>
                <w:bCs w:val="false"/>
                <w:i/>
                <w:iCs/>
                <w:sz w:val="20"/>
                <w:szCs w:val="20"/>
              </w:rPr>
              <w:t>Plyler v. Doe</w:t>
            </w:r>
            <w:r>
              <w:rPr>
                <w:rFonts w:eastAsia="Cambria" w:cs="Cambria"/>
                <w:b w:val="false"/>
                <w:bCs w:val="false"/>
                <w:i w:val="false"/>
                <w:iCs w:val="false"/>
                <w:sz w:val="20"/>
                <w:szCs w:val="20"/>
              </w:rPr>
              <w:t>, Schulwahlprogramme und Sicherheitsstatistiken. Stichtage, Anmeldefristen und Einzugsgebiete legt jeder Distrikt selbst fest; prüfe vor jeder Entscheidung seine Website.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0" w:name="__RefHeading___Toc56516_3457424410"/>
      <w:bookmarkStart w:id="91" w:name="k37"/>
      <w:bookmarkEnd w:id="90"/>
      <w:r>
        <w:rPr>
          <w:rFonts w:eastAsia="Amazon Ember" w:cs="Amazon Ember" w:ascii="Amazon Ember" w:hAnsi="Amazon Ember"/>
          <w:b/>
          <w:bCs/>
          <w:color w:val="0000FF"/>
          <w:sz w:val="36"/>
          <w:szCs w:val="36"/>
        </w:rPr>
        <w:t>Kapitel 37: ESL und Sprache: Englisch lernen und Deutsch bewahren</w:t>
      </w:r>
      <w:bookmarkEnd w:id="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müssen Kindern mit geringen Englischkenntnissen helfen, unabhängig vom Aufenthaltsstatus; welches Programm, entscheidet der Distrikt.</w:t>
            </w:r>
          </w:p>
          <w:p>
            <w:pPr>
              <w:pStyle w:val="ListParagraph"/>
              <w:numPr>
                <w:ilvl w:val="0"/>
                <w:numId w:val="1"/>
              </w:numPr>
              <w:spacing w:lineRule="exact" w:line="264" w:before="0" w:after="50"/>
              <w:rPr/>
            </w:pPr>
            <w:r>
              <w:rPr>
                <w:rFonts w:eastAsia="Cambria" w:cs="Cambria"/>
                <w:b w:val="false"/>
                <w:bCs w:val="false"/>
                <w:i w:val="false"/>
                <w:iCs w:val="false"/>
                <w:sz w:val="20"/>
                <w:szCs w:val="20"/>
              </w:rPr>
              <w:t>Der Ablauf ist überall ähnlich: Fragebogen, Einstufungstest, Elternbrief, Förderung, Jahrestest, Umstufung.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Umgangssprache sitzt nach ein bis zwei Jahren, Schul- und Fachsprache braucht fünf bis sieben.</w:t>
            </w:r>
          </w:p>
          <w:p>
            <w:pPr>
              <w:pStyle w:val="ListParagraph"/>
              <w:numPr>
                <w:ilvl w:val="0"/>
                <w:numId w:val="1"/>
              </w:numPr>
              <w:spacing w:lineRule="exact" w:line="264" w:before="0" w:after="50"/>
              <w:rPr/>
            </w:pPr>
            <w:r>
              <w:rPr>
                <w:rFonts w:eastAsia="Cambria" w:cs="Cambria"/>
                <w:b w:val="false"/>
                <w:bCs w:val="false"/>
                <w:i w:val="false"/>
                <w:iCs w:val="false"/>
                <w:sz w:val="20"/>
                <w:szCs w:val="20"/>
              </w:rPr>
              <w:t>Du darfst das Programm ablehnen; meist ist es klüger, es zu nutzen und nach den Zielen zu 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 bleibt nur erhalten, wenn ihr es bewusst pflegt: Familiensprache, Lesen, Samstagsschule oder Immersionsschule.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Erwachsene finden günstige Kurse in Bibliotheken und Community Colleges; Englischtests brauchst du nur für ein konkretes Ziel.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Rechtsanspruch: Was die Schule leisten muss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Englischkenntnisse heißen in den USA </w:t>
      </w:r>
      <w:r>
        <w:rPr>
          <w:rFonts w:eastAsia="Cambria" w:cs="Cambria"/>
          <w:b w:val="false"/>
          <w:bCs w:val="false"/>
          <w:i/>
          <w:iCs/>
          <w:sz w:val="22"/>
          <w:szCs w:val="22"/>
        </w:rPr>
        <w:t>English Learners</w:t>
      </w:r>
      <w:r>
        <w:rPr>
          <w:rFonts w:eastAsia="Cambria" w:cs="Cambria"/>
          <w:b w:val="false"/>
          <w:bCs w:val="false"/>
          <w:i w:val="false"/>
          <w:iCs w:val="false"/>
          <w:sz w:val="22"/>
          <w:szCs w:val="22"/>
        </w:rPr>
        <w:t xml:space="preserve"> (ELs), auch </w:t>
      </w:r>
      <w:r>
        <w:rPr>
          <w:rFonts w:eastAsia="Cambria" w:cs="Cambria"/>
          <w:b w:val="false"/>
          <w:bCs w:val="false"/>
          <w:i/>
          <w:iCs/>
          <w:sz w:val="22"/>
          <w:szCs w:val="22"/>
        </w:rPr>
        <w:t>ELL</w:t>
      </w:r>
      <w:r>
        <w:rPr>
          <w:rFonts w:eastAsia="Cambria" w:cs="Cambria"/>
          <w:b w:val="false"/>
          <w:bCs w:val="false"/>
          <w:i w:val="false"/>
          <w:iCs w:val="false"/>
          <w:sz w:val="22"/>
          <w:szCs w:val="22"/>
        </w:rPr>
        <w:t xml:space="preserve">,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oder </w:t>
      </w:r>
      <w:r>
        <w:rPr>
          <w:rFonts w:eastAsia="Cambria" w:cs="Cambria"/>
          <w:b w:val="false"/>
          <w:bCs w:val="false"/>
          <w:i/>
          <w:iCs/>
          <w:sz w:val="22"/>
          <w:szCs w:val="22"/>
        </w:rPr>
        <w:t>ESOL</w:t>
      </w:r>
      <w:r>
        <w:rPr>
          <w:rFonts w:eastAsia="Cambria" w:cs="Cambria"/>
          <w:b w:val="false"/>
          <w:bCs w:val="false"/>
          <w:i w:val="false"/>
          <w:iCs w:val="false"/>
          <w:sz w:val="22"/>
          <w:szCs w:val="22"/>
        </w:rPr>
        <w:t>. Öffentliche Schulen, Charter-Schulen eingeschlossen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müssen ihnen helfen, dem Unterricht zu folgen und Englisch zu lernen, unabhängig vom Aufenthaltsstatus. Vier Rechtsgrundlagen tragen den Anspruch:</w:t>
      </w:r>
    </w:p>
    <w:p>
      <w:pPr>
        <w:pStyle w:val="ListParagraph"/>
        <w:numPr>
          <w:ilvl w:val="0"/>
          <w:numId w:val="1"/>
        </w:numPr>
        <w:spacing w:lineRule="exact" w:line="288" w:before="0" w:after="60"/>
        <w:rPr/>
      </w:pPr>
      <w:r>
        <w:rPr>
          <w:rFonts w:eastAsia="Cambria" w:cs="Cambria"/>
          <w:b w:val="false"/>
          <w:bCs w:val="false"/>
          <w:i/>
          <w:iCs/>
          <w:sz w:val="22"/>
          <w:szCs w:val="22"/>
        </w:rPr>
        <w:t>Lau v. Nichols</w:t>
      </w:r>
      <w:r>
        <w:rPr>
          <w:rFonts w:eastAsia="Cambria" w:cs="Cambria"/>
          <w:b w:val="false"/>
          <w:bCs w:val="false"/>
          <w:i w:val="false"/>
          <w:iCs w:val="false"/>
          <w:sz w:val="22"/>
          <w:szCs w:val="22"/>
        </w:rPr>
        <w:t xml:space="preserve"> (Oberster Gerichtshof, 1974): Gleiche Behandlung ohne Sprachhilfe verletzt das Diskriminierungsverbot des Bürgerrechtsgesetzes (Title VI).</w:t>
      </w:r>
    </w:p>
    <w:p>
      <w:pPr>
        <w:pStyle w:val="ListParagraph"/>
        <w:numPr>
          <w:ilvl w:val="0"/>
          <w:numId w:val="1"/>
        </w:numPr>
        <w:spacing w:lineRule="exact" w:line="288" w:before="0" w:after="60"/>
        <w:rPr/>
      </w:pPr>
      <w:r>
        <w:rPr>
          <w:rFonts w:eastAsia="Cambria" w:cs="Cambria"/>
          <w:b w:val="false"/>
          <w:bCs w:val="false"/>
          <w:i/>
          <w:iCs/>
          <w:sz w:val="22"/>
          <w:szCs w:val="22"/>
        </w:rPr>
        <w:t>Equal Educational Opportunities Act</w:t>
      </w:r>
      <w:r>
        <w:rPr>
          <w:rFonts w:eastAsia="Cambria" w:cs="Cambria"/>
          <w:b w:val="false"/>
          <w:bCs w:val="false"/>
          <w:i w:val="false"/>
          <w:iCs w:val="false"/>
          <w:sz w:val="22"/>
          <w:szCs w:val="22"/>
        </w:rPr>
        <w:t xml:space="preserve"> (EEOA, 1974), § 1703(f): Schulen müssen „geeignete Maßnahmen“ gegen Sprachbarrieren ergreifen.</w:t>
      </w:r>
    </w:p>
    <w:p>
      <w:pPr>
        <w:pStyle w:val="ListParagraph"/>
        <w:numPr>
          <w:ilvl w:val="0"/>
          <w:numId w:val="1"/>
        </w:numPr>
        <w:spacing w:lineRule="exact" w:line="288" w:before="0" w:after="60"/>
        <w:rPr/>
      </w:pPr>
      <w:r>
        <w:rPr>
          <w:rFonts w:eastAsia="Cambria" w:cs="Cambria"/>
          <w:b w:val="false"/>
          <w:bCs w:val="false"/>
          <w:i/>
          <w:iCs/>
          <w:sz w:val="22"/>
          <w:szCs w:val="22"/>
        </w:rPr>
        <w:t>Castañeda v. Pickard</w:t>
      </w:r>
      <w:r>
        <w:rPr>
          <w:rFonts w:eastAsia="Cambria" w:cs="Cambria"/>
          <w:b w:val="false"/>
          <w:bCs w:val="false"/>
          <w:i w:val="false"/>
          <w:iCs w:val="false"/>
          <w:sz w:val="22"/>
          <w:szCs w:val="22"/>
        </w:rPr>
        <w:t xml:space="preserve"> (Berufungsgericht des 5. Bezirks, 1981): Ein Programm muss auf einer fundierten Theorie beruhen, wirksam umgesetzt und überprüft werden.</w:t>
      </w:r>
    </w:p>
    <w:p>
      <w:pPr>
        <w:pStyle w:val="ListParagraph"/>
        <w:numPr>
          <w:ilvl w:val="0"/>
          <w:numId w:val="1"/>
        </w:numPr>
        <w:spacing w:lineRule="exact" w:line="288" w:before="0" w:after="60"/>
        <w:rPr/>
      </w:pPr>
      <w:r>
        <w:rPr>
          <w:rFonts w:eastAsia="Cambria" w:cs="Cambria"/>
          <w:b w:val="false"/>
          <w:bCs w:val="false"/>
          <w:i/>
          <w:iCs/>
          <w:sz w:val="22"/>
          <w:szCs w:val="22"/>
        </w:rPr>
        <w:t>Every Student Succeeds Act</w:t>
      </w:r>
      <w:r>
        <w:rPr>
          <w:rFonts w:eastAsia="Cambria" w:cs="Cambria"/>
          <w:b w:val="false"/>
          <w:bCs w:val="false"/>
          <w:i w:val="false"/>
          <w:iCs w:val="false"/>
          <w:sz w:val="22"/>
          <w:szCs w:val="22"/>
        </w:rPr>
        <w:t xml:space="preserve"> (ESSA), Title III: Bundeszuschüsse für Sprachförderung, verbunden mit Pflichten zu Einstufung, Elternbenachrichtigung und Jahrestests.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schreibt aber kein einheitliches Programm vor: Extra-Unterricht, Klassenzimmerhilfe oder zweisprachiger Unterricht – das entscheiden Staaten und Distrikte, entsprechend schwankt die Qualität. Private Schulen unterliegen diesen Pflichten meist nicht; Sprachförderung ist dort Verhandlungssache und oft kostenpflichtig.</w:t>
      </w:r>
    </w:p>
    <w:p>
      <w:pPr>
        <w:pStyle w:val="Normal"/>
        <w:keepNext w:val="false"/>
        <w:keepLines w:val="false"/>
        <w:spacing w:lineRule="exact" w:line="288" w:before="0" w:after="140"/>
        <w:jc w:val="left"/>
        <w:rPr/>
      </w:pPr>
      <w:r>
        <w:rPr>
          <w:rFonts w:eastAsia="Cambria" w:cs="Cambria"/>
          <w:b/>
          <w:bCs/>
          <w:i w:val="false"/>
          <w:iCs w:val="false"/>
          <w:sz w:val="22"/>
          <w:szCs w:val="22"/>
        </w:rPr>
        <w:t>Rechtslage 2025/26.</w:t>
      </w:r>
      <w:r>
        <w:rPr>
          <w:rFonts w:eastAsia="Cambria" w:cs="Cambria"/>
          <w:b w:val="false"/>
          <w:bCs w:val="false"/>
          <w:i w:val="false"/>
          <w:iCs w:val="false"/>
          <w:sz w:val="22"/>
          <w:szCs w:val="22"/>
        </w:rPr>
        <w:t xml:space="preserve"> Im August 2025 zogen Bildungs- und Justizministerium ihr Leitschreiben von 2015 zurück, das Schulen die EL-Pflichten erläutert hatte – die Gesetze und Urteile gelten fort. Ein Präsidialerlass (Executive Order 14224) vom 1. März 2025 erklärte Englisch zur Amtssprache des Bundes und hob die ältere Anordnung zum Sprachzugang bei Bundesbehörden auf. Bundesbehörden müssen fremdsprachige Angebote aber nicht einstellen.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Unsicher ist vor allem das Geld: Title III ist für 2026 mit 890 Millionen $ ausgestattet, der Regierungsentwurf für 2027 sieht keine Mittel vor, der Kongress entscheidet. Das zuständige Büro (</w:t>
      </w:r>
      <w:r>
        <w:rPr>
          <w:rFonts w:eastAsia="Cambria" w:cs="Cambria"/>
          <w:b w:val="false"/>
          <w:bCs w:val="false"/>
          <w:i/>
          <w:iCs/>
          <w:sz w:val="22"/>
          <w:szCs w:val="22"/>
        </w:rPr>
        <w:t>Office of English Language Acquisition</w:t>
      </w:r>
      <w:r>
        <w:rPr>
          <w:rFonts w:eastAsia="Cambria" w:cs="Cambria"/>
          <w:b w:val="false"/>
          <w:bCs w:val="false"/>
          <w:i w:val="false"/>
          <w:iCs w:val="false"/>
          <w:sz w:val="22"/>
          <w:szCs w:val="22"/>
        </w:rPr>
        <w:t>) wurde im Frühjahr 2026 aufgelöst.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Anspruch deines Kindes beruht auf Gesetzen und Urteilen, nicht auf einem Ministeriumsbrief: Richtlinien und Bundesmittel wechseln, die Pflicht der Schule bleibt. Wie gut sie erfüllt wird, hängt vom Distrikt ab – frage deshalb konkret nach dem Programm.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Ablauf: vom Fragebogen zur Umstufung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ist in fast allen Staaten gleich; Namen, Tests und Schwellenwerte unterscheiden sich.</w:t>
      </w:r>
    </w:p>
    <w:p>
      <w:pPr>
        <w:pStyle w:val="ListParagraph"/>
        <w:numPr>
          <w:ilvl w:val="0"/>
          <w:numId w:val="208"/>
        </w:numPr>
        <w:spacing w:lineRule="exact" w:line="288" w:before="0" w:after="60"/>
        <w:rPr/>
      </w:pPr>
      <w:r>
        <w:rPr>
          <w:rFonts w:eastAsia="Cambria" w:cs="Cambria"/>
          <w:b/>
          <w:bCs/>
          <w:i w:val="false"/>
          <w:iCs w:val="false"/>
          <w:sz w:val="22"/>
          <w:szCs w:val="22"/>
        </w:rPr>
        <w:t>Fragebogen.</w:t>
      </w:r>
      <w:r>
        <w:rPr>
          <w:rFonts w:eastAsia="Cambria" w:cs="Cambria"/>
          <w:b w:val="false"/>
          <w:bCs w:val="false"/>
          <w:i w:val="false"/>
          <w:iCs w:val="false"/>
          <w:sz w:val="22"/>
          <w:szCs w:val="22"/>
        </w:rPr>
        <w:t xml:space="preserve">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füllst du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aus: Welche Sprache hat das Kind zuerst gelernt, welche spricht es zu Hause, welche sprichst du mit ihm? Steht dort „German“, wird das Kind auf Englisch getestet. Das ist Pflicht und kein Urteil über das Kind.</w:t>
      </w:r>
    </w:p>
    <w:p>
      <w:pPr>
        <w:pStyle w:val="ListParagraph"/>
        <w:numPr>
          <w:ilvl w:val="0"/>
          <w:numId w:val="209"/>
        </w:numPr>
        <w:spacing w:lineRule="exact" w:line="288" w:before="0" w:after="60"/>
        <w:rPr/>
      </w:pPr>
      <w:r>
        <w:rPr>
          <w:rFonts w:eastAsia="Cambria" w:cs="Cambria"/>
          <w:b/>
          <w:bCs/>
          <w:i w:val="false"/>
          <w:iCs w:val="false"/>
          <w:sz w:val="22"/>
          <w:szCs w:val="22"/>
        </w:rPr>
        <w:t>Einstufungstest.</w:t>
      </w:r>
      <w:r>
        <w:rPr>
          <w:rFonts w:eastAsia="Cambria" w:cs="Cambria"/>
          <w:b w:val="false"/>
          <w:bCs w:val="false"/>
          <w:i w:val="false"/>
          <w:iCs w:val="false"/>
          <w:sz w:val="22"/>
          <w:szCs w:val="22"/>
        </w:rPr>
        <w:t xml:space="preserve"> Der </w:t>
      </w:r>
      <w:r>
        <w:rPr>
          <w:rFonts w:eastAsia="Cambria" w:cs="Cambria"/>
          <w:b w:val="false"/>
          <w:bCs w:val="false"/>
          <w:i/>
          <w:iCs/>
          <w:sz w:val="22"/>
          <w:szCs w:val="22"/>
        </w:rPr>
        <w:t>Screener</w:t>
      </w:r>
      <w:r>
        <w:rPr>
          <w:rFonts w:eastAsia="Cambria" w:cs="Cambria"/>
          <w:b w:val="false"/>
          <w:bCs w:val="false"/>
          <w:i w:val="false"/>
          <w:iCs w:val="false"/>
          <w:sz w:val="22"/>
          <w:szCs w:val="22"/>
        </w:rPr>
        <w:t xml:space="preserve">, meist in den ersten Schulwochen, ist häufig der </w:t>
      </w:r>
      <w:r>
        <w:rPr>
          <w:rFonts w:eastAsia="Cambria" w:cs="Cambria"/>
          <w:b w:val="false"/>
          <w:bCs w:val="false"/>
          <w:i/>
          <w:iCs/>
          <w:sz w:val="22"/>
          <w:szCs w:val="22"/>
        </w:rPr>
        <w:t>WIDA Screener</w:t>
      </w:r>
      <w:r>
        <w:rPr>
          <w:rFonts w:eastAsia="Cambria" w:cs="Cambria"/>
          <w:b w:val="false"/>
          <w:bCs w:val="false"/>
          <w:i w:val="false"/>
          <w:iCs w:val="false"/>
          <w:sz w:val="22"/>
          <w:szCs w:val="22"/>
        </w:rPr>
        <w:t xml:space="preserve"> (Hören, Sprechen, Lesen, Schreiben; Ergebnis auf Stufen von 1 bis 6); einige Staaten nutzen eigene Verfahren. Ab welcher Stufe ein Kind als EL gilt, legt der Staat fest.</w:t>
      </w:r>
    </w:p>
    <w:p>
      <w:pPr>
        <w:pStyle w:val="ListParagraph"/>
        <w:numPr>
          <w:ilvl w:val="0"/>
          <w:numId w:val="210"/>
        </w:numPr>
        <w:spacing w:lineRule="exact" w:line="288" w:before="0" w:after="60"/>
        <w:rPr/>
      </w:pPr>
      <w:r>
        <w:rPr>
          <w:rFonts w:eastAsia="Cambria" w:cs="Cambria"/>
          <w:b/>
          <w:bCs/>
          <w:i w:val="false"/>
          <w:iCs w:val="false"/>
          <w:sz w:val="22"/>
          <w:szCs w:val="22"/>
        </w:rPr>
        <w:t>Elternbrief.</w:t>
      </w:r>
      <w:r>
        <w:rPr>
          <w:rFonts w:eastAsia="Cambria" w:cs="Cambria"/>
          <w:b w:val="false"/>
          <w:bCs w:val="false"/>
          <w:i w:val="false"/>
          <w:iCs w:val="false"/>
          <w:sz w:val="22"/>
          <w:szCs w:val="22"/>
        </w:rPr>
        <w:t xml:space="preserve"> Die Schule muss dich binnen 30 Tagen nach Schuljahresbeginn schriftlich informieren, bei späterem Eintritt binnen zwei Wochen, in verständlicher Form und mit Angaben zu Einstufung und Programm.</w:t>
      </w:r>
    </w:p>
    <w:p>
      <w:pPr>
        <w:pStyle w:val="ListParagraph"/>
        <w:numPr>
          <w:ilvl w:val="0"/>
          <w:numId w:val="211"/>
        </w:numPr>
        <w:spacing w:lineRule="exact" w:line="288" w:before="0" w:after="60"/>
        <w:rPr/>
      </w:pPr>
      <w:r>
        <w:rPr>
          <w:rFonts w:eastAsia="Cambria" w:cs="Cambria"/>
          <w:b/>
          <w:bCs/>
          <w:i w:val="false"/>
          <w:iCs w:val="false"/>
          <w:sz w:val="22"/>
          <w:szCs w:val="22"/>
        </w:rPr>
        <w:t>Förderung.</w:t>
      </w:r>
      <w:r>
        <w:rPr>
          <w:rFonts w:eastAsia="Cambria" w:cs="Cambria"/>
          <w:b w:val="false"/>
          <w:bCs w:val="false"/>
          <w:i w:val="false"/>
          <w:iCs w:val="false"/>
          <w:sz w:val="22"/>
          <w:szCs w:val="22"/>
        </w:rPr>
        <w:t xml:space="preserve"> Das Kind erhält Sprachunterricht nach einem der Modelle unten und Hilfen im Regelunterricht.</w:t>
      </w:r>
    </w:p>
    <w:p>
      <w:pPr>
        <w:pStyle w:val="ListParagraph"/>
        <w:numPr>
          <w:ilvl w:val="0"/>
          <w:numId w:val="212"/>
        </w:numPr>
        <w:spacing w:lineRule="exact" w:line="288" w:before="0" w:after="60"/>
        <w:rPr/>
      </w:pPr>
      <w:r>
        <w:rPr>
          <w:rFonts w:eastAsia="Cambria" w:cs="Cambria"/>
          <w:b/>
          <w:bCs/>
          <w:i w:val="false"/>
          <w:iCs w:val="false"/>
          <w:sz w:val="22"/>
          <w:szCs w:val="22"/>
        </w:rPr>
        <w:t>Jahrestest.</w:t>
      </w:r>
      <w:r>
        <w:rPr>
          <w:rFonts w:eastAsia="Cambria" w:cs="Cambria"/>
          <w:b w:val="false"/>
          <w:bCs w:val="false"/>
          <w:i w:val="false"/>
          <w:iCs w:val="false"/>
          <w:sz w:val="22"/>
          <w:szCs w:val="22"/>
        </w:rPr>
        <w:t xml:space="preserve"> Einmal im Jahr misst ein Test alle vier Fertigkeiten, meist </w:t>
      </w:r>
      <w:r>
        <w:rPr>
          <w:rFonts w:eastAsia="Cambria" w:cs="Cambria"/>
          <w:b w:val="false"/>
          <w:bCs w:val="false"/>
          <w:i/>
          <w:iCs/>
          <w:sz w:val="22"/>
          <w:szCs w:val="22"/>
        </w:rPr>
        <w:t>ACCESS for ELLs</w:t>
      </w:r>
      <w:r>
        <w:rPr>
          <w:rFonts w:eastAsia="Cambria" w:cs="Cambria"/>
          <w:b w:val="false"/>
          <w:bCs w:val="false"/>
          <w:i w:val="false"/>
          <w:iCs w:val="false"/>
          <w:sz w:val="22"/>
          <w:szCs w:val="22"/>
        </w:rPr>
        <w:t xml:space="preserve"> (WIDA) oder </w:t>
      </w:r>
      <w:r>
        <w:rPr>
          <w:rFonts w:eastAsia="Cambria" w:cs="Cambria"/>
          <w:b w:val="false"/>
          <w:bCs w:val="false"/>
          <w:i/>
          <w:iCs/>
          <w:sz w:val="22"/>
          <w:szCs w:val="22"/>
        </w:rPr>
        <w:t>ELPA21</w:t>
      </w:r>
      <w:r>
        <w:rPr>
          <w:rFonts w:eastAsia="Cambria" w:cs="Cambria"/>
          <w:b w:val="false"/>
          <w:bCs w:val="false"/>
          <w:i w:val="false"/>
          <w:iCs w:val="false"/>
          <w:sz w:val="22"/>
          <w:szCs w:val="22"/>
        </w:rPr>
        <w:t>.</w:t>
      </w:r>
    </w:p>
    <w:p>
      <w:pPr>
        <w:pStyle w:val="ListParagraph"/>
        <w:numPr>
          <w:ilvl w:val="0"/>
          <w:numId w:val="213"/>
        </w:numPr>
        <w:spacing w:lineRule="exact" w:line="288" w:before="0" w:after="60"/>
        <w:rPr/>
      </w:pPr>
      <w:r>
        <w:rPr>
          <w:rFonts w:eastAsia="Cambria" w:cs="Cambria"/>
          <w:b/>
          <w:bCs/>
          <w:i w:val="false"/>
          <w:iCs w:val="false"/>
          <w:sz w:val="22"/>
          <w:szCs w:val="22"/>
        </w:rPr>
        <w:t>Umstufung.</w:t>
      </w:r>
      <w:r>
        <w:rPr>
          <w:rFonts w:eastAsia="Cambria" w:cs="Cambria"/>
          <w:b w:val="false"/>
          <w:bCs w:val="false"/>
          <w:i w:val="false"/>
          <w:iCs w:val="false"/>
          <w:sz w:val="22"/>
          <w:szCs w:val="22"/>
        </w:rPr>
        <w:t xml:space="preserve"> Bei der </w:t>
      </w:r>
      <w:r>
        <w:rPr>
          <w:rFonts w:eastAsia="Cambria" w:cs="Cambria"/>
          <w:b w:val="false"/>
          <w:bCs w:val="false"/>
          <w:i/>
          <w:iCs/>
          <w:sz w:val="22"/>
          <w:szCs w:val="22"/>
        </w:rPr>
        <w:t>Reclassification</w:t>
      </w:r>
      <w:r>
        <w:rPr>
          <w:rFonts w:eastAsia="Cambria" w:cs="Cambria"/>
          <w:b w:val="false"/>
          <w:bCs w:val="false"/>
          <w:i w:val="false"/>
          <w:iCs w:val="false"/>
          <w:sz w:val="22"/>
          <w:szCs w:val="22"/>
        </w:rPr>
        <w:t xml:space="preserve"> endet der EL-Status, sobald das Kind den Zielwert seines Staates erreicht. In WIDA-Staaten liegt er oft bei einem Gesamtwert um 4,5 bis 5,0, meist ergänzt um Noten oder ein Lehrerurteil. Danach beobachtet die Schule den Verlauf mehrere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Beantworte den Home Language Survey wahrheitsgemäß. Die Angabe „English“, um dem Etikett zu entgehen, verhindert die Einstufung, nicht den Förderbedarf: Das Kind müsste dann ohne Hilfe im Unterricht zurechtkommen.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Programmmodelle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tbl>
      <w:tblPr>
        <w:tblW w:w="6480" w:type="dxa"/>
        <w:jc w:val="left"/>
        <w:tblInd w:w="0" w:type="dxa"/>
        <w:tblLayout w:type="fixed"/>
        <w:tblCellMar>
          <w:top w:w="50" w:type="dxa"/>
          <w:left w:w="80" w:type="dxa"/>
          <w:bottom w:w="50" w:type="dxa"/>
          <w:right w:w="80" w:type="dxa"/>
        </w:tblCellMar>
      </w:tblPr>
      <w:tblGrid>
        <w:gridCol w:w="1956"/>
        <w:gridCol w:w="1749"/>
        <w:gridCol w:w="1543"/>
        <w:gridCol w:w="1231"/>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1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 für</w:t>
            </w:r>
          </w:p>
        </w:tc>
        <w:tc>
          <w:tcPr>
            <w:tcW w:w="1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Extra-Englisch, meist einige Stunden pro Woche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aus?</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Push-in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Sprachlehrkraft hilft im Klassenzimmer</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Sheltered Instruction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Fachunterricht mit Bildern, Sprachstützen und einfacher Sprache, oft in reinen EL-Klassen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und High School</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das Fachniveau erhalten?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Newcomer-Programm</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Intensivklassen für neu Zugewanderte, zeitlich begrenzt</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Zuzüge, Jugendliche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überall vorhanden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Transitional Bilingual</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Erstsprache dient als Brücke, dann Wechsel ins Englische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Sprachgruppen</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kaum angeboten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Dual Language</w:t>
            </w:r>
            <w:r>
              <w:rPr>
                <w:rFonts w:eastAsia="Cambria" w:cs="Cambria"/>
                <w:b w:val="false"/>
                <w:bCs w:val="false"/>
                <w:i w:val="false"/>
                <w:iCs w:val="false"/>
                <w:sz w:val="18"/>
                <w:szCs w:val="18"/>
              </w:rPr>
              <w:t xml:space="preserve"> (</w:t>
            </w:r>
            <w:r>
              <w:rPr>
                <w:rFonts w:eastAsia="Cambria" w:cs="Cambria"/>
                <w:b w:val="false"/>
                <w:bCs w:val="false"/>
                <w:i/>
                <w:iCs/>
                <w:sz w:val="18"/>
                <w:szCs w:val="18"/>
              </w:rPr>
              <w:t>Two-Way Immersion</w:t>
            </w:r>
            <w:r>
              <w:rPr>
                <w:rFonts w:eastAsia="Cambria" w:cs="Cambria"/>
                <w:b w:val="false"/>
                <w:bCs w:val="false"/>
                <w:i w:val="false"/>
                <w:iCs w:val="false"/>
                <w:sz w:val="18"/>
                <w:szCs w:val="18"/>
              </w:rPr>
              <w: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Unterricht in zwei Sprachen, Kinder beider Sprachgruppen lernen gemeinsam</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Schulen, oft Charter</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selten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 einem Pull-out-Programm, wann der Extra-Unterricht stattfindet. Fällt er regelmäßig auf Kunst, Sport oder Naturwissenschaften, verpasst dein Kind Inhalte und Anschluss an die Klasse. Bitte um einen Stundenplan, der die Kernfächer schont.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Elternrechte, Dolmetscher, Ablehnen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vier Rechte:</w:t>
      </w:r>
    </w:p>
    <w:p>
      <w:pPr>
        <w:pStyle w:val="ListParagraph"/>
        <w:numPr>
          <w:ilvl w:val="0"/>
          <w:numId w:val="1"/>
        </w:numPr>
        <w:spacing w:lineRule="exact" w:line="288" w:before="0" w:after="60"/>
        <w:rPr/>
      </w:pPr>
      <w:r>
        <w:rPr>
          <w:rFonts w:eastAsia="Cambria" w:cs="Cambria"/>
          <w:b/>
          <w:bCs/>
          <w:i w:val="false"/>
          <w:iCs w:val="false"/>
          <w:sz w:val="22"/>
          <w:szCs w:val="22"/>
        </w:rPr>
        <w:t>Information.</w:t>
      </w:r>
      <w:r>
        <w:rPr>
          <w:rFonts w:eastAsia="Cambria" w:cs="Cambria"/>
          <w:b w:val="false"/>
          <w:bCs w:val="false"/>
          <w:i w:val="false"/>
          <w:iCs w:val="false"/>
          <w:sz w:val="22"/>
          <w:szCs w:val="22"/>
        </w:rPr>
        <w:t xml:space="preserve">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pPr>
        <w:pStyle w:val="ListParagraph"/>
        <w:numPr>
          <w:ilvl w:val="0"/>
          <w:numId w:val="1"/>
        </w:numPr>
        <w:spacing w:lineRule="exact" w:line="288" w:before="0" w:after="60"/>
        <w:rPr/>
      </w:pPr>
      <w:r>
        <w:rPr>
          <w:rFonts w:eastAsia="Cambria" w:cs="Cambria"/>
          <w:b/>
          <w:bCs/>
          <w:i w:val="false"/>
          <w:iCs w:val="false"/>
          <w:sz w:val="22"/>
          <w:szCs w:val="22"/>
        </w:rPr>
        <w:t>Ablehnen.</w:t>
      </w:r>
      <w:r>
        <w:rPr>
          <w:rFonts w:eastAsia="Cambria" w:cs="Cambria"/>
          <w:b w:val="false"/>
          <w:bCs w:val="false"/>
          <w:i w:val="false"/>
          <w:iCs w:val="false"/>
          <w:sz w:val="22"/>
          <w:szCs w:val="22"/>
        </w:rPr>
        <w:t xml:space="preserve"> Du darfst die Teilnahme am Programm ablehnen (</w:t>
      </w:r>
      <w:r>
        <w:rPr>
          <w:rFonts w:eastAsia="Cambria" w:cs="Cambria"/>
          <w:b w:val="false"/>
          <w:bCs w:val="false"/>
          <w:i/>
          <w:iCs/>
          <w:sz w:val="22"/>
          <w:szCs w:val="22"/>
        </w:rPr>
        <w:t>Opt-out</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Fragen.</w:t>
      </w:r>
      <w:r>
        <w:rPr>
          <w:rFonts w:eastAsia="Cambria" w:cs="Cambria"/>
          <w:b w:val="false"/>
          <w:bCs w:val="false"/>
          <w:i w:val="false"/>
          <w:iCs w:val="false"/>
          <w:sz w:val="22"/>
          <w:szCs w:val="22"/>
        </w:rPr>
        <w:t xml:space="preserve"> Stunden pro Woche, Lehrkraft, Ziele, Umstufungskriterien, Testanpassungen: Du darfst alles erfragen.</w:t>
      </w:r>
    </w:p>
    <w:p>
      <w:pPr>
        <w:pStyle w:val="ListParagraph"/>
        <w:numPr>
          <w:ilvl w:val="0"/>
          <w:numId w:val="1"/>
        </w:numPr>
        <w:spacing w:lineRule="exact" w:line="288" w:before="0" w:after="60"/>
        <w:rPr/>
      </w:pPr>
      <w:r>
        <w:rPr>
          <w:rFonts w:eastAsia="Cambria" w:cs="Cambria"/>
          <w:b/>
          <w:bCs/>
          <w:i w:val="false"/>
          <w:iCs w:val="false"/>
          <w:sz w:val="22"/>
          <w:szCs w:val="22"/>
        </w:rPr>
        <w:t>Beschwerde.</w:t>
      </w:r>
      <w:r>
        <w:rPr>
          <w:rFonts w:eastAsia="Cambria" w:cs="Cambria"/>
          <w:b w:val="false"/>
          <w:bCs w:val="false"/>
          <w:i w:val="false"/>
          <w:iCs w:val="false"/>
          <w:sz w:val="22"/>
          <w:szCs w:val="22"/>
        </w:rPr>
        <w:t xml:space="preserve"> Erste Anlaufstelle ist der EL-Koordinator des Distrikts, dann die Schulbehörde des Staates; bei Diskriminierung wendest du dich an das </w:t>
      </w:r>
      <w:r>
        <w:rPr>
          <w:rFonts w:eastAsia="Cambria" w:cs="Cambria"/>
          <w:b w:val="false"/>
          <w:bCs w:val="false"/>
          <w:i/>
          <w:iCs/>
          <w:sz w:val="22"/>
          <w:szCs w:val="22"/>
        </w:rPr>
        <w:t>Office for Civil Rights</w:t>
      </w:r>
      <w:r>
        <w:rPr>
          <w:rFonts w:eastAsia="Cambria" w:cs="Cambria"/>
          <w:b w:val="false"/>
          <w:bCs w:val="false"/>
          <w:i w:val="false"/>
          <w:iCs w:val="false"/>
          <w:sz w:val="22"/>
          <w:szCs w:val="22"/>
        </w:rPr>
        <w:t xml:space="preserve"> des Bildungsministeriums oder an das Justizministerium.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Fortschritt und Testregeln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Sprachforschung unterscheidet zwei Ebenen: </w:t>
      </w:r>
      <w:r>
        <w:rPr>
          <w:rFonts w:eastAsia="Cambria" w:cs="Cambria"/>
          <w:b w:val="false"/>
          <w:bCs w:val="false"/>
          <w:i/>
          <w:iCs/>
          <w:sz w:val="22"/>
          <w:szCs w:val="22"/>
        </w:rPr>
        <w:t>Soziale Sprache</w:t>
      </w:r>
      <w:r>
        <w:rPr>
          <w:rFonts w:eastAsia="Cambria" w:cs="Cambria"/>
          <w:b w:val="false"/>
          <w:bCs w:val="false"/>
          <w:i w:val="false"/>
          <w:iCs w:val="false"/>
          <w:sz w:val="22"/>
          <w:szCs w:val="22"/>
        </w:rPr>
        <w:t xml:space="preserve"> (Pausenhof, Spielplatz, Alltag) sitzt nach etwa ein bis zwei Jahren, manchmal erst nach drei; </w:t>
      </w:r>
      <w:r>
        <w:rPr>
          <w:rFonts w:eastAsia="Cambria" w:cs="Cambria"/>
          <w:b w:val="false"/>
          <w:bCs w:val="false"/>
          <w:i/>
          <w:iCs/>
          <w:sz w:val="22"/>
          <w:szCs w:val="22"/>
        </w:rPr>
        <w:t>Akademische Sprache</w:t>
      </w:r>
      <w:r>
        <w:rPr>
          <w:rFonts w:eastAsia="Cambria" w:cs="Cambria"/>
          <w:b w:val="false"/>
          <w:bCs w:val="false"/>
          <w:i w:val="false"/>
          <w:iCs w:val="false"/>
          <w:sz w:val="22"/>
          <w:szCs w:val="22"/>
        </w:rPr>
        <w:t xml:space="preserve"> (Texte verstehen, Argumente schreiben, Fachbegriffe in Naturwissenschaften und Geschichte) braucht meist fünf bis sieben Jahre. Diese Faustregel geht auf Forschende wie Jim Cummins und Kenji Hakuta zurück. Sie erklärt, warum ein Kind auf dem Pausenhof glänzt und im Aufsatz noch stolpert.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plaudern heißt nicht „fertig“. Schulsprache, Lesen und Schreiben brauchen oft noch Jahre Unterstützung, auch wenn niemand mehr einen Akzent bemerkt.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Pflichttests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gelten für ELs Anpassungen und im ersten Jahr Sonderregeln bei der Wertung; Einzelheiten legt der Staat fest.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emotionale Seite: Schweigephase und Erschöpfung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Wenn ein Kind plötzlich verstummt, muss etwas nicht stimmen. Tatsächlich ist genau das bei vielen Kindern der Anfang: Diese </w:t>
      </w:r>
      <w:r>
        <w:rPr>
          <w:rFonts w:eastAsia="Cambria" w:cs="Cambria"/>
          <w:b w:val="false"/>
          <w:bCs w:val="false"/>
          <w:i/>
          <w:iCs/>
          <w:sz w:val="22"/>
          <w:szCs w:val="22"/>
        </w:rPr>
        <w:t>Silent Period</w:t>
      </w:r>
      <w:r>
        <w:rPr>
          <w:rFonts w:eastAsia="Cambria" w:cs="Cambria"/>
          <w:b w:val="false"/>
          <w:bCs w:val="false"/>
          <w:i w:val="false"/>
          <w:iCs w:val="false"/>
          <w:sz w:val="22"/>
          <w:szCs w:val="22"/>
        </w:rPr>
        <w:t xml:space="preserve">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haben; andere verweigern plötzlich Deutsch, weil sie nicht auffallen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nicht drängen, ruhige Nachmittage einplanen, Freundschaften fördern (Playdates,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Mut loben statt Fehlerfreiheit. Sprich mit der Lehrkraft und dem </w:t>
      </w:r>
      <w:r>
        <w:rPr>
          <w:rFonts w:eastAsia="Cambria" w:cs="Cambria"/>
          <w:b w:val="false"/>
          <w:bCs w:val="false"/>
          <w:i/>
          <w:iCs/>
          <w:sz w:val="22"/>
          <w:szCs w:val="22"/>
        </w:rPr>
        <w:t>School Counselor</w:t>
      </w:r>
      <w:r>
        <w:rPr>
          <w:rFonts w:eastAsia="Cambria" w:cs="Cambria"/>
          <w:b w:val="false"/>
          <w:bCs w:val="false"/>
          <w:i w:val="false"/>
          <w:iCs w:val="false"/>
          <w:sz w:val="22"/>
          <w:szCs w:val="22"/>
        </w:rPr>
        <w:t xml:space="preserve"> (Schulberater), wenn das Schweigen sehr lange anhält, auch zu Hause auftritt oder Angst, Bauchschmerzen und Schulverweigerung dazukommen (mehr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Bleibt der Fortschritt trotz Förderung aus, kann mehr dahinterstecken als Sprache; dann helfen Abklärung und Sonderförderung (</w:t>
      </w:r>
      <w:r>
        <w:rPr>
          <w:rFonts w:eastAsia="Cambria" w:cs="Cambria"/>
          <w:b w:val="false"/>
          <w:bCs w:val="false"/>
          <w:i/>
          <w:iCs/>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504 Plan</w:t>
      </w:r>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Tipps für Eltern</w:t>
      </w:r>
    </w:p>
    <w:p>
      <w:pPr>
        <w:pStyle w:val="ListParagraph"/>
        <w:numPr>
          <w:ilvl w:val="0"/>
          <w:numId w:val="1"/>
        </w:numPr>
        <w:spacing w:lineRule="exact" w:line="288" w:before="0" w:after="60"/>
        <w:rPr/>
      </w:pPr>
      <w:r>
        <w:rPr>
          <w:rFonts w:eastAsia="Cambria" w:cs="Cambria"/>
          <w:b/>
          <w:bCs/>
          <w:i w:val="false"/>
          <w:iCs w:val="false"/>
          <w:sz w:val="22"/>
          <w:szCs w:val="22"/>
        </w:rPr>
        <w:t>Vor dem Umzug:</w:t>
      </w:r>
      <w:r>
        <w:rPr>
          <w:rFonts w:eastAsia="Cambria" w:cs="Cambria"/>
          <w:b w:val="false"/>
          <w:bCs w:val="false"/>
          <w:i w:val="false"/>
          <w:iCs w:val="false"/>
          <w:sz w:val="22"/>
          <w:szCs w:val="22"/>
        </w:rPr>
        <w:t xml:space="preserve"> Englisch im Familienalltag anschieben: Serien im Original mit englischen Untertiteln, englische Vorlesebücher, Kinder-Podcasts. Perfektion ist unnötig, Neugier genügt.</w:t>
      </w:r>
    </w:p>
    <w:p>
      <w:pPr>
        <w:pStyle w:val="ListParagraph"/>
        <w:numPr>
          <w:ilvl w:val="0"/>
          <w:numId w:val="1"/>
        </w:numPr>
        <w:spacing w:lineRule="exact" w:line="288" w:before="0" w:after="60"/>
        <w:rPr/>
      </w:pPr>
      <w:r>
        <w:rPr>
          <w:rFonts w:eastAsia="Cambria" w:cs="Cambria"/>
          <w:b/>
          <w:bCs/>
          <w:i w:val="false"/>
          <w:iCs w:val="false"/>
          <w:sz w:val="22"/>
          <w:szCs w:val="22"/>
        </w:rPr>
        <w:t>Gespräch in den ersten zwei Wochen:</w:t>
      </w:r>
      <w:r>
        <w:rPr>
          <w:rFonts w:eastAsia="Cambria" w:cs="Cambria"/>
          <w:b w:val="false"/>
          <w:bCs w:val="false"/>
          <w:i w:val="false"/>
          <w:iCs w:val="false"/>
          <w:sz w:val="22"/>
          <w:szCs w:val="22"/>
        </w:rPr>
        <w:t xml:space="preserve"> Bitte die EL-Lehrkraft um einen Termin. Frage: „How many minutes per week will my child get? What are the exit criteria, and how will I hear about progress?“</w:t>
      </w:r>
    </w:p>
    <w:p>
      <w:pPr>
        <w:pStyle w:val="ListParagraph"/>
        <w:numPr>
          <w:ilvl w:val="0"/>
          <w:numId w:val="1"/>
        </w:numPr>
        <w:spacing w:lineRule="exact" w:line="288" w:before="0" w:after="60"/>
        <w:rPr/>
      </w:pPr>
      <w:r>
        <w:rPr>
          <w:rFonts w:eastAsia="Cambria" w:cs="Cambria"/>
          <w:b/>
          <w:bCs/>
          <w:i w:val="false"/>
          <w:iCs w:val="false"/>
          <w:sz w:val="22"/>
          <w:szCs w:val="22"/>
        </w:rPr>
        <w:t>Erstsprache stärken:</w:t>
      </w:r>
      <w:r>
        <w:rPr>
          <w:rFonts w:eastAsia="Cambria" w:cs="Cambria"/>
          <w:b w:val="false"/>
          <w:bCs w:val="false"/>
          <w:i w:val="false"/>
          <w:iCs w:val="false"/>
          <w:sz w:val="22"/>
          <w:szCs w:val="22"/>
        </w:rPr>
        <w:t xml:space="preserve"> Verbreiteter Irrtum: Zu Hause konsequent Englisch zu sprechen, beschleunige den Übergang. Tatsächlich lernen Kinder mit gefestigter Erstsprache die Zweitsprache in der Regel nicht langsamer, denn Lesen und Wortschatz übertragen sich. „Zu Hause nur noch Englisch” ist deshalb kein guter Rat.</w:t>
      </w:r>
    </w:p>
    <w:p>
      <w:pPr>
        <w:pStyle w:val="ListParagraph"/>
        <w:numPr>
          <w:ilvl w:val="0"/>
          <w:numId w:val="1"/>
        </w:numPr>
        <w:spacing w:lineRule="exact" w:line="288" w:before="0" w:after="60"/>
        <w:rPr/>
      </w:pPr>
      <w:r>
        <w:rPr>
          <w:rFonts w:eastAsia="Cambria" w:cs="Cambria"/>
          <w:b/>
          <w:bCs/>
          <w:i w:val="false"/>
          <w:iCs w:val="false"/>
          <w:sz w:val="22"/>
          <w:szCs w:val="22"/>
        </w:rPr>
        <w:t>Bibliothek nutzen:</w:t>
      </w:r>
      <w:r>
        <w:rPr>
          <w:rFonts w:eastAsia="Cambria" w:cs="Cambria"/>
          <w:b w:val="false"/>
          <w:bCs w:val="false"/>
          <w:i w:val="false"/>
          <w:iCs w:val="false"/>
          <w:sz w:val="22"/>
          <w:szCs w:val="22"/>
        </w:rPr>
        <w:t xml:space="preserve"> Karte, Vorlesestunden (</w:t>
      </w:r>
      <w:r>
        <w:rPr>
          <w:rFonts w:eastAsia="Cambria" w:cs="Cambria"/>
          <w:b w:val="false"/>
          <w:bCs w:val="false"/>
          <w:i/>
          <w:iCs/>
          <w:sz w:val="22"/>
          <w:szCs w:val="22"/>
        </w:rPr>
        <w:t>Story Time</w:t>
      </w:r>
      <w:r>
        <w:rPr>
          <w:rFonts w:eastAsia="Cambria" w:cs="Cambria"/>
          <w:b w:val="false"/>
          <w:bCs w:val="false"/>
          <w:i w:val="false"/>
          <w:iCs w:val="false"/>
          <w:sz w:val="22"/>
          <w:szCs w:val="22"/>
        </w:rPr>
        <w:t>), Sommerleseprogramme (</w:t>
      </w:r>
      <w:r>
        <w:rPr>
          <w:rFonts w:eastAsia="Cambria" w:cs="Cambria"/>
          <w:b w:val="false"/>
          <w:bCs w:val="false"/>
          <w:i/>
          <w:iCs/>
          <w:sz w:val="22"/>
          <w:szCs w:val="22"/>
        </w:rPr>
        <w:t>Summer Reading</w:t>
      </w:r>
      <w:r>
        <w:rPr>
          <w:rFonts w:eastAsia="Cambria" w:cs="Cambria"/>
          <w:b w:val="false"/>
          <w:bCs w:val="false"/>
          <w:i w:val="false"/>
          <w:iCs w:val="false"/>
          <w:sz w:val="22"/>
          <w:szCs w:val="22"/>
        </w:rPr>
        <w:t>) und oft Hausaufgabenhilfe.</w:t>
      </w:r>
    </w:p>
    <w:p>
      <w:pPr>
        <w:pStyle w:val="ListParagraph"/>
        <w:numPr>
          <w:ilvl w:val="0"/>
          <w:numId w:val="1"/>
        </w:numPr>
        <w:spacing w:lineRule="exact" w:line="288" w:before="0" w:after="60"/>
        <w:rPr/>
      </w:pPr>
      <w:r>
        <w:rPr>
          <w:rFonts w:eastAsia="Cambria" w:cs="Cambria"/>
          <w:b/>
          <w:bCs/>
          <w:i w:val="false"/>
          <w:iCs w:val="false"/>
          <w:sz w:val="22"/>
          <w:szCs w:val="22"/>
        </w:rPr>
        <w:t>Schulwörter:</w:t>
      </w:r>
      <w:r>
        <w:rPr>
          <w:rFonts w:eastAsia="Cambria" w:cs="Cambria"/>
          <w:b w:val="false"/>
          <w:bCs w:val="false"/>
          <w:i w:val="false"/>
          <w:iCs w:val="false"/>
          <w:sz w:val="22"/>
          <w:szCs w:val="22"/>
        </w:rPr>
        <w:t xml:space="preserve"> In Elternbriefen stehen </w:t>
      </w:r>
      <w:r>
        <w:rPr>
          <w:rFonts w:eastAsia="Cambria" w:cs="Cambria"/>
          <w:b w:val="false"/>
          <w:bCs w:val="false"/>
          <w:i/>
          <w:iCs/>
          <w:sz w:val="22"/>
          <w:szCs w:val="22"/>
        </w:rPr>
        <w:t>Permission Slip</w:t>
      </w:r>
      <w:r>
        <w:rPr>
          <w:rFonts w:eastAsia="Cambria" w:cs="Cambria"/>
          <w:b w:val="false"/>
          <w:bCs w:val="false"/>
          <w:i w:val="false"/>
          <w:iCs w:val="false"/>
          <w:sz w:val="22"/>
          <w:szCs w:val="22"/>
        </w:rPr>
        <w:t xml:space="preserve"> (Einverständniserklärung), </w:t>
      </w:r>
      <w:r>
        <w:rPr>
          <w:rFonts w:eastAsia="Cambria" w:cs="Cambria"/>
          <w:b w:val="false"/>
          <w:bCs w:val="false"/>
          <w:i/>
          <w:iCs/>
          <w:sz w:val="22"/>
          <w:szCs w:val="22"/>
        </w:rPr>
        <w:t>Field Trip</w:t>
      </w:r>
      <w:r>
        <w:rPr>
          <w:rFonts w:eastAsia="Cambria" w:cs="Cambria"/>
          <w:b w:val="false"/>
          <w:bCs w:val="false"/>
          <w:i w:val="false"/>
          <w:iCs w:val="false"/>
          <w:sz w:val="22"/>
          <w:szCs w:val="22"/>
        </w:rPr>
        <w:t xml:space="preserve"> (Klassenausflug), </w:t>
      </w:r>
      <w:r>
        <w:rPr>
          <w:rFonts w:eastAsia="Cambria" w:cs="Cambria"/>
          <w:b w:val="false"/>
          <w:bCs w:val="false"/>
          <w:i/>
          <w:iCs/>
          <w:sz w:val="22"/>
          <w:szCs w:val="22"/>
        </w:rPr>
        <w:t>Report Card</w:t>
      </w:r>
      <w:r>
        <w:rPr>
          <w:rFonts w:eastAsia="Cambria" w:cs="Cambria"/>
          <w:b w:val="false"/>
          <w:bCs w:val="false"/>
          <w:i w:val="false"/>
          <w:iCs w:val="false"/>
          <w:sz w:val="22"/>
          <w:szCs w:val="22"/>
        </w:rPr>
        <w:t xml:space="preserve"> (Zeugnis), </w:t>
      </w:r>
      <w:r>
        <w:rPr>
          <w:rFonts w:eastAsia="Cambria" w:cs="Cambria"/>
          <w:b w:val="false"/>
          <w:bCs w:val="false"/>
          <w:i/>
          <w:iCs/>
          <w:sz w:val="22"/>
          <w:szCs w:val="22"/>
        </w:rPr>
        <w:t>Parent-Teacher Conference</w:t>
      </w:r>
      <w:r>
        <w:rPr>
          <w:rFonts w:eastAsia="Cambria" w:cs="Cambria"/>
          <w:b w:val="false"/>
          <w:bCs w:val="false"/>
          <w:i w:val="false"/>
          <w:iCs w:val="false"/>
          <w:sz w:val="22"/>
          <w:szCs w:val="22"/>
        </w:rPr>
        <w:t xml:space="preserve"> (Elternsprechtag), </w:t>
      </w:r>
      <w:r>
        <w:rPr>
          <w:rFonts w:eastAsia="Cambria" w:cs="Cambria"/>
          <w:b w:val="false"/>
          <w:bCs w:val="false"/>
          <w:i/>
          <w:iCs/>
          <w:sz w:val="22"/>
          <w:szCs w:val="22"/>
        </w:rPr>
        <w:t>Early Dismissal</w:t>
      </w:r>
      <w:r>
        <w:rPr>
          <w:rFonts w:eastAsia="Cambria" w:cs="Cambria"/>
          <w:b w:val="false"/>
          <w:bCs w:val="false"/>
          <w:i w:val="false"/>
          <w:iCs w:val="false"/>
          <w:sz w:val="22"/>
          <w:szCs w:val="22"/>
        </w:rPr>
        <w:t xml:space="preserve"> (früherer Unterrichtsschluss) und </w:t>
      </w:r>
      <w:r>
        <w:rPr>
          <w:rFonts w:eastAsia="Cambria" w:cs="Cambria"/>
          <w:b w:val="false"/>
          <w:bCs w:val="false"/>
          <w:i/>
          <w:iCs/>
          <w:sz w:val="22"/>
          <w:szCs w:val="22"/>
        </w:rPr>
        <w:t>Back-to-School Night</w:t>
      </w:r>
      <w:r>
        <w:rPr>
          <w:rFonts w:eastAsia="Cambria" w:cs="Cambria"/>
          <w:b w:val="false"/>
          <w:bCs w:val="false"/>
          <w:i w:val="false"/>
          <w:iCs w:val="false"/>
          <w:sz w:val="22"/>
          <w:szCs w:val="22"/>
        </w:rPr>
        <w:t xml:space="preserve"> (Elternabend zum Schuljahresbeginn).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meldet Lena (9) und Jonas (5) im August in ihrem Distrikt im Großraum Detroit an. Im Home Language Survey steht „German“. Lena, Grade 4, liest gut, spricht aber zögerlich; der Screener ordnet sie auf Stufe 3 von 6 ein. Jonas kommt in den Kindergarten und gilt ebenfalls als EL. Nach drei Wochen trifft der Elternbrief ein. Anna Brandt bittet um ein Gespräch und erfährt: Lena erhält dreimal pro Woche 30 Minuten Pull-out, Jonas Hilfe im Klassenzimmer. Lena schweigt rund sechs Wochen. Der erste ganze englische Satz, den sie zu Hause fallen lässt – „Can I have more, please?“ beim Abendessen –, wird wie ein kleiner Feiertag gefeiert. Sie meldet sich im Oktober auch in der Schule erstmals zu Wort und erreicht nach knapp zwei Jahren den Zielwert ihres Staates. Jonas plaudert schon im Winter.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Stelle Untertitel zuerst auf Englisch, nicht auf Deutsch, und prüfe die aktuelle Verfügbarkeit auf JustWatch.de, da sich Streaming-Kataloge laufend ändern.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Familie, Lesen,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Zweisprachigkeit ergibt sich nicht von selbst: Kinder im US-Schulalltag wechseln oft innerhalb von ein bis zwei Jahren ins Englische, auch mit Eltern und Geschwistern – die Umgebung ist stärker als der Küchentisch. Wer Deutsch samt Lesen und Schreiben erhalten will, braucht einen Plan.</w:t>
      </w:r>
    </w:p>
    <w:p>
      <w:pPr>
        <w:pStyle w:val="ListParagraph"/>
        <w:numPr>
          <w:ilvl w:val="0"/>
          <w:numId w:val="1"/>
        </w:numPr>
        <w:spacing w:lineRule="exact" w:line="288" w:before="0" w:after="60"/>
        <w:rPr/>
      </w:pPr>
      <w:r>
        <w:rPr>
          <w:rFonts w:eastAsia="Cambria" w:cs="Cambria"/>
          <w:b/>
          <w:bCs/>
          <w:i w:val="false"/>
          <w:iCs w:val="false"/>
          <w:sz w:val="22"/>
          <w:szCs w:val="22"/>
        </w:rPr>
        <w:t>Familienregel.</w:t>
      </w:r>
      <w:r>
        <w:rPr>
          <w:rFonts w:eastAsia="Cambria" w:cs="Cambria"/>
          <w:b w:val="false"/>
          <w:bCs w:val="false"/>
          <w:i w:val="false"/>
          <w:iCs w:val="false"/>
          <w:sz w:val="22"/>
          <w:szCs w:val="22"/>
        </w:rPr>
        <w:t xml:space="preserve"> Zu Hause gilt Deutsch. Bei gemischtsprachigen Paaren bewährt sich </w:t>
      </w:r>
      <w:r>
        <w:rPr>
          <w:rFonts w:eastAsia="Cambria" w:cs="Cambria"/>
          <w:b w:val="false"/>
          <w:bCs w:val="false"/>
          <w:i/>
          <w:iCs/>
          <w:sz w:val="22"/>
          <w:szCs w:val="22"/>
        </w:rPr>
        <w:t>One Parent, One Language</w:t>
      </w:r>
      <w:r>
        <w:rPr>
          <w:rFonts w:eastAsia="Cambria" w:cs="Cambria"/>
          <w:b w:val="false"/>
          <w:bCs w:val="false"/>
          <w:i w:val="false"/>
          <w:iCs w:val="false"/>
          <w:sz w:val="22"/>
          <w:szCs w:val="22"/>
        </w:rPr>
        <w:t>: Jeder Elternteil bleibt konsequent bei seiner Sprache. Für Gäste gibt es Ausnahmen, damit niemand ausgeschlossen wird.</w:t>
      </w:r>
    </w:p>
    <w:p>
      <w:pPr>
        <w:pStyle w:val="ListParagraph"/>
        <w:numPr>
          <w:ilvl w:val="0"/>
          <w:numId w:val="1"/>
        </w:numPr>
        <w:spacing w:lineRule="exact" w:line="288" w:before="0" w:after="60"/>
        <w:rPr/>
      </w:pPr>
      <w:r>
        <w:rPr>
          <w:rFonts w:eastAsia="Cambria" w:cs="Cambria"/>
          <w:b/>
          <w:bCs/>
          <w:i w:val="false"/>
          <w:iCs w:val="false"/>
          <w:sz w:val="22"/>
          <w:szCs w:val="22"/>
        </w:rPr>
        <w:t>Antwortet das Kind auf Englisch,</w:t>
      </w:r>
      <w:r>
        <w:rPr>
          <w:rFonts w:eastAsia="Cambria" w:cs="Cambria"/>
          <w:b w:val="false"/>
          <w:bCs w:val="false"/>
          <w:i w:val="false"/>
          <w:iCs w:val="false"/>
          <w:sz w:val="22"/>
          <w:szCs w:val="22"/>
        </w:rPr>
        <w:t xml:space="preserve"> wiederhole den Satz auf Deutsch, ohne zu tadeln. Sprachmischung ist normal und kein Zeichen von Verwirrung.</w:t>
      </w:r>
    </w:p>
    <w:p>
      <w:pPr>
        <w:pStyle w:val="ListParagraph"/>
        <w:numPr>
          <w:ilvl w:val="0"/>
          <w:numId w:val="1"/>
        </w:numPr>
        <w:spacing w:lineRule="exact" w:line="288" w:before="0" w:after="60"/>
        <w:rPr/>
      </w:pPr>
      <w:r>
        <w:rPr>
          <w:rFonts w:eastAsia="Cambria" w:cs="Cambria"/>
          <w:b/>
          <w:bCs/>
          <w:i w:val="false"/>
          <w:iCs w:val="false"/>
          <w:sz w:val="22"/>
          <w:szCs w:val="22"/>
        </w:rPr>
        <w:t>Lesen.</w:t>
      </w:r>
      <w:r>
        <w:rPr>
          <w:rFonts w:eastAsia="Cambria" w:cs="Cambria"/>
          <w:b w:val="false"/>
          <w:bCs w:val="false"/>
          <w:i w:val="false"/>
          <w:iCs w:val="false"/>
          <w:sz w:val="22"/>
          <w:szCs w:val="22"/>
        </w:rPr>
        <w:t xml:space="preserve"> Gesprochenes Deutsch bleibt oft erhalten, Schriftdeutsch nicht – als Richtgröße helfen 15 bis 20 Minuten Vorlesen oder Lesen am Tag. Bücher kommen per Paket aus Deutschland (Porto einplanen), als E-Book oder Hörbuch; manche Bibliotheken besorgen sie per Fernleihe (</w:t>
      </w:r>
      <w:r>
        <w:rPr>
          <w:rFonts w:eastAsia="Cambria" w:cs="Cambria"/>
          <w:b w:val="false"/>
          <w:bCs w:val="false"/>
          <w:i/>
          <w:iCs/>
          <w:sz w:val="22"/>
          <w:szCs w:val="22"/>
        </w:rPr>
        <w:t>Interlibrary Loan</w:t>
      </w:r>
      <w:r>
        <w:rPr>
          <w:rFonts w:eastAsia="Cambria" w:cs="Cambria"/>
          <w:b w:val="false"/>
          <w:bCs w:val="false"/>
          <w:i w:val="false"/>
          <w:iCs w:val="false"/>
          <w:sz w:val="22"/>
          <w:szCs w:val="22"/>
        </w:rPr>
        <w:t>). Viele Mediatheken sperren Inhalte im Ausland, teste vor einem Abo.</w:t>
      </w:r>
    </w:p>
    <w:p>
      <w:pPr>
        <w:pStyle w:val="ListParagraph"/>
        <w:numPr>
          <w:ilvl w:val="0"/>
          <w:numId w:val="1"/>
        </w:numPr>
        <w:spacing w:lineRule="exact" w:line="288" w:before="0" w:after="60"/>
        <w:rPr/>
      </w:pPr>
      <w:r>
        <w:rPr>
          <w:rFonts w:eastAsia="Cambria" w:cs="Cambria"/>
          <w:b/>
          <w:bCs/>
          <w:i w:val="false"/>
          <w:iCs w:val="false"/>
          <w:sz w:val="22"/>
          <w:szCs w:val="22"/>
        </w:rPr>
        <w:t>Kontakt.</w:t>
      </w:r>
      <w:r>
        <w:rPr>
          <w:rFonts w:eastAsia="Cambria" w:cs="Cambria"/>
          <w:b w:val="false"/>
          <w:bCs w:val="false"/>
          <w:i w:val="false"/>
          <w:iCs w:val="false"/>
          <w:sz w:val="22"/>
          <w:szCs w:val="22"/>
        </w:rPr>
        <w:t xml:space="preserve"> Videoanrufe mit den Großeltern, Postkarten und Nachrichten an Verwandte (das übt das Schreiben), Ferienwochen in Deutschland: Die US-Sommerferien dauern etwa zehn bis zwölf Wochen, genug Zeit für einen langen Aufenthalt bei den Großeltern.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und Nachweise</w:t>
      </w:r>
    </w:p>
    <w:p>
      <w:pPr>
        <w:pStyle w:val="Normal"/>
        <w:keepNext w:val="false"/>
        <w:keepLines w:val="false"/>
        <w:spacing w:lineRule="exact" w:line="288" w:before="0" w:after="140"/>
        <w:jc w:val="left"/>
        <w:rPr/>
      </w:pPr>
      <w:r>
        <w:rPr>
          <w:rFonts w:eastAsia="Cambria" w:cs="Cambria"/>
          <w:b/>
          <w:bCs/>
          <w:i w:val="false"/>
          <w:iCs w:val="false"/>
          <w:sz w:val="22"/>
          <w:szCs w:val="22"/>
        </w:rPr>
        <w:t>Samstagsschulen</w:t>
      </w:r>
      <w:r>
        <w:rPr>
          <w:rFonts w:eastAsia="Cambria" w:cs="Cambria"/>
          <w:b w:val="false"/>
          <w:bCs w:val="false"/>
          <w:i w:val="false"/>
          <w:iCs w:val="false"/>
          <w:sz w:val="22"/>
          <w:szCs w:val="22"/>
        </w:rPr>
        <w:t xml:space="preserve"> sind meist gemeinnützige Vereine oder Elterninitiativen. Sie unterrichten meist an rund 30 Samstagen im Jahr etwa drei Stunden, von der Vorschule bis zur Oberstufe, teils auch Erwachsene; einige bereiten auf das </w:t>
      </w:r>
      <w:r>
        <w:rPr>
          <w:rFonts w:eastAsia="Cambria" w:cs="Cambria"/>
          <w:b w:val="false"/>
          <w:bCs w:val="false"/>
          <w:i/>
          <w:iCs/>
          <w:sz w:val="22"/>
          <w:szCs w:val="22"/>
        </w:rPr>
        <w:t>Deutsche Sprachdiplom</w:t>
      </w:r>
      <w:r>
        <w:rPr>
          <w:rFonts w:eastAsia="Cambria" w:cs="Cambria"/>
          <w:b w:val="false"/>
          <w:bCs w:val="false"/>
          <w:i w:val="false"/>
          <w:iCs w:val="false"/>
          <w:sz w:val="22"/>
          <w:szCs w:val="22"/>
        </w:rP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Immersionsschulen</w:t>
      </w:r>
      <w:r>
        <w:rPr>
          <w:rFonts w:eastAsia="Cambria" w:cs="Cambria"/>
          <w:b w:val="false"/>
          <w:bCs w:val="false"/>
          <w:i w:val="false"/>
          <w:iCs w:val="false"/>
          <w:sz w:val="22"/>
          <w:szCs w:val="22"/>
        </w:rPr>
        <w:t xml:space="preserve"> sind die Ausnahme: Die </w:t>
      </w:r>
      <w:r>
        <w:rPr>
          <w:rFonts w:eastAsia="Cambria" w:cs="Cambria"/>
          <w:b w:val="false"/>
          <w:bCs w:val="false"/>
          <w:i/>
          <w:iCs/>
          <w:sz w:val="22"/>
          <w:szCs w:val="22"/>
        </w:rPr>
        <w:t>Twin Cities German Immersion School</w:t>
      </w:r>
      <w:r>
        <w:rPr>
          <w:rFonts w:eastAsia="Cambria" w:cs="Cambria"/>
          <w:b w:val="false"/>
          <w:bCs w:val="false"/>
          <w:i w:val="false"/>
          <w:iCs w:val="false"/>
          <w:sz w:val="22"/>
          <w:szCs w:val="22"/>
        </w:rPr>
        <w:t xml:space="preserve"> in St. Paul (Minnesota) ist eine öffentliche, kostenlose Charter-Schule von Kindergarten bis Klasse 8 mit überwiegend deutschem Unterricht und Unterstützung für Kinder ohne Deutsch, ebenso die </w:t>
      </w:r>
      <w:r>
        <w:rPr>
          <w:rFonts w:eastAsia="Cambria" w:cs="Cambria"/>
          <w:b w:val="false"/>
          <w:bCs w:val="false"/>
          <w:i/>
          <w:iCs/>
          <w:sz w:val="22"/>
          <w:szCs w:val="22"/>
        </w:rPr>
        <w:t>Milwaukee German Immersion School</w:t>
      </w:r>
      <w:r>
        <w:rPr>
          <w:rFonts w:eastAsia="Cambria" w:cs="Cambria"/>
          <w:b w:val="false"/>
          <w:bCs w:val="false"/>
          <w:i w:val="false"/>
          <w:iCs w:val="false"/>
          <w:sz w:val="22"/>
          <w:szCs w:val="22"/>
        </w:rPr>
        <w:t>. Charter-Plätze werden oft verlost, Fristen liegen häufig zwischen Dezember und Februar. Am anderen Ende stehen die Deutschen Auslandsschulen mit Abschluss DIA und US-Diploma; sie kosten je nach Schule und Klasse grob 27.000–36.000 $ pro Jahr (Schuljahr 2026/27,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Das </w:t>
      </w:r>
      <w:r>
        <w:rPr>
          <w:rFonts w:eastAsia="Cambria" w:cs="Cambria"/>
          <w:b w:val="false"/>
          <w:bCs w:val="false"/>
          <w:i/>
          <w:iCs/>
          <w:sz w:val="22"/>
          <w:szCs w:val="22"/>
        </w:rPr>
        <w:t>Seal of Biliteracy</w:t>
      </w:r>
      <w:r>
        <w:rPr>
          <w:rFonts w:eastAsia="Cambria" w:cs="Cambria"/>
          <w:b w:val="false"/>
          <w:bCs w:val="false"/>
          <w:i w:val="false"/>
          <w:iCs w:val="false"/>
          <w:sz w:val="22"/>
          <w:szCs w:val="22"/>
        </w:rP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für eine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Familie Brandt (fiktiv) antwortet Jonas nach 18 Monaten meist auf Englisch, auch am Frühstückstisch. Markus und Anna führen eine feste Regel ein: Am Küchentisch gilt Deutsch. Abends lesen sie 15 Minuten auf Deutsch vor, sonntags folgt der Videoanruf mit den Großeltern in Deutschland. Lena schreibt alle zwei Wochen eine Postkarte. Die Fortschritte sind unspektakulär, aber messbar: Nach einem Jahr liest Lena wieder deutsche Kinderbücher allein, und Jonas antwortet zumindest bei Oma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sprechen mit Großeltern, Verwandten und Freunden in Deutschland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 konsequenter Elternarbeit; Nachlassen fällt erst spät 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Studium oder Arbeit in Deutschland bleiben offen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Schriftsprache bleibt meist hinter dem Englischen zurück</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Seal of Biliteracy, DSD oder Goethe-Zertifikat stärken Bewerbungen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Samstagsschule kostet Wochenenden, Fahrzeit und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Immersionsschulen sind kostenlos, wo es sie gibt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Schulen gibt es nur an wenigen Orten; Plätze werden oft verlost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zwei Sprachen beherrscht, lernt weitere oft leichter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Jugendliche wehren sich, wenn Deutsch als peinlich gilt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Erwachsene: Englisch verbessern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auf Englisch studiert oder gearbeitet hat, kommt im Alltag meist zurecht und stolpert an Details: schnelle Meetings, Telefonate mit Versicherungen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Small Talk, formelle E-Mails. Für H-1B, L-1 und die arbeitsgestützte Green Card verlangt die Einwanderungsbehörde keinen Englischtest; einen gibt es erst bei der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Bibliothek.</w:t>
      </w:r>
      <w:r>
        <w:rPr>
          <w:rFonts w:eastAsia="Cambria" w:cs="Cambria"/>
          <w:b w:val="false"/>
          <w:bCs w:val="false"/>
          <w:i w:val="false"/>
          <w:iCs w:val="false"/>
          <w:sz w:val="22"/>
          <w:szCs w:val="22"/>
        </w:rPr>
        <w:t xml:space="preserve"> Die Karte ist für Einwohner meist kostenlos, ein Wohnsitznachweis genügt; viele Bibliotheken bieten Gesprächsrunden (</w:t>
      </w:r>
      <w:r>
        <w:rPr>
          <w:rFonts w:eastAsia="Cambria" w:cs="Cambria"/>
          <w:b w:val="false"/>
          <w:bCs w:val="false"/>
          <w:i/>
          <w:iCs/>
          <w:sz w:val="22"/>
          <w:szCs w:val="22"/>
        </w:rPr>
        <w:t>Conversation Circles</w:t>
      </w:r>
      <w:r>
        <w:rPr>
          <w:rFonts w:eastAsia="Cambria" w:cs="Cambria"/>
          <w:b w:val="false"/>
          <w:bCs w:val="false"/>
          <w:i w:val="false"/>
          <w:iCs w:val="false"/>
          <w:sz w:val="22"/>
          <w:szCs w:val="22"/>
        </w:rPr>
        <w:t>), Buchclubs und ESL-Kurse an; Termine stehen auf der Website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Community College.</w:t>
      </w:r>
      <w:r>
        <w:rPr>
          <w:rFonts w:eastAsia="Cambria" w:cs="Cambria"/>
          <w:b w:val="false"/>
          <w:bCs w:val="false"/>
          <w:i w:val="false"/>
          <w:iCs w:val="false"/>
          <w:sz w:val="22"/>
          <w:szCs w:val="22"/>
        </w:rP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rFonts w:eastAsia="Cambria" w:cs="Cambria"/>
          <w:b w:val="false"/>
          <w:bCs w:val="false"/>
          <w:i/>
          <w:iCs/>
          <w:sz w:val="22"/>
          <w:szCs w:val="22"/>
        </w:rPr>
        <w:t>Public Speaking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Business Writing</w:t>
      </w:r>
      <w:r>
        <w:rPr>
          <w:rFonts w:eastAsia="Cambria" w:cs="Cambria"/>
          <w:b w:val="false"/>
          <w:bCs w:val="false"/>
          <w:i w:val="false"/>
          <w:iCs w:val="false"/>
          <w:sz w:val="22"/>
          <w:szCs w:val="22"/>
        </w:rPr>
        <w:t>. Die Studiengebühren liegen im Einzugsgebiet bei durchschnittlich rund 4.150 $ pro Jahr (2025/26, Vollzeit), ein einzelner Kurs entsprechend weniger. Auch Partner ohne Arbeitserlaubnis dürfen sich meist einschreiben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Sprechen üben.</w:t>
      </w:r>
      <w:r>
        <w:rPr>
          <w:rFonts w:eastAsia="Cambria" w:cs="Cambria"/>
          <w:b w:val="false"/>
          <w:bCs w:val="false"/>
          <w:i w:val="false"/>
          <w:iCs w:val="false"/>
          <w:sz w:val="22"/>
          <w:szCs w:val="22"/>
        </w:rPr>
        <w:t xml:space="preserve"> Toastmasters, Sprachtandems und Meetup-Treffs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trainieren freies Sprechen; frage außerdem die Personalabteilung nach Kommunikationstrainings oder einem Weiterbildungsbudget.</w:t>
      </w:r>
    </w:p>
    <w:p>
      <w:pPr>
        <w:pStyle w:val="ListParagraph"/>
        <w:numPr>
          <w:ilvl w:val="0"/>
          <w:numId w:val="1"/>
        </w:numPr>
        <w:spacing w:lineRule="exact" w:line="288" w:before="0" w:after="60"/>
        <w:rPr/>
      </w:pPr>
      <w:r>
        <w:rPr>
          <w:rFonts w:eastAsia="Cambria" w:cs="Cambria"/>
          <w:b/>
          <w:bCs/>
          <w:i w:val="false"/>
          <w:iCs w:val="false"/>
          <w:sz w:val="22"/>
          <w:szCs w:val="22"/>
        </w:rPr>
        <w:t>Akzent.</w:t>
      </w:r>
      <w:r>
        <w:rPr>
          <w:rFonts w:eastAsia="Cambria" w:cs="Cambria"/>
          <w:b w:val="false"/>
          <w:bCs w:val="false"/>
          <w:i w:val="false"/>
          <w:iCs w:val="false"/>
          <w:sz w:val="22"/>
          <w:szCs w:val="22"/>
        </w:rPr>
        <w:t xml:space="preserve"> Ein deutscher Akzent ist in den meisten Metropolregionen kein Hindernis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wer verständlicher werden will, übt Betonung und Satzmelodie.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369"/>
        <w:gridCol w:w="2925"/>
        <w:gridCol w:w="2186"/>
      </w:tblGrid>
      <w:tr>
        <w:trPr>
          <w:tblHeader w:val="true"/>
          <w:cantSplit w:val="true"/>
        </w:trPr>
        <w:tc>
          <w:tcPr>
            <w:tcW w:w="1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Test</w:t>
            </w:r>
          </w:p>
        </w:tc>
        <w:tc>
          <w:tcPr>
            <w:tcW w:w="2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 meist gebraucht</w:t>
            </w:r>
          </w:p>
        </w:tc>
        <w:tc>
          <w:tcPr>
            <w:tcW w:w="2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iBT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zum Masterstudium (Kapitel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überarbeitet; Gebühr, Aufbau und Skala auf ets.org/toefl prüfen</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IELTS Academic</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manche Berufszulassungen</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und Termine auf ielts.org</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Duolingo English Test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online von zu Hause</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Günstiger, aber nicht überall anerkannt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einen Test erst, wenn eine konkrete Hochschule oder Stelle ihn verlangt. Die Ergebnisse von TOEFL und IELTS gelten meist nur zwei Jahre. Frage vorher nach, ob ein Abschluss in englischer Sprache den Test ersetzt; manche Programme verzichten darauf.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Alltagsenglisch: Wo Deutsche stolpern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5"/>
        <w:gridCol w:w="41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schroff</w:t>
            </w:r>
          </w:p>
        </w:tc>
        <w:tc>
          <w:tcPr>
            <w:tcW w:w="4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kollegial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want a coffee.“</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I’d like a coffee, please.“</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Send me the report.“</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you send me the report by Friday?“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is wrong.“</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see it a bit differently.“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doesn’t work.“</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afraid that won’t work for me. Could we try Thursday?“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begegnen dir Wendungen, die kein Wörterbuch erklärt:</w:t>
      </w:r>
    </w:p>
    <w:tbl>
      <w:tblPr>
        <w:tblW w:w="6480" w:type="dxa"/>
        <w:jc w:val="left"/>
        <w:tblInd w:w="0" w:type="dxa"/>
        <w:tblLayout w:type="fixed"/>
        <w:tblCellMar>
          <w:top w:w="50" w:type="dxa"/>
          <w:left w:w="80" w:type="dxa"/>
          <w:bottom w:w="50" w:type="dxa"/>
          <w:right w:w="80" w:type="dxa"/>
        </w:tblCellMar>
      </w:tblPr>
      <w:tblGrid>
        <w:gridCol w:w="2286"/>
        <w:gridCol w:w="4193"/>
      </w:tblGrid>
      <w:tr>
        <w:trPr>
          <w:tblHeader w:val="true"/>
          <w:cantSplit w:val="true"/>
        </w:trPr>
        <w:tc>
          <w:tcPr>
            <w:tcW w:w="22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Ausdruck</w:t>
            </w:r>
          </w:p>
        </w:tc>
        <w:tc>
          <w:tcPr>
            <w:tcW w:w="4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touch base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 kurz abstimmen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circle back</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später noch einmal darauf zurückkommen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ballpark figure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heads-up</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Vorwarnung, kurzer Hinweis</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on the same page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gleicher Kenntnisstand</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EOD</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end of day</w:t>
            </w:r>
            <w:r>
              <w:rPr>
                <w:rFonts w:eastAsia="Cambria" w:cs="Cambria"/>
                <w:b w:val="false"/>
                <w:bCs w:val="false"/>
                <w:i w:val="false"/>
                <w:iCs w:val="false"/>
                <w:sz w:val="18"/>
                <w:szCs w:val="18"/>
              </w:rPr>
              <w:t>, bis Feierabend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Alltag heißen „No worries“ und „You bet“ so viel wie „gern geschehen“, „I’m good“ steht für „nein danke“, „Sounds good“ für „einverstanden“. Bei Zahlen steht im Datum der Monat zuerst (03/04/2026 ist der 4. März), Uhrzeiten laufen mit </w:t>
      </w:r>
      <w:r>
        <w:rPr>
          <w:rFonts w:eastAsia="Cambria" w:cs="Cambria"/>
          <w:b w:val="false"/>
          <w:bCs w:val="false"/>
          <w:i/>
          <w:iCs/>
          <w:sz w:val="22"/>
          <w:szCs w:val="22"/>
        </w:rPr>
        <w:t>a.m.</w:t>
      </w:r>
      <w:r>
        <w:rPr>
          <w:rFonts w:eastAsia="Cambria" w:cs="Cambria"/>
          <w:b w:val="false"/>
          <w:bCs w:val="false"/>
          <w:i w:val="false"/>
          <w:iCs w:val="false"/>
          <w:sz w:val="22"/>
          <w:szCs w:val="22"/>
        </w:rPr>
        <w:t xml:space="preserve"> und </w:t>
      </w:r>
      <w:r>
        <w:rPr>
          <w:rFonts w:eastAsia="Cambria" w:cs="Cambria"/>
          <w:b w:val="false"/>
          <w:bCs w:val="false"/>
          <w:i/>
          <w:iCs/>
          <w:sz w:val="22"/>
          <w:szCs w:val="22"/>
        </w:rPr>
        <w:t>p.m.</w:t>
      </w:r>
      <w:r>
        <w:rPr>
          <w:rFonts w:eastAsia="Cambria" w:cs="Cambria"/>
          <w:b w:val="false"/>
          <w:bCs w:val="false"/>
          <w:i w:val="false"/>
          <w:iCs w:val="false"/>
          <w:sz w:val="22"/>
          <w:szCs w:val="22"/>
        </w:rPr>
        <w:t xml:space="preserve">, Tausender trennt ein Komma, Dezimalstellen ein Punkt. Und </w:t>
      </w:r>
      <w:r>
        <w:rPr>
          <w:rFonts w:eastAsia="Cambria" w:cs="Cambria"/>
          <w:b w:val="false"/>
          <w:bCs w:val="false"/>
          <w:i/>
          <w:iCs/>
          <w:sz w:val="22"/>
          <w:szCs w:val="22"/>
        </w:rPr>
        <w:t>billion</w:t>
      </w:r>
      <w:r>
        <w:rPr>
          <w:rFonts w:eastAsia="Cambria" w:cs="Cambria"/>
          <w:b w:val="false"/>
          <w:bCs w:val="false"/>
          <w:i w:val="false"/>
          <w:iCs w:val="false"/>
          <w:sz w:val="22"/>
          <w:szCs w:val="22"/>
        </w:rPr>
        <w:t xml:space="preserve"> ist die Milliarde, nicht die Billion.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False Friends: Wörter, die dich hereinlegen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Wörter klingen deutsch, bedeuten aber etwas anderes:</w:t>
      </w:r>
    </w:p>
    <w:tbl>
      <w:tblPr>
        <w:tblW w:w="6480" w:type="dxa"/>
        <w:jc w:val="left"/>
        <w:tblInd w:w="0" w:type="dxa"/>
        <w:tblLayout w:type="fixed"/>
        <w:tblCellMar>
          <w:top w:w="50" w:type="dxa"/>
          <w:left w:w="80" w:type="dxa"/>
          <w:bottom w:w="50" w:type="dxa"/>
          <w:right w:w="80" w:type="dxa"/>
        </w:tblCellMar>
      </w:tblPr>
      <w:tblGrid>
        <w:gridCol w:w="1599"/>
        <w:gridCol w:w="1469"/>
        <w:gridCol w:w="1887"/>
        <w:gridCol w:w="1524"/>
      </w:tblGrid>
      <w:tr>
        <w:trPr>
          <w:tblHeader w:val="true"/>
          <w:cantSplit w:val="true"/>
        </w:trPr>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wie</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Bedeutet</w:t>
            </w:r>
          </w:p>
        </w:tc>
        <w:tc>
          <w:tcPr>
            <w:tcW w:w="15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deutsche Wort heißt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gift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poison</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become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werden</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bekommen = </w:t>
            </w:r>
            <w:r>
              <w:rPr>
                <w:rFonts w:eastAsia="Cambria" w:cs="Cambria"/>
                <w:b w:val="false"/>
                <w:bCs w:val="false"/>
                <w:i/>
                <w:iCs/>
                <w:sz w:val="18"/>
                <w:szCs w:val="18"/>
              </w:rPr>
              <w:t>get</w:t>
            </w:r>
            <w:r>
              <w:rPr>
                <w:rFonts w:eastAsia="Cambria" w:cs="Cambria"/>
                <w:b w:val="false"/>
                <w:bCs w:val="false"/>
                <w:i w:val="false"/>
                <w:iCs w:val="false"/>
                <w:sz w:val="18"/>
                <w:szCs w:val="18"/>
              </w:rPr>
              <w:t xml:space="preserve">, </w:t>
            </w:r>
            <w:r>
              <w:rPr>
                <w:rFonts w:eastAsia="Cambria" w:cs="Cambria"/>
                <w:b w:val="false"/>
                <w:bCs w:val="false"/>
                <w:i/>
                <w:iCs/>
                <w:sz w:val="18"/>
                <w:szCs w:val="18"/>
              </w:rPr>
              <w:t>receive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actually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tatsächlich, eigentlich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aktuell = </w:t>
            </w:r>
            <w:r>
              <w:rPr>
                <w:rFonts w:eastAsia="Cambria" w:cs="Cambria"/>
                <w:b w:val="false"/>
                <w:bCs w:val="false"/>
                <w:i/>
                <w:iCs/>
                <w:sz w:val="18"/>
                <w:szCs w:val="18"/>
              </w:rPr>
              <w:t>current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eventually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schließlich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eventuell = </w:t>
            </w:r>
            <w:r>
              <w:rPr>
                <w:rFonts w:eastAsia="Cambria" w:cs="Cambria"/>
                <w:b w:val="false"/>
                <w:bCs w:val="false"/>
                <w:i/>
                <w:iCs/>
                <w:sz w:val="18"/>
                <w:szCs w:val="18"/>
              </w:rPr>
              <w:t>possibly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sensible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sensibel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vernünftig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sensibel = </w:t>
            </w:r>
            <w:r>
              <w:rPr>
                <w:rFonts w:eastAsia="Cambria" w:cs="Cambria"/>
                <w:b w:val="false"/>
                <w:bCs w:val="false"/>
                <w:i/>
                <w:iCs/>
                <w:sz w:val="18"/>
                <w:szCs w:val="18"/>
              </w:rPr>
              <w:t>sensitive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brief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Brief = </w:t>
            </w:r>
            <w:r>
              <w:rPr>
                <w:rFonts w:eastAsia="Cambria" w:cs="Cambria"/>
                <w:b w:val="false"/>
                <w:bCs w:val="false"/>
                <w:i/>
                <w:iCs/>
                <w:sz w:val="18"/>
                <w:szCs w:val="18"/>
              </w:rPr>
              <w:t>letter</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Küchenchef</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Chef = </w:t>
            </w:r>
            <w:r>
              <w:rPr>
                <w:rFonts w:eastAsia="Cambria" w:cs="Cambria"/>
                <w:b w:val="false"/>
                <w:bCs w:val="false"/>
                <w:i/>
                <w:iCs/>
                <w:sz w:val="18"/>
                <w:szCs w:val="18"/>
              </w:rPr>
              <w:t>boss</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résumé</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Resümee</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Lebenslauf (US)</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Resümee = </w:t>
            </w:r>
            <w:r>
              <w:rPr>
                <w:rFonts w:eastAsia="Cambria" w:cs="Cambria"/>
                <w:b w:val="false"/>
                <w:bCs w:val="false"/>
                <w:i/>
                <w:iCs/>
                <w:sz w:val="18"/>
                <w:szCs w:val="18"/>
              </w:rPr>
              <w:t>summary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promotion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Beförderung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Promotion = </w:t>
            </w:r>
            <w:r>
              <w:rPr>
                <w:rFonts w:eastAsia="Cambria" w:cs="Cambria"/>
                <w:b w:val="false"/>
                <w:bCs w:val="false"/>
                <w:i/>
                <w:iCs/>
                <w:sz w:val="18"/>
                <w:szCs w:val="18"/>
              </w:rPr>
              <w:t>doctorate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physician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Physiker</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Physiker = </w:t>
            </w:r>
            <w:r>
              <w:rPr>
                <w:rFonts w:eastAsia="Cambria" w:cs="Cambria"/>
                <w:b w:val="false"/>
                <w:bCs w:val="false"/>
                <w:i/>
                <w:iCs/>
                <w:sz w:val="18"/>
                <w:szCs w:val="18"/>
              </w:rPr>
              <w:t>physicist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Umgekehrt gibt es Scheinanglizismen, die Amerikaner nicht kennen: </w:t>
      </w:r>
      <w:r>
        <w:rPr>
          <w:rFonts w:eastAsia="Cambria" w:cs="Cambria"/>
          <w:b w:val="false"/>
          <w:bCs w:val="false"/>
          <w:i/>
          <w:iCs/>
          <w:sz w:val="22"/>
          <w:szCs w:val="22"/>
        </w:rPr>
        <w:t>Handy</w:t>
      </w:r>
      <w:r>
        <w:rPr>
          <w:rFonts w:eastAsia="Cambria" w:cs="Cambria"/>
          <w:b w:val="false"/>
          <w:bCs w:val="false"/>
          <w:i w:val="false"/>
          <w:iCs w:val="false"/>
          <w:sz w:val="22"/>
          <w:szCs w:val="22"/>
        </w:rPr>
        <w:t xml:space="preserve"> heißt </w:t>
      </w:r>
      <w:r>
        <w:rPr>
          <w:rFonts w:eastAsia="Cambria" w:cs="Cambria"/>
          <w:b w:val="false"/>
          <w:bCs w:val="false"/>
          <w:i/>
          <w:iCs/>
          <w:sz w:val="22"/>
          <w:szCs w:val="22"/>
        </w:rPr>
        <w:t>cell phone</w:t>
      </w:r>
      <w:r>
        <w:rPr>
          <w:rFonts w:eastAsia="Cambria" w:cs="Cambria"/>
          <w:b w:val="false"/>
          <w:bCs w:val="false"/>
          <w:i w:val="false"/>
          <w:iCs w:val="false"/>
          <w:sz w:val="22"/>
          <w:szCs w:val="22"/>
        </w:rPr>
        <w:t xml:space="preserve">, </w:t>
      </w:r>
      <w:r>
        <w:rPr>
          <w:rFonts w:eastAsia="Cambria" w:cs="Cambria"/>
          <w:b w:val="false"/>
          <w:bCs w:val="false"/>
          <w:i/>
          <w:iCs/>
          <w:sz w:val="22"/>
          <w:szCs w:val="22"/>
        </w:rPr>
        <w:t>Beamer</w:t>
      </w:r>
      <w:r>
        <w:rPr>
          <w:rFonts w:eastAsia="Cambria" w:cs="Cambria"/>
          <w:b w:val="false"/>
          <w:bCs w:val="false"/>
          <w:i w:val="false"/>
          <w:iCs w:val="false"/>
          <w:sz w:val="22"/>
          <w:szCs w:val="22"/>
        </w:rPr>
        <w:t xml:space="preserve"> </w:t>
      </w:r>
      <w:r>
        <w:rPr>
          <w:rFonts w:eastAsia="Cambria" w:cs="Cambria"/>
          <w:b w:val="false"/>
          <w:bCs w:val="false"/>
          <w:i/>
          <w:iCs/>
          <w:sz w:val="22"/>
          <w:szCs w:val="22"/>
        </w:rPr>
        <w:t>projector</w:t>
      </w:r>
      <w:r>
        <w:rPr>
          <w:rFonts w:eastAsia="Cambria" w:cs="Cambria"/>
          <w:b w:val="false"/>
          <w:bCs w:val="false"/>
          <w:i w:val="false"/>
          <w:iCs w:val="false"/>
          <w:sz w:val="22"/>
          <w:szCs w:val="22"/>
        </w:rPr>
        <w:t xml:space="preserve">, </w:t>
      </w:r>
      <w:r>
        <w:rPr>
          <w:rFonts w:eastAsia="Cambria" w:cs="Cambria"/>
          <w:b w:val="false"/>
          <w:bCs w:val="false"/>
          <w:i/>
          <w:iCs/>
          <w:sz w:val="22"/>
          <w:szCs w:val="22"/>
        </w:rPr>
        <w:t>Oldtimer</w:t>
      </w:r>
      <w:r>
        <w:rPr>
          <w:rFonts w:eastAsia="Cambria" w:cs="Cambria"/>
          <w:b w:val="false"/>
          <w:bCs w:val="false"/>
          <w:i w:val="false"/>
          <w:iCs w:val="false"/>
          <w:sz w:val="22"/>
          <w:szCs w:val="22"/>
        </w:rPr>
        <w:t xml:space="preserve"> </w:t>
      </w:r>
      <w:r>
        <w:rPr>
          <w:rFonts w:eastAsia="Cambria" w:cs="Cambria"/>
          <w:b w:val="false"/>
          <w:bCs w:val="false"/>
          <w:i/>
          <w:iCs/>
          <w:sz w:val="22"/>
          <w:szCs w:val="22"/>
        </w:rPr>
        <w:t>classic car</w:t>
      </w:r>
      <w:r>
        <w:rPr>
          <w:rFonts w:eastAsia="Cambria" w:cs="Cambria"/>
          <w:b w:val="false"/>
          <w:bCs w:val="false"/>
          <w:i w:val="false"/>
          <w:iCs w:val="false"/>
          <w:sz w:val="22"/>
          <w:szCs w:val="22"/>
        </w:rPr>
        <w:t xml:space="preserve">, </w:t>
      </w:r>
      <w:r>
        <w:rPr>
          <w:rFonts w:eastAsia="Cambria" w:cs="Cambria"/>
          <w:b w:val="false"/>
          <w:bCs w:val="false"/>
          <w:i/>
          <w:iCs/>
          <w:sz w:val="22"/>
          <w:szCs w:val="22"/>
        </w:rPr>
        <w:t>Public Viewing</w:t>
      </w:r>
      <w:r>
        <w:rPr>
          <w:rFonts w:eastAsia="Cambria" w:cs="Cambria"/>
          <w:b w:val="false"/>
          <w:bCs w:val="false"/>
          <w:i w:val="false"/>
          <w:iCs w:val="false"/>
          <w:sz w:val="22"/>
          <w:szCs w:val="22"/>
        </w:rPr>
        <w:t xml:space="preserve"> </w:t>
      </w:r>
      <w:r>
        <w:rPr>
          <w:rFonts w:eastAsia="Cambria" w:cs="Cambria"/>
          <w:b w:val="false"/>
          <w:bCs w:val="false"/>
          <w:i/>
          <w:iCs/>
          <w:sz w:val="22"/>
          <w:szCs w:val="22"/>
        </w:rPr>
        <w:t>watch party</w:t>
      </w:r>
      <w:r>
        <w:rPr>
          <w:rFonts w:eastAsia="Cambria" w:cs="Cambria"/>
          <w:b w:val="false"/>
          <w:bCs w:val="false"/>
          <w:i w:val="false"/>
          <w:iCs w:val="false"/>
          <w:sz w:val="22"/>
          <w:szCs w:val="22"/>
        </w:rPr>
        <w:t xml:space="preserve">, </w:t>
      </w:r>
      <w:r>
        <w:rPr>
          <w:rFonts w:eastAsia="Cambria" w:cs="Cambria"/>
          <w:b w:val="false"/>
          <w:bCs w:val="false"/>
          <w:i/>
          <w:iCs/>
          <w:sz w:val="22"/>
          <w:szCs w:val="22"/>
        </w:rPr>
        <w:t>Smoking</w:t>
      </w:r>
      <w:r>
        <w:rPr>
          <w:rFonts w:eastAsia="Cambria" w:cs="Cambria"/>
          <w:b w:val="false"/>
          <w:bCs w:val="false"/>
          <w:i w:val="false"/>
          <w:iCs w:val="false"/>
          <w:sz w:val="22"/>
          <w:szCs w:val="22"/>
        </w:rPr>
        <w:t xml:space="preserve"> </w:t>
      </w:r>
      <w:r>
        <w:rPr>
          <w:rFonts w:eastAsia="Cambria" w:cs="Cambria"/>
          <w:b w:val="false"/>
          <w:bCs w:val="false"/>
          <w:i/>
          <w:iCs/>
          <w:sz w:val="22"/>
          <w:szCs w:val="22"/>
        </w:rPr>
        <w:t>tuxedo</w:t>
      </w:r>
      <w:r>
        <w:rPr>
          <w:rFonts w:eastAsia="Cambria" w:cs="Cambria"/>
          <w:b w:val="false"/>
          <w:bCs w:val="false"/>
          <w:i w:val="false"/>
          <w:iCs w:val="false"/>
          <w:sz w:val="22"/>
          <w:szCs w:val="22"/>
        </w:rPr>
        <w:t xml:space="preserve">, </w:t>
      </w:r>
      <w:r>
        <w:rPr>
          <w:rFonts w:eastAsia="Cambria" w:cs="Cambria"/>
          <w:b w:val="false"/>
          <w:bCs w:val="false"/>
          <w:i/>
          <w:iCs/>
          <w:sz w:val="22"/>
          <w:szCs w:val="22"/>
        </w:rPr>
        <w:t>Mobbing</w:t>
      </w:r>
      <w:r>
        <w:rPr>
          <w:rFonts w:eastAsia="Cambria" w:cs="Cambria"/>
          <w:b w:val="false"/>
          <w:bCs w:val="false"/>
          <w:i w:val="false"/>
          <w:iCs w:val="false"/>
          <w:sz w:val="22"/>
          <w:szCs w:val="22"/>
        </w:rPr>
        <w:t xml:space="preserve"> </w:t>
      </w:r>
      <w:r>
        <w:rPr>
          <w:rFonts w:eastAsia="Cambria" w:cs="Cambria"/>
          <w:b w:val="false"/>
          <w:bCs w:val="false"/>
          <w:i/>
          <w:iCs/>
          <w:sz w:val="22"/>
          <w:szCs w:val="22"/>
        </w:rPr>
        <w:t>bullying</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 und UK-Wortschatz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rFonts w:eastAsia="Cambria" w:cs="Cambria"/>
          <w:b w:val="false"/>
          <w:bCs w:val="false"/>
          <w:i/>
          <w:iCs/>
          <w:sz w:val="22"/>
          <w:szCs w:val="22"/>
        </w:rPr>
        <w:t>color</w:t>
      </w:r>
      <w:r>
        <w:rPr>
          <w:rFonts w:eastAsia="Cambria" w:cs="Cambria"/>
          <w:b w:val="false"/>
          <w:bCs w:val="false"/>
          <w:i w:val="false"/>
          <w:iCs w:val="false"/>
          <w:sz w:val="22"/>
          <w:szCs w:val="22"/>
        </w:rPr>
        <w:t xml:space="preserve">, </w:t>
      </w:r>
      <w:r>
        <w:rPr>
          <w:rFonts w:eastAsia="Cambria" w:cs="Cambria"/>
          <w:b w:val="false"/>
          <w:bCs w:val="false"/>
          <w:i/>
          <w:iCs/>
          <w:sz w:val="22"/>
          <w:szCs w:val="22"/>
        </w:rPr>
        <w:t>center</w:t>
      </w:r>
      <w:r>
        <w:rPr>
          <w:rFonts w:eastAsia="Cambria" w:cs="Cambria"/>
          <w:b w:val="false"/>
          <w:bCs w:val="false"/>
          <w:i w:val="false"/>
          <w:iCs w:val="false"/>
          <w:sz w:val="22"/>
          <w:szCs w:val="22"/>
        </w:rPr>
        <w:t xml:space="preserve">, </w:t>
      </w:r>
      <w:r>
        <w:rPr>
          <w:rFonts w:eastAsia="Cambria" w:cs="Cambria"/>
          <w:b w:val="false"/>
          <w:bCs w:val="false"/>
          <w:i/>
          <w:iCs/>
          <w:sz w:val="22"/>
          <w:szCs w:val="22"/>
        </w:rPr>
        <w:t>organize</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3"/>
        <w:gridCol w:w="2281"/>
        <w:gridCol w:w="1906"/>
      </w:tblGrid>
      <w:tr>
        <w:trPr>
          <w:tblHeader w:val="true"/>
          <w:cantSplit w:val="true"/>
        </w:trPr>
        <w:tc>
          <w:tcPr>
            <w:tcW w:w="2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19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UK</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apartment</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flat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Aufzug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elevator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lift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Erdgeschoss</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first floor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ground floor</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gas</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petrol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Gehweg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sidewalk</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pavement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Mülleimer</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trash can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bin</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vacation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holiday</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elementary school</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primary school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Schulnote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grade</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Praktisch wichtig ist die Etagenzählung: Wer eine Wohnung im </w:t>
      </w:r>
      <w:r>
        <w:rPr>
          <w:rFonts w:eastAsia="Cambria" w:cs="Cambria"/>
          <w:b w:val="false"/>
          <w:bCs w:val="false"/>
          <w:i/>
          <w:iCs/>
          <w:sz w:val="22"/>
          <w:szCs w:val="22"/>
        </w:rPr>
        <w:t>second floor</w:t>
      </w:r>
      <w:r>
        <w:rPr>
          <w:rFonts w:eastAsia="Cambria" w:cs="Cambria"/>
          <w:b w:val="false"/>
          <w:bCs w:val="false"/>
          <w:i w:val="false"/>
          <w:iCs w:val="false"/>
          <w:sz w:val="22"/>
          <w:szCs w:val="22"/>
        </w:rPr>
        <w:t xml:space="preserve"> mietet, wohnt im ersten Stock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Zeugnisse und Notenübersicht mit Englischnote einpacken, bei Bedarf übersetzen lassen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Website des Wunschdistrikts nach </w:t>
            </w:r>
            <w:r>
              <w:rPr>
                <w:rFonts w:eastAsia="Cambria" w:cs="Cambria"/>
                <w:b w:val="false"/>
                <w:bCs w:val="false"/>
                <w:i/>
                <w:iCs/>
                <w:sz w:val="20"/>
                <w:szCs w:val="20"/>
              </w:rPr>
              <w:t>English Learner Program</w:t>
            </w:r>
            <w:r>
              <w:rPr>
                <w:rFonts w:eastAsia="Cambria" w:cs="Cambria"/>
                <w:b w:val="false"/>
                <w:bCs w:val="false"/>
                <w:i w:val="false"/>
                <w:iCs w:val="false"/>
                <w:sz w:val="20"/>
                <w:szCs w:val="20"/>
              </w:rPr>
              <w:t xml:space="preserve"> oder </w:t>
            </w:r>
            <w:r>
              <w:rPr>
                <w:rFonts w:eastAsia="Cambria" w:cs="Cambria"/>
                <w:b w:val="false"/>
                <w:bCs w:val="false"/>
                <w:i/>
                <w:iCs/>
                <w:sz w:val="20"/>
                <w:szCs w:val="20"/>
              </w:rPr>
              <w:t>ESL</w:t>
            </w:r>
            <w:r>
              <w:rPr>
                <w:rFonts w:eastAsia="Cambria" w:cs="Cambria"/>
                <w:b w:val="false"/>
                <w:bCs w:val="false"/>
                <w:i w:val="false"/>
                <w:iCs w:val="false"/>
                <w:sz w:val="20"/>
                <w:szCs w:val="20"/>
              </w:rPr>
              <w:t xml:space="preserve"> durchsuchen, den EL-Koordinator anschreiben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Home Language Survey wahrheitsgemäß ausfüllen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Elternbrief erwarten (30 Tage nach Schuljahresbeginn, später Eintretende zwei Wochen); fehlt er, nachfragen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Gespräch mit der EL-Lehrkraft führen: Stunden, Modell, Umstufungskriterien, Dolmetscher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Stundenplan prüfen: Verdrängt der Extra-Unterricht Kernfächer?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Bibliotheksausweis holen und Leseprogramme für die Kinder nutzen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Samstagsschule, Immersionsschule oder Sommerlager recherchieren, Fristen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dich selbst einen Kurs wählen; Englischtest nur buchen, wenn er verlangt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WIDA — Screener und ACCESS for ELLs (</w:t>
      </w:r>
      <w:hyperlink r:id="rId350">
        <w:r>
          <w:rPr>
            <w:rStyle w:val="ListLabel113"/>
            <w:rFonts w:eastAsia="Cambria" w:cs="Cambria"/>
            <w:b w:val="false"/>
            <w:bCs w:val="false"/>
            <w:i w:val="false"/>
            <w:iCs w:val="false"/>
            <w:color w:val="0563C1"/>
            <w:sz w:val="22"/>
            <w:szCs w:val="22"/>
            <w:u w:val="single"/>
          </w:rPr>
          <w:t>wida.wisc.edu/assess/screener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Department of Education — English Learners, Title III, Office for Civil Rights (</w:t>
      </w:r>
      <w:hyperlink r:id="rId351">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Gesetzestext zu Elternbenachrichtigung und Umstufung, 20 U.S.C. § 6312 (</w:t>
      </w:r>
      <w:hyperlink r:id="rId352">
        <w:r>
          <w:rPr>
            <w:rStyle w:val="ListLabel113"/>
            <w:rFonts w:eastAsia="Cambria" w:cs="Cambria"/>
            <w:b w:val="false"/>
            <w:bCs w:val="false"/>
            <w:i w:val="false"/>
            <w:iCs w:val="false"/>
            <w:color w:val="0563C1"/>
            <w:sz w:val="22"/>
            <w:szCs w:val="22"/>
            <w:u w:val="single"/>
          </w:rPr>
          <w:t>law.cornell.edu/uscode/text/20/6312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Adult Education and Family Literacy Act — Erwachsenenbildung und ESL (</w:t>
      </w:r>
      <w:hyperlink r:id="rId353">
        <w:r>
          <w:rPr>
            <w:rStyle w:val="ListLabel113"/>
            <w:rFonts w:eastAsia="Cambria" w:cs="Cambria"/>
            <w:b w:val="false"/>
            <w:bCs w:val="false"/>
            <w:i w:val="false"/>
            <w:iCs w:val="false"/>
            <w:color w:val="0563C1"/>
            <w:sz w:val="22"/>
            <w:szCs w:val="22"/>
            <w:u w:val="single"/>
          </w:rPr>
          <w:t>aefla.ed.gov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GISSV — Saturday School (</w:t>
      </w:r>
      <w:hyperlink r:id="rId354">
        <w:r>
          <w:rPr>
            <w:rStyle w:val="ListLabel113"/>
            <w:rFonts w:eastAsia="Cambria" w:cs="Cambria"/>
            <w:b w:val="false"/>
            <w:bCs w:val="false"/>
            <w:i w:val="false"/>
            <w:iCs w:val="false"/>
            <w:color w:val="0563C1"/>
            <w:sz w:val="22"/>
            <w:szCs w:val="22"/>
            <w:u w:val="single"/>
          </w:rPr>
          <w:t>gissv.org/gissv-home-english/locations/saturday-school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Twin Cities German Immersion School (</w:t>
      </w:r>
      <w:hyperlink r:id="rId355">
        <w:r>
          <w:rPr>
            <w:rStyle w:val="ListLabel113"/>
            <w:rFonts w:eastAsia="Cambria" w:cs="Cambria"/>
            <w:b w:val="false"/>
            <w:bCs w:val="false"/>
            <w:i w:val="false"/>
            <w:iCs w:val="false"/>
            <w:color w:val="0563C1"/>
            <w:sz w:val="22"/>
            <w:szCs w:val="22"/>
            <w:u w:val="single"/>
          </w:rPr>
          <w:t>tcgis.org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Prüfungen (</w:t>
      </w:r>
      <w:hyperlink r:id="rId356">
        <w:r>
          <w:rPr>
            <w:rStyle w:val="ListLabel113"/>
            <w:rFonts w:eastAsia="Cambria" w:cs="Cambria"/>
            <w:b w:val="false"/>
            <w:bCs w:val="false"/>
            <w:i w:val="false"/>
            <w:iCs w:val="false"/>
            <w:color w:val="0563C1"/>
            <w:sz w:val="22"/>
            <w:szCs w:val="22"/>
            <w:u w:val="single"/>
          </w:rPr>
          <w:t>goethe.de/ins/us/en/spr/prf.html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TOEFL und IELTS — Termine und Gebühren (</w:t>
      </w:r>
      <w:hyperlink r:id="rId357">
        <w:r>
          <w:rPr>
            <w:rStyle w:val="ListLabel113"/>
            <w:rFonts w:eastAsia="Cambria" w:cs="Cambria"/>
            <w:b w:val="false"/>
            <w:bCs w:val="false"/>
            <w:i w:val="false"/>
            <w:iCs w:val="false"/>
            <w:color w:val="0563C1"/>
            <w:sz w:val="22"/>
            <w:szCs w:val="22"/>
            <w:u w:val="single"/>
          </w:rPr>
          <w:t>ets.org/toefl</w:t>
        </w:r>
      </w:hyperlink>
      <w:r>
        <w:rPr>
          <w:rFonts w:eastAsia="Cambria" w:cs="Cambria"/>
          <w:b w:val="false"/>
          <w:bCs w:val="false"/>
          <w:i w:val="false"/>
          <w:iCs w:val="false"/>
          <w:sz w:val="22"/>
          <w:szCs w:val="22"/>
        </w:rPr>
        <w:t xml:space="preserve">, </w:t>
      </w:r>
      <w:hyperlink r:id="rId358">
        <w:r>
          <w:rPr>
            <w:rStyle w:val="ListLabel113"/>
            <w:rFonts w:eastAsia="Cambria" w:cs="Cambria"/>
            <w:b w:val="false"/>
            <w:bCs w:val="false"/>
            <w:i w:val="false"/>
            <w:iCs w:val="false"/>
            <w:color w:val="0563C1"/>
            <w:sz w:val="22"/>
            <w:szCs w:val="22"/>
            <w:u w:val="single"/>
          </w:rPr>
          <w:t>ielts.org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2" w:name="__RefHeading___Toc56518_3457424410"/>
      <w:bookmarkStart w:id="93" w:name="k38"/>
      <w:bookmarkEnd w:id="92"/>
      <w:r>
        <w:rPr>
          <w:rFonts w:eastAsia="Amazon Ember" w:cs="Amazon Ember" w:ascii="Amazon Ember" w:hAnsi="Amazon Ember"/>
          <w:b/>
          <w:bCs/>
          <w:color w:val="0000FF"/>
          <w:sz w:val="36"/>
          <w:szCs w:val="36"/>
        </w:rPr>
        <w:t>Kapitel 38: Babys, Kleinkinder und Teenager</w:t>
      </w:r>
      <w:bookmarkEnd w:id="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läuft ein Erstklässler selbstverständlich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in den USA geborenes Kind ist mit der Geburt US-Bürger, auch bei Eltern mit Arbeitsvisum (Supreme Court, 30. Juni 2026). Ist ein Elternteil Deutscher, ist das Kind zugleich deutsch.</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Geburt kostet mit Arbeitgeberversicherung im Schnitt 2.743 $ Eigenanteil bei rund 20.400 $ Gesamtrechnung. Das Baby musst du meist binnen 30 Tagen im Plan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Bezahlten Familienurlaub gibt es nur in zwölf Staaten und im District of Columbia. Bundesweit gelten zwölf unbezahlte Wochen, und erst nach zwölf Monaten im Betrieb.</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Kinderbetreuung kostet im Schnitt 13.184 $ im Jahr. Für Familien mit H-1B, L-1 oder E-2 sind Au-pairs ausgeschlossen.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Wie lange Kinder allein bleiben dürfen, regelt jeder Staat anders. Prüfe die örtliche Lage, bevor du deutsche Maßstäbe anlegst.</w:t>
            </w:r>
          </w:p>
          <w:p>
            <w:pPr>
              <w:pStyle w:val="ListParagraph"/>
              <w:numPr>
                <w:ilvl w:val="0"/>
                <w:numId w:val="1"/>
              </w:numPr>
              <w:spacing w:lineRule="exact" w:line="264" w:before="0" w:after="50"/>
              <w:rPr/>
            </w:pPr>
            <w:r>
              <w:rPr>
                <w:rFonts w:eastAsia="Cambria" w:cs="Cambria"/>
                <w:b w:val="false"/>
                <w:bCs w:val="false"/>
                <w:i w:val="false"/>
                <w:iCs w:val="false"/>
                <w:sz w:val="20"/>
                <w:szCs w:val="20"/>
              </w:rPr>
              <w:t>Bundes-Studienhilfe erhalten nur US-Bürger und Green-Card-Inhaber, und der H-4-Status eines Kindes endet mit 21.</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Schwangerschaft und Geburt: Versicherung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Kommst du schwanger oder wirst es bald, klärst du zuerst den Deckungsbeginn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eine Geburt kostet, zeigt die Auswertung von Peterson-KFF für Arbeitgeberpläne (Daten 2021–23):</w:t>
      </w:r>
    </w:p>
    <w:tbl>
      <w:tblPr>
        <w:tblW w:w="6480" w:type="dxa"/>
        <w:jc w:val="left"/>
        <w:tblInd w:w="0" w:type="dxa"/>
        <w:tblLayout w:type="fixed"/>
        <w:tblCellMar>
          <w:top w:w="50" w:type="dxa"/>
          <w:left w:w="80" w:type="dxa"/>
          <w:bottom w:w="50" w:type="dxa"/>
          <w:right w:w="80" w:type="dxa"/>
        </w:tblCellMar>
      </w:tblPr>
      <w:tblGrid>
        <w:gridCol w:w="2341"/>
        <w:gridCol w:w="2279"/>
        <w:gridCol w:w="1860"/>
      </w:tblGrid>
      <w:tr>
        <w:trPr>
          <w:tblHeader w:val="true"/>
          <w:cantSplit w:val="true"/>
        </w:trPr>
        <w:tc>
          <w:tcPr>
            <w:tcW w:w="2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2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Gesamtrechnung</w:t>
            </w:r>
          </w:p>
        </w:tc>
        <w:tc>
          <w:tcPr>
            <w:tcW w:w="18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Eigenanteil</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Durchschnitt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20.416 $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Vaginale Geburt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15.712 $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Kaiserschnitt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28.998 $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3.071 $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Neugeborenes, erstes Quartal</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5.820 $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beziehungsweise 96 Stunden (Kaiserschnitt) begrenzen.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wählst eine Praxis für Geburtshilfe (</w:t>
      </w:r>
      <w:r>
        <w:rPr>
          <w:rFonts w:eastAsia="Cambria" w:cs="Cambria"/>
          <w:b w:val="false"/>
          <w:bCs w:val="false"/>
          <w:i/>
          <w:iCs/>
          <w:sz w:val="22"/>
          <w:szCs w:val="22"/>
        </w:rPr>
        <w:t>OB-GYN</w:t>
      </w:r>
      <w:r>
        <w:rPr>
          <w:rFonts w:eastAsia="Cambria" w:cs="Cambria"/>
          <w:b w:val="false"/>
          <w:bCs w:val="false"/>
          <w:i w:val="false"/>
          <w:iCs w:val="false"/>
          <w:sz w:val="22"/>
          <w:szCs w:val="22"/>
        </w:rPr>
        <w:t>) oder eine staatlich zugelassene Hebamme (</w:t>
      </w:r>
      <w:r>
        <w:rPr>
          <w:rFonts w:eastAsia="Cambria" w:cs="Cambria"/>
          <w:b w:val="false"/>
          <w:bCs w:val="false"/>
          <w:i/>
          <w:iCs/>
          <w:sz w:val="22"/>
          <w:szCs w:val="22"/>
        </w:rPr>
        <w:t>Certified Nurse-Midwife</w:t>
      </w:r>
      <w:r>
        <w:rPr>
          <w:rFonts w:eastAsia="Cambria" w:cs="Cambria"/>
          <w:b w:val="false"/>
          <w:bCs w:val="false"/>
          <w:i w:val="false"/>
          <w:iCs w:val="false"/>
          <w:sz w:val="22"/>
          <w:szCs w:val="22"/>
        </w:rPr>
        <w:t xml:space="preserve">); die Klinik hängt oft von der Praxis ab. Prüfe beides im Netzwerk deines Plans. Auch dort können einzelne Ärzte, etwa die Anästhesie, außerhalb liegen; 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w:t>
      </w:r>
      <w:r>
        <w:rPr>
          <w:rFonts w:eastAsia="Cambria" w:cs="Cambria"/>
          <w:b w:val="false"/>
          <w:bCs w:val="false"/>
          <w:i/>
          <w:iCs/>
          <w:sz w:val="22"/>
          <w:szCs w:val="22"/>
        </w:rPr>
        <w:t>Pediatrician</w:t>
      </w:r>
      <w:r>
        <w:rPr>
          <w:rFonts w:eastAsia="Cambria" w:cs="Cambria"/>
          <w:b w:val="false"/>
          <w:bCs w:val="false"/>
          <w:i w:val="false"/>
          <w:iCs w:val="false"/>
          <w:sz w:val="22"/>
          <w:szCs w:val="22"/>
        </w:rPr>
        <w:t>): Neupatienten warten oft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das Neugeborene innerhalb von 30 Tagen im Arbeitgeberplan an; die Deckung gilt dann rückwirkend ab der Geburt. Über den Marktplatz hast du 60 Tage. Wer die Frist verpasst, bleibt meist bis zur nächsten Wahlphase ohne Deckung für das Kind.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die Klinik vor der Geburt nach einem Kostenvoranschlag. Selbstzahlern steht bei Terminen ab drei Werktagen im Voraus eine Schätzung zu (</w:t>
            </w:r>
            <w:r>
              <w:rPr>
                <w:rFonts w:eastAsia="Cambria" w:cs="Cambria"/>
                <w:b w:val="false"/>
                <w:bCs w:val="false"/>
                <w:i/>
                <w:iCs/>
                <w:sz w:val="20"/>
                <w:szCs w:val="20"/>
              </w:rPr>
              <w:t>Good Faith Estimate</w:t>
            </w:r>
            <w:r>
              <w:rPr>
                <w:rFonts w:eastAsia="Cambria" w:cs="Cambria"/>
                <w:b w:val="false"/>
                <w:bCs w:val="false"/>
                <w:i w:val="false"/>
                <w:iCs w:val="false"/>
                <w:sz w:val="20"/>
                <w:szCs w:val="20"/>
              </w:rPr>
              <w:t>). Gemeinnützige Krankenhäuser müssen zudem eine Regelung für Zahlungshilfe veröffentlichen (</w:t>
            </w:r>
            <w:r>
              <w:rPr>
                <w:rFonts w:eastAsia="Cambria" w:cs="Cambria"/>
                <w:b w:val="false"/>
                <w:bCs w:val="false"/>
                <w:i/>
                <w:iCs/>
                <w:sz w:val="20"/>
                <w:szCs w:val="20"/>
              </w:rPr>
              <w:t>Financial Assistance Policy</w:t>
            </w:r>
            <w:r>
              <w:rPr>
                <w:rFonts w:eastAsia="Cambria" w:cs="Cambria"/>
                <w:b w:val="false"/>
                <w:bCs w:val="false"/>
                <w:i w:val="false"/>
                <w:iCs w:val="false"/>
                <w:sz w:val="20"/>
                <w:szCs w:val="20"/>
              </w:rPr>
              <w: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Geburt: Urkunden, SSN und Pässe</w:t>
      </w:r>
    </w:p>
    <w:p>
      <w:pPr>
        <w:pStyle w:val="ListParagraph"/>
        <w:numPr>
          <w:ilvl w:val="0"/>
          <w:numId w:val="214"/>
        </w:numPr>
        <w:spacing w:lineRule="exact" w:line="288" w:before="0" w:after="60"/>
        <w:rPr/>
      </w:pPr>
      <w:r>
        <w:rPr>
          <w:rFonts w:eastAsia="Cambria" w:cs="Cambria"/>
          <w:b/>
          <w:bCs/>
          <w:i w:val="false"/>
          <w:iCs w:val="false"/>
          <w:sz w:val="22"/>
          <w:szCs w:val="22"/>
        </w:rPr>
        <w:t>Geburtsurkunde.</w:t>
      </w:r>
      <w:r>
        <w:rPr>
          <w:rFonts w:eastAsia="Cambria" w:cs="Cambria"/>
          <w:b w:val="false"/>
          <w:bCs w:val="false"/>
          <w:i w:val="false"/>
          <w:iCs w:val="false"/>
          <w:sz w:val="22"/>
          <w:szCs w:val="22"/>
        </w:rPr>
        <w:t xml:space="preserve"> Die Klinik meldet die Geburt der Personenstandsbehörde des Staates (</w:t>
      </w:r>
      <w:r>
        <w:rPr>
          <w:rFonts w:eastAsia="Cambria" w:cs="Cambria"/>
          <w:b w:val="false"/>
          <w:bCs w:val="false"/>
          <w:i/>
          <w:iCs/>
          <w:sz w:val="22"/>
          <w:szCs w:val="22"/>
        </w:rPr>
        <w:t>Vital Records Office</w:t>
      </w:r>
      <w:r>
        <w:rPr>
          <w:rFonts w:eastAsia="Cambria" w:cs="Cambria"/>
          <w:b w:val="false"/>
          <w:bCs w:val="false"/>
          <w:i w:val="false"/>
          <w:iCs w:val="false"/>
          <w:sz w:val="22"/>
          <w:szCs w:val="22"/>
        </w:rPr>
        <w:t>). Beglaubigte Kopien bestellst du dort oder beim County; die Erinnerungsurkunde der Klinik zählt nicht. Die Gebühr ist meist zweistellig und je Staat verschieden. Bestelle gleich mehrere Kopien.</w:t>
      </w:r>
    </w:p>
    <w:p>
      <w:pPr>
        <w:pStyle w:val="ListParagraph"/>
        <w:numPr>
          <w:ilvl w:val="0"/>
          <w:numId w:val="215"/>
        </w:numPr>
        <w:spacing w:lineRule="exact" w:line="288" w:before="0" w:after="60"/>
        <w:rPr/>
      </w:pPr>
      <w:r>
        <w:rPr>
          <w:rFonts w:eastAsia="Cambria" w:cs="Cambria"/>
          <w:b/>
          <w:bCs/>
          <w:i w:val="false"/>
          <w:iCs w:val="false"/>
          <w:sz w:val="22"/>
          <w:szCs w:val="22"/>
        </w:rPr>
        <w:t>SSN.</w:t>
      </w:r>
      <w:r>
        <w:rPr>
          <w:rFonts w:eastAsia="Cambria" w:cs="Cambria"/>
          <w:b w:val="false"/>
          <w:bCs w:val="false"/>
          <w:i w:val="false"/>
          <w:iCs w:val="false"/>
          <w:sz w:val="22"/>
          <w:szCs w:val="22"/>
        </w:rPr>
        <w:t xml:space="preserve"> Den Antrag stellst du meist über das Klinikformular (</w:t>
      </w:r>
      <w:r>
        <w:rPr>
          <w:rFonts w:eastAsia="Cambria" w:cs="Cambria"/>
          <w:b w:val="false"/>
          <w:bCs w:val="false"/>
          <w:i/>
          <w:iCs/>
          <w:sz w:val="22"/>
          <w:szCs w:val="22"/>
        </w:rPr>
        <w:t>Enumeration at Birth</w:t>
      </w:r>
      <w:r>
        <w:rPr>
          <w:rFonts w:eastAsia="Cambria" w:cs="Cambria"/>
          <w:b w:val="false"/>
          <w:bCs w:val="false"/>
          <w:i w:val="false"/>
          <w:iCs w:val="false"/>
          <w:sz w:val="22"/>
          <w:szCs w:val="22"/>
        </w:rPr>
        <w:t>); die Karte kommt per Post. Sonst gilt der Antrag SS-5 bei der Sozialversicherungsbehörde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216"/>
        </w:numPr>
        <w:spacing w:lineRule="exact" w:line="288" w:before="0" w:after="60"/>
        <w:rPr/>
      </w:pPr>
      <w:r>
        <w:rPr>
          <w:rFonts w:eastAsia="Cambria" w:cs="Cambria"/>
          <w:b/>
          <w:bCs/>
          <w:i w:val="false"/>
          <w:iCs w:val="false"/>
          <w:sz w:val="22"/>
          <w:szCs w:val="22"/>
        </w:rPr>
        <w:t>US-Reisepass.</w:t>
      </w:r>
      <w:r>
        <w:rPr>
          <w:rFonts w:eastAsia="Cambria" w:cs="Cambria"/>
          <w:b w:val="false"/>
          <w:bCs w:val="false"/>
          <w:i w:val="false"/>
          <w:iCs w:val="false"/>
          <w:sz w:val="22"/>
          <w:szCs w:val="22"/>
        </w:rPr>
        <w:t xml:space="preserve"> Für Kinder unter 16 beantragen ihn beide Eltern gemeinsam und persönlich (Formular DS-11) oder ein Elternteil mit schriftlicher Zustimmung des anderen. Gebühren und Bearbeitungszeit stehen auf travel.state.gov. US-Bürger reisen mit US-Pass in die USA ein; das gilt auch für dein Baby.</w:t>
      </w:r>
    </w:p>
    <w:p>
      <w:pPr>
        <w:pStyle w:val="ListParagraph"/>
        <w:numPr>
          <w:ilvl w:val="0"/>
          <w:numId w:val="217"/>
        </w:numPr>
        <w:spacing w:lineRule="exact" w:line="288" w:before="0" w:after="60"/>
        <w:rPr/>
      </w:pPr>
      <w:r>
        <w:rPr>
          <w:rFonts w:eastAsia="Cambria" w:cs="Cambria"/>
          <w:b/>
          <w:bCs/>
          <w:i w:val="false"/>
          <w:iCs w:val="false"/>
          <w:sz w:val="22"/>
          <w:szCs w:val="22"/>
        </w:rPr>
        <w:t>Deutscher Kinder-ePass.</w:t>
      </w:r>
      <w:r>
        <w:rPr>
          <w:rFonts w:eastAsia="Cambria" w:cs="Cambria"/>
          <w:b w:val="false"/>
          <w:bCs w:val="false"/>
          <w:i w:val="false"/>
          <w:iCs w:val="false"/>
          <w:sz w:val="22"/>
          <w:szCs w:val="22"/>
        </w:rPr>
        <w:t xml:space="preserve"> Den Kinderreisepass gibt es seit 1. Januar 2024 nicht mehr. Das Konsulat verlangt laut Auswärtigem Amt beide Eltern und das Kind persönlich, dazu US-Geburtsurkunde, Elternpässe und Heiratsurkunde; rechne mit sechs bis acht Wochen.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Staatsangehörigkeit deines Kindes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in den USA ein Kind zur Welt bringt, verschafft sich damit selbst ein Bleiberecht. Tatsächlich gilt das nur für das Kind: Ein Kind, das auf US-Boden geboren wird, ist mit der Geburt US-Bürger, auch wenn die Eltern nur ein H-1B-, L-1-, E-2- oder Studentenvisum haben. Die Regierung wollte das Anfang 2025 mit der Executive Order 14160 ändern. Der Supreme Court erklärte sie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für verfassungswidrig, im Ergebnis mit 6 zu 3 Stimmen. Richter Kavanaugh stützte sich nur auf ein einfaches Gesetz und sieht Spielraum für den Kongress.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bislang keiner. Die Lage kann sich rasch ändern: Frage vor der Geburt deine Kanzlei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des Babys ändert nichts an deinem Status und dem deines Partners. Kinder, die im Ausland geboren werden, brauchen ein eigenes Visum (H-4), und ältere Geschwister bleiben Visa-Kinder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Staatsbürgerschaft hat auch Pflichten: Das Kind ist lebenslang steuerlich an die USA gebunden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Zugleich öffnet sie Türen, etwa die Bundes-Studienhilfe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Für Eltern mit österreichischer oder Schweizer Staatsangehörigkeit gelten eigene Regeln, die dir die Vertretung nennt.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Konsulat. Welche Urkunden im Einzelnen nötig sind, etwa mit Apostille, steht bei deinem Konsulat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Elternzeit: die Realität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kennt 14 Wochen Mutterschutz, Elterngeld und Elternzeit mit Kündigungsschutz. In den USA gibt es bundesweit nur die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tbl>
      <w:tblPr>
        <w:tblW w:w="6480" w:type="dxa"/>
        <w:jc w:val="left"/>
        <w:tblInd w:w="0" w:type="dxa"/>
        <w:tblLayout w:type="fixed"/>
        <w:tblCellMar>
          <w:top w:w="50" w:type="dxa"/>
          <w:left w:w="80" w:type="dxa"/>
          <w:bottom w:w="50" w:type="dxa"/>
          <w:right w:w="80" w:type="dxa"/>
        </w:tblCellMar>
      </w:tblPr>
      <w:tblGrid>
        <w:gridCol w:w="2039"/>
        <w:gridCol w:w="1132"/>
        <w:gridCol w:w="1635"/>
        <w:gridCol w:w="1673"/>
      </w:tblGrid>
      <w:tr>
        <w:trPr>
          <w:tblHeader w:val="true"/>
          <w:cantSplit w:val="true"/>
        </w:trPr>
        <w:tc>
          <w:tcPr>
            <w:tcW w:w="20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Lohnersatz</w:t>
            </w:r>
          </w:p>
        </w:tc>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Höchstsatz je Woche</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1.765 $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1.228,53 $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85 %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1.119 $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1.647 $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50–80 %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1.230 $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endet das Kindergeld (2026: 259 € je Kind und Monat) in der Regel mit dem Wegzug aus Deutschland, und Elterngeld setzt einen Wohnsitz dort voraus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eine längere unbezahlte Auszeit plant, klärt vorher mit Arbeitgeber und Kanzlei die Folgen für Status und Gehalt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Kosten, Wartelisten, Alternativen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Kita heißt, ist in den USA ein freier Markt: </w:t>
      </w:r>
      <w:r>
        <w:rPr>
          <w:rFonts w:eastAsia="Cambria" w:cs="Cambria"/>
          <w:b w:val="false"/>
          <w:bCs w:val="false"/>
          <w:i/>
          <w:iCs/>
          <w:sz w:val="22"/>
          <w:szCs w:val="22"/>
        </w:rPr>
        <w:t>Daycare</w:t>
      </w:r>
      <w:r>
        <w:rPr>
          <w:rFonts w:eastAsia="Cambria" w:cs="Cambria"/>
          <w:b w:val="false"/>
          <w:bCs w:val="false"/>
          <w:i w:val="false"/>
          <w:iCs w:val="false"/>
          <w:sz w:val="22"/>
          <w:szCs w:val="22"/>
        </w:rPr>
        <w:t xml:space="preserve"> oder </w:t>
      </w:r>
      <w:r>
        <w:rPr>
          <w:rFonts w:eastAsia="Cambria" w:cs="Cambria"/>
          <w:b w:val="false"/>
          <w:bCs w:val="false"/>
          <w:i/>
          <w:iCs/>
          <w:sz w:val="22"/>
          <w:szCs w:val="22"/>
        </w:rPr>
        <w:t>Child Care Center</w:t>
      </w:r>
      <w:r>
        <w:rPr>
          <w:rFonts w:eastAsia="Cambria" w:cs="Cambria"/>
          <w:b w:val="false"/>
          <w:bCs w:val="false"/>
          <w:i w:val="false"/>
          <w:iCs w:val="false"/>
          <w:sz w:val="22"/>
          <w:szCs w:val="22"/>
        </w:rPr>
        <w:t xml:space="preserve"> (Betreuungszentrum), </w:t>
      </w:r>
      <w:r>
        <w:rPr>
          <w:rFonts w:eastAsia="Cambria" w:cs="Cambria"/>
          <w:b w:val="false"/>
          <w:bCs w:val="false"/>
          <w:i/>
          <w:iCs/>
          <w:sz w:val="22"/>
          <w:szCs w:val="22"/>
        </w:rPr>
        <w:t>Preschool</w:t>
      </w:r>
      <w:r>
        <w:rPr>
          <w:rFonts w:eastAsia="Cambria" w:cs="Cambria"/>
          <w:b w:val="false"/>
          <w:bCs w:val="false"/>
          <w:i w:val="false"/>
          <w:iCs w:val="false"/>
          <w:sz w:val="22"/>
          <w:szCs w:val="22"/>
        </w:rPr>
        <w:t xml:space="preserve"> (Vorschule für 3- bis 4-Jährige) und </w:t>
      </w:r>
      <w:r>
        <w:rPr>
          <w:rFonts w:eastAsia="Cambria" w:cs="Cambria"/>
          <w:b w:val="false"/>
          <w:bCs w:val="false"/>
          <w:i/>
          <w:iCs/>
          <w:sz w:val="22"/>
          <w:szCs w:val="22"/>
        </w:rPr>
        <w:t>Pre-K</w:t>
      </w:r>
      <w:r>
        <w:rPr>
          <w:rFonts w:eastAsia="Cambria" w:cs="Cambria"/>
          <w:b w:val="false"/>
          <w:bCs w:val="false"/>
          <w:i w:val="false"/>
          <w:iCs w:val="false"/>
          <w:sz w:val="22"/>
          <w:szCs w:val="22"/>
        </w:rPr>
        <w:t xml:space="preserve"> (das Jahr vor dem </w:t>
      </w:r>
      <w:r>
        <w:rPr>
          <w:rFonts w:eastAsia="Cambria" w:cs="Cambria"/>
          <w:b w:val="false"/>
          <w:bCs w:val="false"/>
          <w:i/>
          <w:iCs/>
          <w:sz w:val="22"/>
          <w:szCs w:val="22"/>
        </w:rPr>
        <w:t>Kindergarten</w:t>
      </w:r>
      <w:r>
        <w:rPr>
          <w:rFonts w:eastAsia="Cambria" w:cs="Cambria"/>
          <w:b w:val="false"/>
          <w:bCs w:val="false"/>
          <w:i w:val="false"/>
          <w:iCs w:val="false"/>
          <w:sz w:val="22"/>
          <w:szCs w:val="22"/>
        </w:rPr>
        <w:t>, der in den USA mit fünf Jahren beginnt;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Durchschnittspreis lag 2025 bei 13.184 $ im Jahr, 23 % mehr als 2021 (Child Care Aware of America). Für Säuglinge in Zentren reicht die Spanne nach EPI-Daten von rund 6.900 $ in Mississippi bis über 20.000 $ in Washington D.C., Massachusetts, Minnesota oder Kalifornien.</w:t>
      </w:r>
    </w:p>
    <w:tbl>
      <w:tblPr>
        <w:tblW w:w="6480" w:type="dxa"/>
        <w:jc w:val="left"/>
        <w:tblInd w:w="0" w:type="dxa"/>
        <w:tblLayout w:type="fixed"/>
        <w:tblCellMar>
          <w:top w:w="50" w:type="dxa"/>
          <w:left w:w="80" w:type="dxa"/>
          <w:bottom w:w="50" w:type="dxa"/>
          <w:right w:w="80" w:type="dxa"/>
        </w:tblCellMar>
      </w:tblPr>
      <w:tblGrid>
        <w:gridCol w:w="2496"/>
        <w:gridCol w:w="1469"/>
        <w:gridCol w:w="2515"/>
      </w:tblGrid>
      <w:tr>
        <w:trPr>
          <w:tblHeader w:val="true"/>
          <w:cantSplit w:val="true"/>
        </w:trPr>
        <w:tc>
          <w:tcPr>
            <w:tcW w:w="24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(2025/26)</w:t>
            </w:r>
          </w:p>
        </w:tc>
        <w:tc>
          <w:tcPr>
            <w:tcW w:w="25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Betreuungszentrum</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13.184 $ pro Jahr</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schrumpft, Wartelisten</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Tagesmutter im Privathaus (</w:t>
            </w:r>
            <w:r>
              <w:rPr>
                <w:rFonts w:eastAsia="Cambria" w:cs="Cambria"/>
                <w:b w:val="false"/>
                <w:bCs w:val="false"/>
                <w:i/>
                <w:iCs/>
                <w:sz w:val="18"/>
                <w:szCs w:val="18"/>
              </w:rPr>
              <w:t>Family Child Care</w:t>
            </w:r>
            <w:r>
              <w:rPr>
                <w:rFonts w:eastAsia="Cambria" w:cs="Cambria"/>
                <w:b w:val="false"/>
                <w:bCs w:val="false"/>
                <w:i w:val="false"/>
                <w:iCs w:val="false"/>
                <w:sz w:val="18"/>
                <w:szCs w:val="18"/>
              </w:rPr>
              <w: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günstiger als Zentrum</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wächst leicht (+1,4 % 2025)</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Nanny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21,75 $ pro Stunde, ca. 870 $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30,20 $, San Antonio 18,71 $</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1.785 $ pro Monat plus Kost und Logis</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Familien mit US-Pass oder Green Card</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After-School</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200–450 $ pro Monat</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Programme meist günstiger</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Sommercamp (Tagescamp)</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200–500 $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YMCA und Gemeindeprogramme günstiger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über Wartelisten von mehreren Monaten zu bekommen; melde dich schon in der Schwangerschaft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Au-pairs (J-1) gibt es nur für Gastfamilien, die US-Bürger oder Green-Card-Inhaber sind. Mit H-1B, L-1 oder E-2 bist du ausgeschlossen (State Department). Bleiben Nanny, Zentrum, Tagesmutter oder eine Nanny-Teilung mit einer Nachbarfamilie.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Arbeitgeber bieten ein </w:t>
            </w:r>
            <w:r>
              <w:rPr>
                <w:rFonts w:eastAsia="Cambria" w:cs="Cambria"/>
                <w:b w:val="false"/>
                <w:bCs w:val="false"/>
                <w:i/>
                <w:iCs/>
                <w:sz w:val="20"/>
                <w:szCs w:val="20"/>
              </w:rPr>
              <w:t>Dependent Care FSA</w:t>
            </w:r>
            <w:r>
              <w:rPr>
                <w:rFonts w:eastAsia="Cambria" w:cs="Cambria"/>
                <w:b w:val="false"/>
                <w:bCs w:val="false"/>
                <w:i w:val="false"/>
                <w:iCs w:val="false"/>
                <w:sz w:val="20"/>
                <w:szCs w:val="20"/>
              </w:rPr>
              <w:t xml:space="preserve"> an: Du zahlst Betreuungskosten aus dem Bruttolohn bis zu einer jährlichen Höchstgrenze und sparst Steuern. Frage die Personalabteilung nach der aktuellen Höhe und melde dich rechtzeitig an; die Geburt eines Kindes zählt meist als Anlass für eine Anmeldung außerhalb der Wahlphase.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Erziehung und Sicherheit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Kindheit ist stärker organisiert als deutsche. Vier Beobachtungen aus dem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 verabreden sich per </w:t>
      </w:r>
      <w:r>
        <w:rPr>
          <w:rFonts w:eastAsia="Cambria" w:cs="Cambria"/>
          <w:b w:val="false"/>
          <w:bCs w:val="false"/>
          <w:i/>
          <w:iCs/>
          <w:sz w:val="22"/>
          <w:szCs w:val="22"/>
        </w:rPr>
        <w:t>Playdate</w:t>
      </w:r>
      <w:r>
        <w:rPr>
          <w:rFonts w:eastAsia="Cambria" w:cs="Cambria"/>
          <w:b w:val="false"/>
          <w:bCs w:val="false"/>
          <w:i w:val="false"/>
          <w:iCs w:val="false"/>
          <w:sz w:val="22"/>
          <w:szCs w:val="22"/>
        </w:rPr>
        <w:t>, meist zwischen den Eltern abgesprochen; unangemeldetes Klingeln bei Nachbarn ist seltener als in Deutschland. Ein spontaner Nachmittag ohne Kalendereintrag kommt manchmal einer kleinen Grenzüberschreitung gleich.</w:t>
      </w:r>
    </w:p>
    <w:p>
      <w:pPr>
        <w:pStyle w:val="ListParagraph"/>
        <w:numPr>
          <w:ilvl w:val="0"/>
          <w:numId w:val="1"/>
        </w:numPr>
        <w:spacing w:lineRule="exact" w:line="288" w:before="0" w:after="60"/>
        <w:rPr/>
      </w:pPr>
      <w:r>
        <w:rPr>
          <w:rFonts w:eastAsia="Cambria" w:cs="Cambria"/>
          <w:b w:val="false"/>
          <w:bCs w:val="false"/>
          <w:i w:val="false"/>
          <w:iCs w:val="false"/>
          <w:sz w:val="22"/>
          <w:szCs w:val="22"/>
        </w:rPr>
        <w:t>Viele Kinder werden gefahren oder fahren mit dem Schulbus; in Vororten ohne Gehwege ist der Fußweg oft keine Option.</w:t>
      </w:r>
    </w:p>
    <w:p>
      <w:pPr>
        <w:pStyle w:val="ListParagraph"/>
        <w:numPr>
          <w:ilvl w:val="0"/>
          <w:numId w:val="1"/>
        </w:numPr>
        <w:spacing w:lineRule="exact" w:line="288" w:before="0" w:after="60"/>
        <w:rPr/>
      </w:pPr>
      <w:r>
        <w:rPr>
          <w:rFonts w:eastAsia="Cambria" w:cs="Cambria"/>
          <w:b w:val="false"/>
          <w:bCs w:val="false"/>
          <w:i w:val="false"/>
          <w:iCs w:val="false"/>
          <w:sz w:val="22"/>
          <w:szCs w:val="22"/>
        </w:rPr>
        <w:t>Sport, Musik und Ferienprogramme werden saisonweise gebucht und bezahlt.</w:t>
      </w:r>
    </w:p>
    <w:p>
      <w:pPr>
        <w:pStyle w:val="ListParagraph"/>
        <w:numPr>
          <w:ilvl w:val="0"/>
          <w:numId w:val="1"/>
        </w:numPr>
        <w:spacing w:lineRule="exact" w:line="288" w:before="0" w:after="60"/>
        <w:rPr/>
      </w:pPr>
      <w:r>
        <w:rPr>
          <w:rFonts w:eastAsia="Cambria" w:cs="Cambria"/>
          <w:b w:val="false"/>
          <w:bCs w:val="false"/>
          <w:i w:val="false"/>
          <w:iCs w:val="false"/>
          <w:sz w:val="22"/>
          <w:szCs w:val="22"/>
        </w:rPr>
        <w:t>Lehrkräfte, Ärzte und Erzieher sind zur Meldung von Verdachtsfällen verpflichtet (</w:t>
      </w:r>
      <w:r>
        <w:rPr>
          <w:rFonts w:eastAsia="Cambria" w:cs="Cambria"/>
          <w:b w:val="false"/>
          <w:bCs w:val="false"/>
          <w:i/>
          <w:iCs/>
          <w:sz w:val="22"/>
          <w:szCs w:val="22"/>
        </w:rPr>
        <w:t>Mandated Reporter</w:t>
      </w:r>
      <w:r>
        <w:rPr>
          <w:rFonts w:eastAsia="Cambria" w:cs="Cambria"/>
          <w:b w:val="false"/>
          <w:bCs w:val="false"/>
          <w:i w:val="false"/>
          <w:iCs w:val="false"/>
          <w:sz w:val="22"/>
          <w:szCs w:val="22"/>
        </w:rPr>
        <w:t>). Die Kinderschutzbehörde (</w:t>
      </w:r>
      <w:r>
        <w:rPr>
          <w:rFonts w:eastAsia="Cambria" w:cs="Cambria"/>
          <w:b w:val="false"/>
          <w:bCs w:val="false"/>
          <w:i/>
          <w:iCs/>
          <w:sz w:val="22"/>
          <w:szCs w:val="22"/>
        </w:rPr>
        <w:t>Child Protective Services</w:t>
      </w:r>
      <w:r>
        <w:rPr>
          <w:rFonts w:eastAsia="Cambria" w:cs="Cambria"/>
          <w:b w:val="false"/>
          <w:bCs w:val="false"/>
          <w:i w:val="false"/>
          <w:iCs w:val="false"/>
          <w:sz w:val="22"/>
          <w:szCs w:val="22"/>
        </w:rPr>
        <w:t>, CPS) jedes Staates geht auch Hinweisen von Nachbarn nach.</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Sicherheit unterscheiden sich vor allem vier Punkte:</w:t>
      </w:r>
    </w:p>
    <w:p>
      <w:pPr>
        <w:pStyle w:val="ListParagraph"/>
        <w:numPr>
          <w:ilvl w:val="0"/>
          <w:numId w:val="1"/>
        </w:numPr>
        <w:spacing w:lineRule="exact" w:line="288" w:before="0" w:after="60"/>
        <w:rPr/>
      </w:pPr>
      <w:r>
        <w:rPr>
          <w:rFonts w:eastAsia="Cambria" w:cs="Cambria"/>
          <w:b/>
          <w:bCs/>
          <w:i w:val="false"/>
          <w:iCs w:val="false"/>
          <w:sz w:val="22"/>
          <w:szCs w:val="22"/>
        </w:rPr>
        <w:t>Autositz.</w:t>
      </w:r>
      <w:r>
        <w:rPr>
          <w:rFonts w:eastAsia="Cambria" w:cs="Cambria"/>
          <w:b w:val="false"/>
          <w:bCs w:val="false"/>
          <w:i w:val="false"/>
          <w:iCs w:val="false"/>
          <w:sz w:val="22"/>
          <w:szCs w:val="22"/>
        </w:rP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rFonts w:eastAsia="Cambria" w:cs="Cambria"/>
          <w:b w:val="false"/>
          <w:bCs w:val="false"/>
          <w:i/>
          <w:iCs/>
          <w:sz w:val="22"/>
          <w:szCs w:val="22"/>
        </w:rPr>
        <w:t>Booster</w:t>
      </w:r>
      <w:r>
        <w:rPr>
          <w:rFonts w:eastAsia="Cambria" w:cs="Cambria"/>
          <w:b w:val="false"/>
          <w:bCs w:val="false"/>
          <w:i w:val="false"/>
          <w:iCs w:val="false"/>
          <w:sz w:val="22"/>
          <w:szCs w:val="22"/>
        </w:rPr>
        <w:t>) bis etwa 4 ft 9 in (ca. 1,45 m) Körpergröße und Kinder bis 12 Jahre möglichst auf der Rückbank. Deutsche ECE-Sitze erfüllen die US-Norm FMVSS 213 nicht; kaufe den Sitz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Fahrradhelm.</w:t>
      </w:r>
      <w:r>
        <w:rPr>
          <w:rFonts w:eastAsia="Cambria" w:cs="Cambria"/>
          <w:b w:val="false"/>
          <w:bCs w:val="false"/>
          <w:i w:val="false"/>
          <w:iCs w:val="false"/>
          <w:sz w:val="22"/>
          <w:szCs w:val="22"/>
        </w:rPr>
        <w:t xml:space="preserve"> Rund 22 Staaten inklusive DC haben ein landesweites Helmgesetz, meist für Minderjährige (Altersgrenzen 12 bis 18), dazu über 200 lokale Vorschriften (BHSI, August 2026). Auch ohne Pflicht ist der Helm sinnvoll.</w:t>
      </w:r>
    </w:p>
    <w:p>
      <w:pPr>
        <w:pStyle w:val="ListParagraph"/>
        <w:numPr>
          <w:ilvl w:val="0"/>
          <w:numId w:val="1"/>
        </w:numPr>
        <w:spacing w:lineRule="exact" w:line="288" w:before="0" w:after="60"/>
        <w:rPr/>
      </w:pPr>
      <w:r>
        <w:rPr>
          <w:rFonts w:eastAsia="Cambria" w:cs="Cambria"/>
          <w:b/>
          <w:bCs/>
          <w:i w:val="false"/>
          <w:iCs w:val="false"/>
          <w:sz w:val="22"/>
          <w:szCs w:val="22"/>
        </w:rPr>
        <w:t>Pool.</w:t>
      </w:r>
      <w:r>
        <w:rPr>
          <w:rFonts w:eastAsia="Cambria" w:cs="Cambria"/>
          <w:b w:val="false"/>
          <w:bCs w:val="false"/>
          <w:i w:val="false"/>
          <w:iCs w:val="false"/>
          <w:sz w:val="22"/>
          <w:szCs w:val="22"/>
        </w:rP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Schulbus.</w:t>
      </w:r>
      <w:r>
        <w:rPr>
          <w:rFonts w:eastAsia="Cambria" w:cs="Cambria"/>
          <w:b w:val="false"/>
          <w:bCs w:val="false"/>
          <w:i w:val="false"/>
          <w:iCs w:val="false"/>
          <w:sz w:val="22"/>
          <w:szCs w:val="22"/>
        </w:rPr>
        <w:t xml:space="preserve"> Blinkt der Bus rot und fährt den Stoparm aus, musst du halten (Gesetze in allen Staaten, je nach Straße auch im Gegenverkehr). Der Bus gilt laut NHTSA als über 70-mal sicherer als die Autofahrt.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du das Thema Waffen im Haushalt bei Verabredungen ansprichst,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allein lassen: Rechtslage und Kulturkonflikt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w:t>
      </w:r>
      <w:r>
        <w:rPr>
          <w:rFonts w:eastAsia="Cambria" w:cs="Cambria"/>
          <w:b w:val="false"/>
          <w:bCs w:val="false"/>
          <w:i/>
          <w:iCs/>
          <w:sz w:val="22"/>
          <w:szCs w:val="22"/>
        </w:rPr>
        <w:t>Reasonable Childhood Independence</w:t>
      </w:r>
      <w:r>
        <w:rPr>
          <w:rFonts w:eastAsia="Cambria" w:cs="Cambria"/>
          <w:b w:val="false"/>
          <w:bCs w:val="false"/>
          <w:i w:val="false"/>
          <w:iCs w:val="false"/>
          <w:sz w:val="22"/>
          <w:szCs w:val="22"/>
        </w:rPr>
        <w:t xml:space="preserve"> erlassen, die angemessene Selbständigkeit ausdrücklich nicht als Vernachlässigung werten, zuerst Utah, später u. a. Texas, Colorado, Virginia und Florida (Let Grow, Stand April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Lena (9) ging in Stuttgart seit der ersten Klasse allein zur Schule. In ihrem Vorort bei Detroit fährt sie mit dem Schulbus; als sie an einem Samstag allein 500 Meter zu einer Klassenkameradin radelt, klingelt eine besorgte Nachbarin bei Anna. „Is everything okay? I saw her riding alone“ – freundlich, aber bestimmt. Anna, die mit H-4-Status nicht arbeiten darf, liest die Merkblätter von Staat und Schuldistrikt, bedankt sich für die Aufmerksamkeit und einigt sich mit Lena auf eine Ankunftsnachricht per Handy und eine feste Heimzeit. Jonas (5) bleibt vorerst nirgends allein.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bundesweite Altersgrenze. Entscheidend sind Staat, Lebensjahr, Reife und Umstände. Wähle bis zum Kennenlernen der örtlichen Gepflogenheiten die vorsichtigere Variante und sprich mit Nachbarn und Schule.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Teenager: Führerschein, Sport, Alkohol, Social Media</w:t>
      </w:r>
    </w:p>
    <w:p>
      <w:pPr>
        <w:pStyle w:val="Normal"/>
        <w:keepNext w:val="false"/>
        <w:keepLines w:val="false"/>
        <w:spacing w:lineRule="exact" w:line="288" w:before="0" w:after="140"/>
        <w:jc w:val="left"/>
        <w:rPr/>
      </w:pPr>
      <w:r>
        <w:rPr>
          <w:rFonts w:eastAsia="Cambria" w:cs="Cambria"/>
          <w:b/>
          <w:bCs/>
          <w:i w:val="false"/>
          <w:iCs w:val="false"/>
          <w:sz w:val="22"/>
          <w:szCs w:val="22"/>
        </w:rPr>
        <w:t>Führerschein mit 16.</w:t>
      </w:r>
      <w:r>
        <w:rPr>
          <w:rFonts w:eastAsia="Cambria" w:cs="Cambria"/>
          <w:b w:val="false"/>
          <w:bCs w:val="false"/>
          <w:i w:val="false"/>
          <w:iCs w:val="false"/>
          <w:sz w:val="22"/>
          <w:szCs w:val="22"/>
        </w:rPr>
        <w:t xml:space="preserve"> In den meisten Staaten beginnt der Weg (</w:t>
      </w:r>
      <w:r>
        <w:rPr>
          <w:rFonts w:eastAsia="Cambria" w:cs="Cambria"/>
          <w:b w:val="false"/>
          <w:bCs w:val="false"/>
          <w:i/>
          <w:iCs/>
          <w:sz w:val="22"/>
          <w:szCs w:val="22"/>
        </w:rPr>
        <w:t>Graduated Driver Licensing</w:t>
      </w:r>
      <w:r>
        <w:rPr>
          <w:rFonts w:eastAsia="Cambria" w:cs="Cambria"/>
          <w:b w:val="false"/>
          <w:bCs w:val="false"/>
          <w:i w:val="false"/>
          <w:iCs w:val="false"/>
          <w:sz w:val="22"/>
          <w:szCs w:val="22"/>
        </w:rPr>
        <w:t>, GDL) mit einem Lernführerschein (</w:t>
      </w:r>
      <w:r>
        <w:rPr>
          <w:rFonts w:eastAsia="Cambria" w:cs="Cambria"/>
          <w:b w:val="false"/>
          <w:bCs w:val="false"/>
          <w:i/>
          <w:iCs/>
          <w:sz w:val="22"/>
          <w:szCs w:val="22"/>
        </w:rPr>
        <w:t>Learner’s Permit</w:t>
      </w:r>
      <w:r>
        <w:rPr>
          <w:rFonts w:eastAsia="Cambria" w:cs="Cambria"/>
          <w:b w:val="false"/>
          <w:bCs w:val="false"/>
          <w:i w:val="false"/>
          <w:iCs w:val="false"/>
          <w:sz w:val="22"/>
          <w:szCs w:val="22"/>
        </w:rP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Sport.</w:t>
      </w:r>
      <w:r>
        <w:rPr>
          <w:rFonts w:eastAsia="Cambria" w:cs="Cambria"/>
          <w:b w:val="false"/>
          <w:bCs w:val="false"/>
          <w:i w:val="false"/>
          <w:iCs w:val="false"/>
          <w:sz w:val="22"/>
          <w:szCs w:val="22"/>
        </w:rPr>
        <w:t xml:space="preserve"> Schulmannschaften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und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prägen das Schulleben. Die Aufnahme läuft meist über </w:t>
      </w:r>
      <w:r>
        <w:rPr>
          <w:rFonts w:eastAsia="Cambria" w:cs="Cambria"/>
          <w:b w:val="false"/>
          <w:bCs w:val="false"/>
          <w:i/>
          <w:iCs/>
          <w:sz w:val="22"/>
          <w:szCs w:val="22"/>
        </w:rPr>
        <w:t>Tryouts</w:t>
      </w:r>
      <w:r>
        <w:rPr>
          <w:rFonts w:eastAsia="Cambria" w:cs="Cambria"/>
          <w:b w:val="false"/>
          <w:bCs w:val="false"/>
          <w:i w:val="false"/>
          <w:iCs w:val="false"/>
          <w:sz w:val="22"/>
          <w:szCs w:val="22"/>
        </w:rPr>
        <w:t xml:space="preserve"> vor der Saison, dazu kommen oft eine Sporttauglichkeitsuntersuchung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in manchen Distrikten eine Teilnahmegebühr. Frage bei der Ankunft nach den Terminen, damit die Saison nicht ohne dein Kind beginnt.</w:t>
      </w:r>
    </w:p>
    <w:p>
      <w:pPr>
        <w:pStyle w:val="Normal"/>
        <w:keepNext w:val="false"/>
        <w:keepLines w:val="false"/>
        <w:spacing w:lineRule="exact" w:line="288" w:before="0" w:after="140"/>
        <w:jc w:val="left"/>
        <w:rPr/>
      </w:pPr>
      <w:r>
        <w:rPr>
          <w:rFonts w:eastAsia="Cambria" w:cs="Cambria"/>
          <w:b/>
          <w:bCs/>
          <w:i w:val="false"/>
          <w:iCs w:val="false"/>
          <w:sz w:val="22"/>
          <w:szCs w:val="22"/>
        </w:rPr>
        <w:t>Alkohol ab 21.</w:t>
      </w:r>
      <w:r>
        <w:rPr>
          <w:rFonts w:eastAsia="Cambria" w:cs="Cambria"/>
          <w:b w:val="false"/>
          <w:bCs w:val="false"/>
          <w:i w:val="false"/>
          <w:iCs w:val="false"/>
          <w:sz w:val="22"/>
          <w:szCs w:val="22"/>
        </w:rPr>
        <w:t xml:space="preserve"> Bier und Wein mit 16 sind in Deutschland erlaubt, in den USA gilt bundesweit die Grenze 21.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Social Media und Smartphones.</w:t>
      </w:r>
      <w:r>
        <w:rPr>
          <w:rFonts w:eastAsia="Cambria" w:cs="Cambria"/>
          <w:b w:val="false"/>
          <w:bCs w:val="false"/>
          <w:i w:val="false"/>
          <w:iCs w:val="false"/>
          <w:sz w:val="22"/>
          <w:szCs w:val="22"/>
        </w:rPr>
        <w:t xml:space="preserve"> Das Bundesgesetz COPPA verlangt für die Datenerhebung bei Kindern unter 13 Jahren die Einwilligung der Eltern; deshalb setzen die großen Netzwerke die Mindestgrenze bei 13. Darüber hinaus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Klassen 10 bis 12: der schwierige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härtesten trifft der Wechsel Jugendliche in Klasse 10 bis 12. Der Abschluss (</w:t>
      </w:r>
      <w:r>
        <w:rPr>
          <w:rFonts w:eastAsia="Cambria" w:cs="Cambria"/>
          <w:b w:val="false"/>
          <w:bCs w:val="false"/>
          <w:i/>
          <w:iCs/>
          <w:sz w:val="22"/>
          <w:szCs w:val="22"/>
        </w:rPr>
        <w:t>High School Diploma</w:t>
      </w:r>
      <w:r>
        <w:rPr>
          <w:rFonts w:eastAsia="Cambria" w:cs="Cambria"/>
          <w:b w:val="false"/>
          <w:bCs w:val="false"/>
          <w:i w:val="false"/>
          <w:iCs w:val="false"/>
          <w:sz w:val="22"/>
          <w:szCs w:val="22"/>
        </w:rPr>
        <w:t>) setzt Credits in festen Fächern voraus, meist 20 bis 24, je nach Staat und Distrikt; ein Zuzug in Klasse 11 oder 12 kann Lücken bei Pflichtkursen erzeugen, etwa in US-Geschichte. Der Notenschnitt (</w:t>
      </w:r>
      <w:r>
        <w:rPr>
          <w:rFonts w:eastAsia="Cambria" w:cs="Cambria"/>
          <w:b w:val="false"/>
          <w:bCs w:val="false"/>
          <w:i/>
          <w:iCs/>
          <w:sz w:val="22"/>
          <w:szCs w:val="22"/>
        </w:rPr>
        <w:t>GPA</w:t>
      </w:r>
      <w:r>
        <w:rPr>
          <w:rFonts w:eastAsia="Cambria" w:cs="Cambria"/>
          <w:b w:val="false"/>
          <w:bCs w:val="false"/>
          <w:i w:val="false"/>
          <w:iCs w:val="false"/>
          <w:sz w:val="22"/>
          <w:szCs w:val="22"/>
        </w:rPr>
        <w:t>) zählt seit Klasse 9. Bitte am ersten Tag um ein Gespräch mit dem Beratungslehrer (</w:t>
      </w:r>
      <w:r>
        <w:rPr>
          <w:rFonts w:eastAsia="Cambria" w:cs="Cambria"/>
          <w:b w:val="false"/>
          <w:bCs w:val="false"/>
          <w:i/>
          <w:iCs/>
          <w:sz w:val="22"/>
          <w:szCs w:val="22"/>
        </w:rPr>
        <w:t>Counselor</w:t>
      </w:r>
      <w:r>
        <w:rPr>
          <w:rFonts w:eastAsia="Cambria" w:cs="Cambria"/>
          <w:b w:val="false"/>
          <w:bCs w:val="false"/>
          <w:i w:val="false"/>
          <w:iCs w:val="false"/>
          <w:sz w:val="22"/>
          <w:szCs w:val="22"/>
        </w:rPr>
        <w:t>): Welche Zeugnisse werden angerechnet, welche Kurse fehlen, welche Tests stehen an? Zur Sprachförderung siehe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Bleibt die Familie nur wenige Jahre, kann eine Deutsche Auslandsschule die Alternative sein (2026/27 grob 27.000–36.000 $ im Jahr, Abschluss DIA plus US-Diploma;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College-Vorbereitung</w:t>
      </w:r>
    </w:p>
    <w:p>
      <w:pPr>
        <w:pStyle w:val="Normal"/>
        <w:keepNext w:val="false"/>
        <w:keepLines w:val="false"/>
        <w:spacing w:lineRule="exact" w:line="288" w:before="0" w:after="140"/>
        <w:jc w:val="left"/>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Die Noten zählen ab Klasse 9. In Klasse 10 und 11 folgen die Tests, in Klasse 12 die Bewerbung, meist über die </w:t>
      </w:r>
      <w:r>
        <w:rPr>
          <w:rFonts w:eastAsia="Cambria" w:cs="Cambria"/>
          <w:b w:val="false"/>
          <w:bCs w:val="false"/>
          <w:i/>
          <w:iCs/>
          <w:sz w:val="22"/>
          <w:szCs w:val="22"/>
        </w:rPr>
        <w:t>Common App</w:t>
      </w:r>
      <w:r>
        <w:rPr>
          <w:rFonts w:eastAsia="Cambria" w:cs="Cambria"/>
          <w:b w:val="false"/>
          <w:bCs w:val="false"/>
          <w:i w:val="false"/>
          <w:iCs w:val="false"/>
          <w:sz w:val="22"/>
          <w:szCs w:val="22"/>
        </w:rPr>
        <w:t xml:space="preserve"> mit Fristen zum 1. November (frühe Bewerbung) und im Januar (reguläre Bewerbung), je nach Hochschule. Der digitale </w:t>
      </w:r>
      <w:r>
        <w:rPr>
          <w:rFonts w:eastAsia="Cambria" w:cs="Cambria"/>
          <w:b w:val="false"/>
          <w:bCs w:val="false"/>
          <w:i/>
          <w:iCs/>
          <w:sz w:val="22"/>
          <w:szCs w:val="22"/>
        </w:rPr>
        <w:t>SAT</w:t>
      </w:r>
      <w:r>
        <w:rPr>
          <w:rFonts w:eastAsia="Cambria" w:cs="Cambria"/>
          <w:b w:val="false"/>
          <w:bCs w:val="false"/>
          <w:i w:val="false"/>
          <w:iCs w:val="false"/>
          <w:sz w:val="22"/>
          <w:szCs w:val="22"/>
        </w:rPr>
        <w:t xml:space="preserve"> (400–1.600 Punkte, rund 2 Std. 14 Min., zuletzt 68 $) und der </w:t>
      </w:r>
      <w:r>
        <w:rPr>
          <w:rFonts w:eastAsia="Cambria" w:cs="Cambria"/>
          <w:b w:val="false"/>
          <w:bCs w:val="false"/>
          <w:i/>
          <w:iCs/>
          <w:sz w:val="22"/>
          <w:szCs w:val="22"/>
        </w:rPr>
        <w:t>ACT</w:t>
      </w:r>
      <w:r>
        <w:rPr>
          <w:rFonts w:eastAsia="Cambria" w:cs="Cambria"/>
          <w:b w:val="false"/>
          <w:bCs w:val="false"/>
          <w:i w:val="false"/>
          <w:iCs w:val="false"/>
          <w:sz w:val="22"/>
          <w:szCs w:val="22"/>
        </w:rPr>
        <w:t xml:space="preserve">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Die Tabelle zeigt die Listenpreise (</w:t>
      </w:r>
      <w:r>
        <w:rPr>
          <w:rFonts w:eastAsia="Cambria" w:cs="Cambria"/>
          <w:b w:val="false"/>
          <w:bCs w:val="false"/>
          <w:i/>
          <w:iCs/>
          <w:sz w:val="22"/>
          <w:szCs w:val="22"/>
        </w:rPr>
        <w:t>Sticker Price</w:t>
      </w:r>
      <w:r>
        <w:rPr>
          <w:rFonts w:eastAsia="Cambria" w:cs="Cambria"/>
          <w:b w:val="false"/>
          <w:bCs w:val="false"/>
          <w:i w:val="false"/>
          <w:iCs w:val="false"/>
          <w:sz w:val="22"/>
          <w:szCs w:val="22"/>
        </w:rPr>
        <w:t>) des Studienjahrs 2025–26 (College Board):</w:t>
      </w:r>
    </w:p>
    <w:tbl>
      <w:tblPr>
        <w:tblW w:w="6480" w:type="dxa"/>
        <w:jc w:val="left"/>
        <w:tblInd w:w="0" w:type="dxa"/>
        <w:tblLayout w:type="fixed"/>
        <w:tblCellMar>
          <w:top w:w="50" w:type="dxa"/>
          <w:left w:w="80" w:type="dxa"/>
          <w:bottom w:w="50" w:type="dxa"/>
          <w:right w:w="80" w:type="dxa"/>
        </w:tblCellMar>
      </w:tblPr>
      <w:tblGrid>
        <w:gridCol w:w="2148"/>
        <w:gridCol w:w="1351"/>
        <w:gridCol w:w="1105"/>
        <w:gridCol w:w="1875"/>
      </w:tblGrid>
      <w:tr>
        <w:trPr>
          <w:tblHeader w:val="true"/>
          <w:cantSplit w:val="true"/>
        </w:trPr>
        <w:tc>
          <w:tcPr>
            <w:tcW w:w="21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Hochschultyp</w:t>
            </w:r>
          </w:p>
        </w:tc>
        <w:tc>
          <w:tcPr>
            <w:tcW w:w="13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Gebühren</w:t>
            </w:r>
          </w:p>
        </w:tc>
        <w:tc>
          <w:tcPr>
            <w:tcW w:w="1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Wohnen und Essen</w:t>
            </w:r>
          </w:p>
        </w:tc>
        <w:tc>
          <w:tcPr>
            <w:tcW w:w="18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Gesamtbudget</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(Bezirk, Pendler)</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10.850 $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Landeskind</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30.990 $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von außerhalb</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31.880 $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50.920 $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gemeinnützige Hochschule</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15.920 $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65.470 $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Stipendien liegt der tatsächliche Preis (</w:t>
      </w:r>
      <w:r>
        <w:rPr>
          <w:rFonts w:eastAsia="Cambria" w:cs="Cambria"/>
          <w:b w:val="false"/>
          <w:bCs w:val="false"/>
          <w:i/>
          <w:iCs/>
          <w:sz w:val="22"/>
          <w:szCs w:val="22"/>
        </w:rPr>
        <w:t>Net Price</w:t>
      </w:r>
      <w:r>
        <w:rPr>
          <w:rFonts w:eastAsia="Cambria" w:cs="Cambria"/>
          <w:b w:val="false"/>
          <w:bCs w:val="false"/>
          <w:i w:val="false"/>
          <w:iCs w:val="false"/>
          <w:sz w:val="22"/>
          <w:szCs w:val="22"/>
        </w:rPr>
        <w:t>) niedriger. Die Gebühren staatlicher Hochschulen für Landeskinder reichen von 6.360 $ in Florida bis 18.090 $ in Vermont. An deutschen staatlichen Hochschulen zahlst du meist nur einen Semesterbeitrag im dreistelligen Euro-Bereich.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Zwei Jahre am Community College und danach der Wechsel an eine vierjährige Hochschule (Transfer) können viel sparen. Der günstige Preis gilt nur mit Wohnsitz im Bezirk, und ob Kurse angerechnet werden, klärst du vorher mit der Zielhochschule.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Finanzhilfe und Tuition.</w:t>
      </w:r>
      <w:r>
        <w:rPr>
          <w:rFonts w:eastAsia="Cambria" w:cs="Cambria"/>
          <w:b w:val="false"/>
          <w:bCs w:val="false"/>
          <w:i w:val="false"/>
          <w:iCs w:val="false"/>
          <w:sz w:val="22"/>
          <w:szCs w:val="22"/>
        </w:rP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rFonts w:eastAsia="Cambria" w:cs="Cambria"/>
          <w:b w:val="false"/>
          <w:bCs w:val="false"/>
          <w:i/>
          <w:iCs/>
          <w:sz w:val="22"/>
          <w:szCs w:val="22"/>
        </w:rPr>
        <w:t>In-State Tuition</w:t>
      </w:r>
      <w:r>
        <w:rPr>
          <w:rFonts w:eastAsia="Cambria" w:cs="Cambria"/>
          <w:b w:val="false"/>
          <w:bCs w:val="false"/>
          <w:i w:val="false"/>
          <w:iCs w:val="false"/>
          <w:sz w:val="22"/>
          <w:szCs w:val="22"/>
        </w:rPr>
        <w:t>) regelt jeder Staat selbst: Florida verlangt zwölf Monate rechtmäßigen Wohnsitz (Fla. Stat. § 1009.21), Virginia knüpft an einen einjährigen Wohnsitz (§ 23.1-502). Eigene Stipendien vergeben manche Hochschulen auch an Nicht-Staatsbürger, viele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Je nach Hochschule gelten Kinder mit temporärem Visum als </w:t>
            </w:r>
            <w:r>
              <w:rPr>
                <w:rFonts w:eastAsia="Cambria" w:cs="Cambria"/>
                <w:b w:val="false"/>
                <w:bCs w:val="false"/>
                <w:i/>
                <w:iCs/>
                <w:sz w:val="20"/>
                <w:szCs w:val="20"/>
              </w:rPr>
              <w:t>International Applicants</w:t>
            </w:r>
            <w:r>
              <w:rPr>
                <w:rFonts w:eastAsia="Cambria" w:cs="Cambria"/>
                <w:b w:val="false"/>
                <w:bCs w:val="false"/>
                <w:i w:val="false"/>
                <w:iCs w:val="false"/>
                <w:sz w:val="20"/>
                <w:szCs w:val="20"/>
              </w:rPr>
              <w:t xml:space="preserve">. Das betrifft Preisklasse, Fristen und Stipendienchancen. Nur eine erteilte Green Card ändert das, nicht der laufende Antrag. Kläre Tuition-Klasse und Berechtigung schriftlich beim </w:t>
            </w:r>
            <w:r>
              <w:rPr>
                <w:rFonts w:eastAsia="Cambria" w:cs="Cambria"/>
                <w:b w:val="false"/>
                <w:bCs w:val="false"/>
                <w:i/>
                <w:iCs/>
                <w:sz w:val="20"/>
                <w:szCs w:val="20"/>
              </w:rPr>
              <w:t>Registrar</w:t>
            </w:r>
            <w:r>
              <w:rPr>
                <w:rFonts w:eastAsia="Cambria" w:cs="Cambria"/>
                <w:b w:val="false"/>
                <w:bCs w:val="false"/>
                <w:i w:val="false"/>
                <w:iCs w:val="false"/>
                <w:sz w:val="20"/>
                <w:szCs w:val="20"/>
              </w:rPr>
              <w:t xml:space="preserve"> (Studienverwaltung), bevor du dich festlegst.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Abitur und US-Diploma.</w:t>
      </w:r>
      <w:r>
        <w:rPr>
          <w:rFonts w:eastAsia="Cambria" w:cs="Cambria"/>
          <w:b w:val="false"/>
          <w:bCs w:val="false"/>
          <w:i w:val="false"/>
          <w:iCs w:val="false"/>
          <w:sz w:val="22"/>
          <w:szCs w:val="22"/>
        </w:rP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Zulassung mit Zusatzleistungen wie Tests oder GPA, fachgebundene Zulassung, </w:t>
      </w:r>
      <w:r>
        <w:rPr>
          <w:rFonts w:eastAsia="Cambria" w:cs="Cambria"/>
          <w:b w:val="false"/>
          <w:bCs w:val="false"/>
          <w:i/>
          <w:iCs/>
          <w:sz w:val="22"/>
          <w:szCs w:val="22"/>
        </w:rPr>
        <w:t>Studienkolleg</w:t>
      </w:r>
      <w:r>
        <w:rPr>
          <w:rFonts w:eastAsia="Cambria" w:cs="Cambria"/>
          <w:b w:val="false"/>
          <w:bCs w:val="false"/>
          <w:i w:val="false"/>
          <w:iCs w:val="false"/>
          <w:sz w:val="22"/>
          <w:szCs w:val="22"/>
        </w:rP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21 endet die Kinderrolle im Einwanderungsrecht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Läuft ein Green-Card-Verfahren der Eltern, kann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das Kindesalter unter Umständen einfrieren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Beginne die Planung spätestens mit 18.</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USA geborene Kinder erhalten mit US-Pass und deutschem Pass zwei Staatsangehörigkeiten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Eigenanteil im Schnitt 2.743 $, Gesamtrechnung über 20.000 $</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Bezahlter Familienurlaub in zwölf Staaten und DC</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nur zwölf unbezahlte Wochen, erst nach zwölf Monaten im Betrieb</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mit 16 bringt früh Selbständigkeit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 im Schnitt 13.184 $ im Jahr, Wartelisten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Vielfältiges Sportangebot an den Schulen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 für Visa-Familien ausgeschlossen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als günstiger Einstieg ins Studium</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Unklare Rechtslage, wenn Kinder allein bleiben; Meldungen durch Nachbarn möglich</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lernen Englisch früh und meist rasch</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31.000–65.000 $ im Jahr, keine Bundeshilfe mit H-4</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mit deutschem Pass können in Deutschland ohne Visum studieren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H-4-Status endet mit 21</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Checkliste und nächste Schritte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Geburt: Deckungsbeginn und Wartefrist beim Arbeitgeber klären, Frauenarzt, Klinik und Kinderarzt im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Geburt: Baby innerhalb von 30 Tagen im Arbeitgeberplan anmelden (Marktplatz: 60 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Mehrere beglaubigte Geburtsurkunden bestellen und den Eingang der SSN-Karte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US-Pass und deutschen Kinder-ePass beantragen, die Beurkundung der Geburt beim Konsulat einleiten.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FMLA-Anspruch und das Programm für bezahlten Familienurlaub deines Staates bei Arbeitgeber und Landesbehörde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früh suchen (Warteliste) und ein Dependent Care FSA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Autositz in den USA kaufen, Pool sichern, Helmregeln am Wohnort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des Staates und des Schuldistrikts zum Alleinlassen und zum Schulweg nachlesen.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16. Geburtstag Führerscheinregeln des Staates und ein Versicherungsangebot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Klasse 9 mit dem Counselor Credits, GPA und Tests besprechen und Wege für ein Studium in Deutschland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Spätestens mit 18 In-State-Tuition und FAFSA-Berechtigung schriftlich klären und den Statuswechsel vor dem 21. Geburtstag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Supreme Court of the United States — Trump v. Barbara, Nr. 25-365 (</w:t>
      </w:r>
      <w:hyperlink r:id="rId359">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Auslandsvertretungen — Geburtsbeurkundung, Pässe, Staatsangehörigkeit (</w:t>
      </w:r>
      <w:hyperlink r:id="rId360">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US-Arbeitsministerium — FMLA (</w:t>
      </w:r>
      <w:hyperlink r:id="rId361">
        <w:r>
          <w:rPr>
            <w:rStyle w:val="ListLabel113"/>
            <w:rFonts w:eastAsia="Cambria" w:cs="Cambria"/>
            <w:b w:val="false"/>
            <w:bCs w:val="false"/>
            <w:i w:val="false"/>
            <w:iCs w:val="false"/>
            <w:color w:val="0563C1"/>
            <w:sz w:val="22"/>
            <w:szCs w:val="22"/>
            <w:u w:val="single"/>
          </w:rPr>
          <w:t>dol.gov/agencies/whd/fmla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und Angebot der Kinderbetreuung (</w:t>
      </w:r>
      <w:hyperlink r:id="rId362">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Au-pair-Programm (</w:t>
      </w:r>
      <w:hyperlink r:id="rId363">
        <w:r>
          <w:rPr>
            <w:rStyle w:val="ListLabel113"/>
            <w:rFonts w:eastAsia="Cambria" w:cs="Cambria"/>
            <w:b w:val="false"/>
            <w:bCs w:val="false"/>
            <w:i w:val="false"/>
            <w:iCs w:val="false"/>
            <w:color w:val="0563C1"/>
            <w:sz w:val="22"/>
            <w:szCs w:val="22"/>
            <w:u w:val="single"/>
          </w:rPr>
          <w:t>j1visa.state.gov/programs/au-pair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Trends in College Pricing (</w:t>
      </w:r>
      <w:hyperlink r:id="rId364">
        <w:r>
          <w:rPr>
            <w:rStyle w:val="ListLabel113"/>
            <w:rFonts w:eastAsia="Cambria" w:cs="Cambria"/>
            <w:b w:val="false"/>
            <w:bCs w:val="false"/>
            <w:i w:val="false"/>
            <w:iCs w:val="false"/>
            <w:color w:val="0563C1"/>
            <w:sz w:val="22"/>
            <w:szCs w:val="22"/>
            <w:u w:val="single"/>
          </w:rPr>
          <w:t>research.collegeboard.org/trends/college-pricing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Student Aid — Berechtigung für Bundeshilfe (</w:t>
      </w:r>
      <w:hyperlink r:id="rId365">
        <w:r>
          <w:rPr>
            <w:rStyle w:val="ListLabel113"/>
            <w:rFonts w:eastAsia="Cambria" w:cs="Cambria"/>
            <w:b w:val="false"/>
            <w:bCs w:val="false"/>
            <w:i w:val="false"/>
            <w:iCs w:val="false"/>
            <w:color w:val="0563C1"/>
            <w:sz w:val="22"/>
            <w:szCs w:val="22"/>
            <w:u w:val="single"/>
          </w:rPr>
          <w:t>studentaid.gov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 Studium in Deutschland mit US-Abschluss (</w:t>
      </w:r>
      <w:hyperlink r:id="rId366">
        <w:r>
          <w:rPr>
            <w:rStyle w:val="ListLabel113"/>
            <w:rFonts w:eastAsia="Cambria" w:cs="Cambria"/>
            <w:b w:val="false"/>
            <w:bCs w:val="false"/>
            <w:i w:val="false"/>
            <w:iCs w:val="false"/>
            <w:color w:val="0563C1"/>
            <w:sz w:val="22"/>
            <w:szCs w:val="22"/>
            <w:u w:val="single"/>
          </w:rPr>
          <w:t>daad.org/en/study-research-in-germany/study-in-germany/undergraduate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18"/>
              </w:numPr>
              <w:spacing w:lineRule="exact" w:line="264" w:before="0" w:after="50"/>
              <w:rPr/>
            </w:pPr>
            <w:r>
              <w:rPr>
                <w:rFonts w:eastAsia="Cambria" w:cs="Cambria"/>
                <w:b w:val="false"/>
                <w:bCs w:val="false"/>
                <w:i w:val="false"/>
                <w:iCs w:val="false"/>
                <w:sz w:val="20"/>
                <w:szCs w:val="20"/>
              </w:rPr>
              <w:t>September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tc>
      </w:tr>
    </w:tbl>
    <w:p>
      <w:pPr>
        <w:sectPr>
          <w:footerReference w:type="even" r:id="rId367"/>
          <w:footerReference w:type="default" r:id="rId368"/>
          <w:footerReference w:type="first" r:id="rId36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4" w:name="__RefHeading___Toc56520_3457424410"/>
      <w:bookmarkEnd w:id="94"/>
      <w:r>
        <w:rPr>
          <w:rFonts w:eastAsia="Amazon Ember" w:cs="Amazon Ember" w:ascii="Amazon Ember" w:hAnsi="Amazon Ember"/>
          <w:b/>
          <w:bCs/>
          <w:color w:val="0000FF"/>
        </w:rPr>
        <w:t>TEIL X — Langfristig</w:t>
      </w:r>
    </w:p>
    <w:p>
      <w:pPr>
        <w:sectPr>
          <w:footerReference w:type="even" r:id="rId370"/>
          <w:footerReference w:type="default" r:id="rId371"/>
          <w:footerReference w:type="first" r:id="rId37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Vorsorge, Erbe, Recht, Staatsbürgerschaft und der Plan B für den Fall, dass du zurückkehrst.</w:t>
      </w:r>
      <w:r>
        <w:br w:type="page"/>
      </w:r>
    </w:p>
    <w:p>
      <w:pPr>
        <w:pStyle w:val="Heading2"/>
        <w:keepNext w:val="true"/>
        <w:spacing w:lineRule="exact" w:line="340" w:before="0" w:after="300"/>
        <w:jc w:val="center"/>
        <w:rPr/>
      </w:pPr>
      <w:bookmarkStart w:id="95" w:name="__RefHeading___Toc56522_3457424410"/>
      <w:bookmarkStart w:id="96" w:name="k39"/>
      <w:bookmarkEnd w:id="95"/>
      <w:r>
        <w:rPr>
          <w:rFonts w:eastAsia="Amazon Ember" w:cs="Amazon Ember" w:ascii="Amazon Ember" w:hAnsi="Amazon Ember"/>
          <w:b/>
          <w:bCs/>
          <w:color w:val="0000FF"/>
          <w:sz w:val="36"/>
          <w:szCs w:val="36"/>
        </w:rPr>
        <w:t>Kapitel 39: Vorsorge, Erbe und Vermögen</w:t>
      </w:r>
      <w:bookmarkEnd w:id="96"/>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 und die meisten deutschen Papiere gelten hier keinen Meter weit.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US-Rente (</w:t>
            </w:r>
            <w:r>
              <w:rPr>
                <w:rFonts w:eastAsia="Cambria" w:cs="Cambria"/>
                <w:b w:val="false"/>
                <w:bCs w:val="false"/>
                <w:i/>
                <w:iCs/>
                <w:sz w:val="20"/>
                <w:szCs w:val="20"/>
              </w:rPr>
              <w:t>Social Security</w:t>
            </w:r>
            <w:r>
              <w:rPr>
                <w:rFonts w:eastAsia="Cambria" w:cs="Cambria"/>
                <w:b w:val="false"/>
                <w:bCs w:val="false"/>
                <w:i w:val="false"/>
                <w:iCs w:val="false"/>
                <w:sz w:val="20"/>
                <w:szCs w:val="20"/>
              </w:rPr>
              <w:t>) braucht 40 Credits; das Sozialversicherungsabkommen mit Deutschland zählt für die Wartezeit deutsche und US-Jahre zusammen, zahlt aber getrennt. Seit 2025 kürzt eine deutsche Rente die US-Rente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kommt erst mit 65 Jahren und setzt Staatsbürgerschaft, Green Card oder bestimmte Aufenthaltsjahre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401(k), IRA/Roth IRA und HSA sind die drei wichtigsten Sparkonten; nimm mindestens den Arbeitgeber-Match mit.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in den USA zur Steuerfalle (PFIC); kaufe nach dem Zuzug nur US-Fonds.</w:t>
            </w:r>
          </w:p>
          <w:p>
            <w:pPr>
              <w:pStyle w:val="ListParagraph"/>
              <w:numPr>
                <w:ilvl w:val="0"/>
                <w:numId w:val="1"/>
              </w:numPr>
              <w:spacing w:lineRule="exact" w:line="264" w:before="0" w:after="50"/>
              <w:rPr/>
            </w:pPr>
            <w:r>
              <w:rPr>
                <w:rFonts w:eastAsia="Cambria" w:cs="Cambria"/>
                <w:b w:val="false"/>
                <w:bCs w:val="false"/>
                <w:i w:val="false"/>
                <w:iCs w:val="false"/>
                <w:sz w:val="20"/>
                <w:szCs w:val="20"/>
              </w:rPr>
              <w:t>Ohne Testament, Vollmacht und Patientenverfügung nach US-Recht entscheidet im Ernstfall ein Gericht oder der Bundesstaat, nicht die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US-Nachlasssteuer und deutsche Erbschaftsteuer können gleichzeitig zuschlagen; wer auswandert, bleibt bis zu fünf Jahre in Deutschland erbschaftsteuerpflichtig.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Rentensysteme unter einem Dach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Beitragsjahre in Deutschland und den USA gesammelt hat, erwartet oft eine Art Gesamtabrechnung am Ende des Erwerbslebens – eine Rente aus einem Guss, fein zusammengerechnet von einer Stelle, die für beide Länder spricht. Die gibt es nicht. Für die Altersvorsorge zählen in den USA vor allem drei Bausteine: die staatliche Rente (</w:t>
      </w:r>
      <w:r>
        <w:rPr>
          <w:rFonts w:eastAsia="Cambria" w:cs="Cambria"/>
          <w:b w:val="false"/>
          <w:bCs w:val="false"/>
          <w:i/>
          <w:iCs/>
          <w:sz w:val="22"/>
          <w:szCs w:val="22"/>
        </w:rPr>
        <w:t>Social Security</w:t>
      </w:r>
      <w:r>
        <w:rPr>
          <w:rFonts w:eastAsia="Cambria" w:cs="Cambria"/>
          <w:b w:val="false"/>
          <w:bCs w:val="false"/>
          <w:i w:val="false"/>
          <w:iCs w:val="false"/>
          <w:sz w:val="22"/>
          <w:szCs w:val="22"/>
        </w:rPr>
        <w:t>), Arbeitgeberkonten wie das 401(k) und individuelle Konten wie IRA und Roth IRA. Die deutsche gesetzliche Rente läuft parallel weiter, wenn du vor dem Umzug eingezahlt hast – sie verschwindet nicht, wird aber auch nicht automatisch mit der US-Rente verrechnet. Beide Systeme rechnen getrennt, und genau das überrascht viele Zugezogene erst Jahre später, wenn die erste Renteninformation aus beiden Ländern im Briefkasten 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Social Security: 40 Credits und das Abkommen mit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in den USA arbeitet, zahlt über die Lohnsteuer </w:t>
      </w:r>
      <w:r>
        <w:rPr>
          <w:rFonts w:eastAsia="Cambria" w:cs="Cambria"/>
          <w:b w:val="false"/>
          <w:bCs w:val="false"/>
          <w:i/>
          <w:iCs/>
          <w:sz w:val="22"/>
          <w:szCs w:val="22"/>
        </w:rPr>
        <w:t>FICA</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automatisch in Social Security ein. Für einen eigenen Rentenanspruch brauchst du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(Beitragspunkte): Pro Kalenderjahr sind bis zu vier Credits möglich, rechnerisch also zehn Beitragsjahre. Das Sozialversicherungsabkommen zwischen Deutschland und den USA (</w:t>
      </w:r>
      <w:r>
        <w:rPr>
          <w:rFonts w:eastAsia="Cambria" w:cs="Cambria"/>
          <w:b w:val="false"/>
          <w:bCs w:val="false"/>
          <w:i/>
          <w:iCs/>
          <w:sz w:val="22"/>
          <w:szCs w:val="22"/>
        </w:rPr>
        <w:t>Totalization Agreement</w:t>
      </w:r>
      <w:r>
        <w:rPr>
          <w:rFonts w:eastAsia="Cambria" w:cs="Cambria"/>
          <w:b w:val="false"/>
          <w:bCs w:val="false"/>
          <w:i w:val="false"/>
          <w:iCs w:val="false"/>
          <w:sz w:val="22"/>
          <w:szCs w:val="22"/>
        </w:rPr>
        <w:t>, seit 1. Dezember 1979) hilft, wenn zehn Jahre allein in den USA nicht zusammenkommen: Für die Wartezeit zählen deutsche und US-Versicherungszeiten zusammen, ausgezahlt wird aber getrennt – jedes Land berechnet seine Rente nur aus den eigenen Beitragsjahren.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Ende 2024 kürzten zwei US-Regeln (</w:t>
      </w:r>
      <w:r>
        <w:rPr>
          <w:rFonts w:eastAsia="Cambria" w:cs="Cambria"/>
          <w:b w:val="false"/>
          <w:bCs w:val="false"/>
          <w:i/>
          <w:iCs/>
          <w:sz w:val="22"/>
          <w:szCs w:val="22"/>
        </w:rPr>
        <w:t>Windfall Elimination Provision</w:t>
      </w:r>
      <w:r>
        <w:rPr>
          <w:rFonts w:eastAsia="Cambria" w:cs="Cambria"/>
          <w:b w:val="false"/>
          <w:bCs w:val="false"/>
          <w:i w:val="false"/>
          <w:iCs w:val="false"/>
          <w:sz w:val="22"/>
          <w:szCs w:val="22"/>
        </w:rPr>
        <w:t xml:space="preserve">, WEP, und </w:t>
      </w:r>
      <w:r>
        <w:rPr>
          <w:rFonts w:eastAsia="Cambria" w:cs="Cambria"/>
          <w:b w:val="false"/>
          <w:bCs w:val="false"/>
          <w:i/>
          <w:iCs/>
          <w:sz w:val="22"/>
          <w:szCs w:val="22"/>
        </w:rPr>
        <w:t>Government Pension Offset</w:t>
      </w:r>
      <w:r>
        <w:rPr>
          <w:rFonts w:eastAsia="Cambria" w:cs="Cambria"/>
          <w:b w:val="false"/>
          <w:bCs w:val="false"/>
          <w:i w:val="false"/>
          <w:iCs w:val="false"/>
          <w:sz w:val="22"/>
          <w:szCs w:val="22"/>
        </w:rPr>
        <w:t xml:space="preserve">, GPO) die eigene US-Rente, wenn daneben eine ausländische oder nicht FICA-pflichtige Rente floss. Der </w:t>
      </w:r>
      <w:r>
        <w:rPr>
          <w:rFonts w:eastAsia="Cambria" w:cs="Cambria"/>
          <w:b w:val="false"/>
          <w:bCs w:val="false"/>
          <w:i/>
          <w:iCs/>
          <w:sz w:val="22"/>
          <w:szCs w:val="22"/>
        </w:rPr>
        <w:t>Social Security Fairness Act</w:t>
      </w:r>
      <w:r>
        <w:rPr>
          <w:rFonts w:eastAsia="Cambria" w:cs="Cambria"/>
          <w:b w:val="false"/>
          <w:bCs w:val="false"/>
          <w:i w:val="false"/>
          <w:iCs w:val="false"/>
          <w:sz w:val="22"/>
          <w:szCs w:val="22"/>
        </w:rPr>
        <w:t xml:space="preserve"> hat beide Regeln am 5. Januar 2025 rückwirkend zum Januar 2024 abgeschafft. Eine deutsche Rente mindert die eigene US-Rente seither nicht mehr; wer beides bezieht, bekommt beide ungekürzt.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 für Nichtdeutsche geht das erst nach 60 Beitragsmonaten.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Rente aus zwei Ländern ist keine gemeinsame Rechnung. Jedes Land zahlt nur, was du dort erarbeitet hast; das Abkommen hilft lediglich, die Mindestzeiten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Krankenversicherung im Ruhestand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die staatliche Krankenversicherung für Menschen ab 65 Jahren und für bestimmte Erwerbsunfähige. Beitragsfrei ist Teil A (Krankenhausversicherung) nur, wer mindestens 40 Credits durch die Medicare-Steuer gesammelt hat –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Juli 2025 steht Medicare nur noch Staatsbürgern, Green-Card-Inhabern sowie wenigen weiteren Gruppen offen; laufende Ansprüche anderer Gruppen enden bis zum 4. Januar 2027. Wer mit einem Arbeitsvisum bis 65 im Land bleibt, sollte die eigene Green-Card-Planung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rechtzeitig mit dem Medicare-Zugang zusammendenken – ohne Green Card oder Staatsbürgerschaft gibt es keinen Anspruch.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US-Sparkonten: 401(k), IRA, Roth und HSA</w:t>
      </w:r>
    </w:p>
    <w:tbl>
      <w:tblPr>
        <w:tblW w:w="6480" w:type="dxa"/>
        <w:jc w:val="left"/>
        <w:tblInd w:w="0" w:type="dxa"/>
        <w:tblLayout w:type="fixed"/>
        <w:tblCellMar>
          <w:top w:w="50" w:type="dxa"/>
          <w:left w:w="80" w:type="dxa"/>
          <w:bottom w:w="50" w:type="dxa"/>
          <w:right w:w="80" w:type="dxa"/>
        </w:tblCellMar>
      </w:tblPr>
      <w:tblGrid>
        <w:gridCol w:w="1218"/>
        <w:gridCol w:w="1313"/>
        <w:gridCol w:w="1692"/>
        <w:gridCol w:w="2256"/>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Konto</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Grenze 2026</w:t>
            </w:r>
          </w:p>
        </w:tc>
        <w:tc>
          <w:tcPr>
            <w:tcW w:w="16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Steuerlogik</w:t>
            </w:r>
          </w:p>
        </w:tc>
        <w:tc>
          <w:tcPr>
            <w:tcW w:w="22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Praxis</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24.500 $ (ab 50: +8.000 $; 60–63: +11.250 $)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Steuer eingezahlt, Auszahlung im Ruhestand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Arbeitgeber-Match zuerst mitnehmen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Traditional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7.500 $ (ab 50: +1.100 $)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oft absetzbar, Auszahlung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Abzug entfällt bei hohem Einkommen mit Betriebsplan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Roth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Grenze mit IRA</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aus versteuertem Geld, Auszahlung steuerfrei</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Einkommensgrenze: Einzelperson 153.000–168.000 $, Ehepaar 242.000–252.000 $</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4.400 $ Einzelperson / 8.750 $ Familie (ab 55: +1.000 $)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Dreifach steuerbegünstigt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Hochselbstbehalt-Tarif (</w:t>
            </w:r>
            <w:r>
              <w:rPr>
                <w:rFonts w:eastAsia="Cambria" w:cs="Cambria"/>
                <w:b w:val="false"/>
                <w:bCs w:val="false"/>
                <w:i/>
                <w:iCs/>
                <w:sz w:val="18"/>
                <w:szCs w:val="18"/>
              </w:rPr>
              <w:t>HDHP</w:t>
            </w:r>
            <w:r>
              <w:rPr>
                <w:rFonts w:eastAsia="Cambria" w:cs="Cambria"/>
                <w:b w:val="false"/>
                <w:bCs w:val="false"/>
                <w:i w:val="false"/>
                <w:iCs w:val="false"/>
                <w:sz w:val="18"/>
                <w:szCs w:val="18"/>
              </w:rPr>
              <w:t>); Details 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401(k) ist ein Arbeitgeberkonto, oft mit Match: Der Arbeitgeber verdoppelt oder ergänzt deinen Beitrag bis zu einer Grenze, meist 3 bis 6 % des Gehalts. Viele Pläne bieten zusätzlich eine Roth-401(k)-Variante mit derselben Logik wie die Roth IRA. Für die IRA brauchst du eigenes Erwerbseinkommen; wer die Roth-Einkommensgrenze überschreitet, nutzt oft die sogenannte </w:t>
      </w:r>
      <w:r>
        <w:rPr>
          <w:rFonts w:eastAsia="Cambria" w:cs="Cambria"/>
          <w:b w:val="false"/>
          <w:bCs w:val="false"/>
          <w:i/>
          <w:iCs/>
          <w:sz w:val="22"/>
          <w:szCs w:val="22"/>
        </w:rPr>
        <w:t>Backdoor Roth</w:t>
      </w:r>
      <w:r>
        <w:rPr>
          <w:rFonts w:eastAsia="Cambria" w:cs="Cambria"/>
          <w:b w:val="false"/>
          <w:bCs w:val="false"/>
          <w:i w:val="false"/>
          <w:iCs w:val="false"/>
          <w:sz w:val="22"/>
          <w:szCs w:val="22"/>
        </w:rPr>
        <w:t>-Strategie (nicht abziehbare IRA-Einzahlung, anschließende Umwandlung) – das ist im Detail komplex und gehört in die Hände eines Steuerexperten. Die HSA ist der einzige Kontotyp mit dreifachem Steuervorteil: Einzahlung mindert das Einkommen, Wachstum bleibt steuerfrei, und Abhebungen für Gesundheitskosten sind es ebenfalls.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immer mindestens so viel ins 401(k) ein, wie der Arbeitgeber-Match ausschöpft – das ist sofortige Rendite von häufig 50 bis 100 %, die sonst verschenkt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529-Sparplan und Aktienvergütung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 prüfe die genaue Grenze bei deinem Anbieter, da sie sich durch die jüngste Steuerreform geändert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Aktienvergütung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erklärt die arbeitsrechtliche Seite) wirkt auch auf die Vorsorge. Bei RSUs (</w:t>
      </w:r>
      <w:r>
        <w:rPr>
          <w:rFonts w:eastAsia="Cambria" w:cs="Cambria"/>
          <w:b w:val="false"/>
          <w:bCs w:val="false"/>
          <w:i/>
          <w:iCs/>
          <w:sz w:val="22"/>
          <w:szCs w:val="22"/>
        </w:rPr>
        <w:t>Restricted Stock Units</w:t>
      </w:r>
      <w:r>
        <w:rPr>
          <w:rFonts w:eastAsia="Cambria" w:cs="Cambria"/>
          <w:b w:val="false"/>
          <w:bCs w:val="false"/>
          <w:i w:val="false"/>
          <w:iCs w:val="false"/>
          <w:sz w:val="22"/>
          <w:szCs w:val="22"/>
        </w:rPr>
        <w:t xml:space="preserve">, Aktienzuteilungen) zählt der Marktwert beim Vesten als Lohn. Bei Optionen unterscheidet die IRS zwei Typen: </w:t>
      </w:r>
      <w:r>
        <w:rPr>
          <w:rFonts w:eastAsia="Cambria" w:cs="Cambria"/>
          <w:b w:val="false"/>
          <w:bCs w:val="false"/>
          <w:i/>
          <w:iCs/>
          <w:sz w:val="22"/>
          <w:szCs w:val="22"/>
        </w:rPr>
        <w:t>NSOs</w:t>
      </w:r>
      <w:r>
        <w:rPr>
          <w:rFonts w:eastAsia="Cambria" w:cs="Cambria"/>
          <w:b w:val="false"/>
          <w:bCs w:val="false"/>
          <w:i w:val="false"/>
          <w:iCs w:val="false"/>
          <w:sz w:val="22"/>
          <w:szCs w:val="22"/>
        </w:rPr>
        <w:t xml:space="preserve"> (nicht qualifizierte Optionen) werden bei Ausübung wie Lohn versteuert, </w:t>
      </w:r>
      <w:r>
        <w:rPr>
          <w:rFonts w:eastAsia="Cambria" w:cs="Cambria"/>
          <w:b w:val="false"/>
          <w:bCs w:val="false"/>
          <w:i/>
          <w:iCs/>
          <w:sz w:val="22"/>
          <w:szCs w:val="22"/>
        </w:rPr>
        <w:t>ISOs</w:t>
      </w:r>
      <w:r>
        <w:rPr>
          <w:rFonts w:eastAsia="Cambria" w:cs="Cambria"/>
          <w:b w:val="false"/>
          <w:bCs w:val="false"/>
          <w:i w:val="false"/>
          <w:iCs w:val="false"/>
          <w:sz w:val="22"/>
          <w:szCs w:val="22"/>
        </w:rPr>
        <w:t xml:space="preserve"> (</w:t>
      </w:r>
      <w:r>
        <w:rPr>
          <w:rFonts w:eastAsia="Cambria" w:cs="Cambria"/>
          <w:b w:val="false"/>
          <w:bCs w:val="false"/>
          <w:i/>
          <w:iCs/>
          <w:sz w:val="22"/>
          <w:szCs w:val="22"/>
        </w:rPr>
        <w:t>Incentive Stock Options</w:t>
      </w:r>
      <w:r>
        <w:rPr>
          <w:rFonts w:eastAsia="Cambria" w:cs="Cambria"/>
          <w:b w:val="false"/>
          <w:bCs w:val="false"/>
          <w:i w:val="false"/>
          <w:iCs w:val="false"/>
          <w:sz w:val="22"/>
          <w:szCs w:val="22"/>
        </w:rPr>
        <w:t>) lösen bei Ausübung keine reguläre Steuer aus, bergen aber ein Risiko über die Alternative Minimum Tax; die günstige Kapitalgewinnbesteuerung greift nur bei Haltefristen von zwei Jahren ab Gewährung und einem Jahr ab Ausübung. Der Mitarbeiteraktienkauf (</w:t>
      </w:r>
      <w:r>
        <w:rPr>
          <w:rFonts w:eastAsia="Cambria" w:cs="Cambria"/>
          <w:b w:val="false"/>
          <w:bCs w:val="false"/>
          <w:i/>
          <w:iCs/>
          <w:sz w:val="22"/>
          <w:szCs w:val="22"/>
        </w:rPr>
        <w:t>ESPP</w:t>
      </w:r>
      <w:r>
        <w:rPr>
          <w:rFonts w:eastAsia="Cambria" w:cs="Cambria"/>
          <w:b w:val="false"/>
          <w:bCs w:val="false"/>
          <w:i w:val="false"/>
          <w:iCs w:val="false"/>
          <w:sz w:val="22"/>
          <w:szCs w:val="22"/>
        </w:rPr>
        <w:t>) hat eigene Haltefristen, die über Lohn- oder Gewinnanteil entscheiden.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bekommt bei ihrem Arbeitgeber in Seattle jährlich RSUs im Wert von 15.000 $, die über vier Jahre vesten. Als die erste Tranche vestet, freut sie sich kurz über die stattliche Zahl im Depot – bis ihr Steuerberater ihr vorrechnet, dass ein gutes Stück davon dem Finanzamt gehört. Denn beim Vesten zählt der Marktwert als Lohn; ihr Arbeitgeber behält pauschal 22 % Bundessteuer ein, was bei ihrem Einkommen zu wenig ist. Sabine legt die Differenz für die Steuererklärung zurück, verkauft die Hälfte der frisch gevesteten Aktien sofort, um nicht zu einseitig auf einen Arbeitgeber zu setzen, und investiert den Erlös in breit gestreute, in den USA aufgelegte Indexfonds statt in deutsche ETFs.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Sparen und Investieren: die PFIC-Falle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Ansässiger in den USA lebt, sollte deutsche Fonds und ETFs meiden.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erklärt die Meldepflichten für Auslandsvermögen im Detail; hier nur die Kurzfassung fürs Sparen.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fast immer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Vorsorge: behalten oder abwickeln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Vorsorgeverträge sind zäh – sie kündigen sich nicht von selbst, auch nicht über den Atlantik hinweg, und laufen munter weiter, wenn du sie nicht aktiv beendest; ob das sinnvoll ist, hängt vom Vertrag ab.</w:t>
      </w:r>
    </w:p>
    <w:p>
      <w:pPr>
        <w:pStyle w:val="ListParagraph"/>
        <w:numPr>
          <w:ilvl w:val="0"/>
          <w:numId w:val="1"/>
        </w:numPr>
        <w:spacing w:lineRule="exact" w:line="288" w:before="0" w:after="60"/>
        <w:rPr/>
      </w:pPr>
      <w:r>
        <w:rPr>
          <w:rFonts w:eastAsia="Cambria" w:cs="Cambria"/>
          <w:b/>
          <w:bCs/>
          <w:i w:val="false"/>
          <w:iCs w:val="false"/>
          <w:sz w:val="22"/>
          <w:szCs w:val="22"/>
        </w:rPr>
        <w:t>Gesetzliche Krankenversicherung (GKV):</w:t>
      </w:r>
      <w:r>
        <w:rPr>
          <w:rFonts w:eastAsia="Cambria" w:cs="Cambria"/>
          <w:b w:val="false"/>
          <w:bCs w:val="false"/>
          <w:i w:val="false"/>
          <w:iCs w:val="false"/>
          <w:sz w:val="22"/>
          <w:szCs w:val="22"/>
        </w:rPr>
        <w:t xml:space="preserve"> Die Pflichtmitgliedschaft endet mit dem letzten Arbeitstag. Eine freiwillige Mitgliedschaft läuft dagegen weiter, bis du sie kündigst – ohne Kündigung zahlst du trotz ruhendem Leistungsanspruch im Ausland weiter. Wer eine Rückkehroption offenhalten will, etwa weil ein Umzug zurück nach Deutschland denkbar bleibt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sichert sich vor der Ausreise eine Anwartschaft bei der Kasse (laut Verbraucherquellen rund 70 €/Monat, je nach Kasse unterschiedlich).</w:t>
      </w:r>
    </w:p>
    <w:p>
      <w:pPr>
        <w:pStyle w:val="ListParagraph"/>
        <w:numPr>
          <w:ilvl w:val="0"/>
          <w:numId w:val="1"/>
        </w:numPr>
        <w:spacing w:lineRule="exact" w:line="288" w:before="0" w:after="60"/>
        <w:rPr/>
      </w:pPr>
      <w:r>
        <w:rPr>
          <w:rFonts w:eastAsia="Cambria" w:cs="Cambria"/>
          <w:b/>
          <w:bCs/>
          <w:i w:val="false"/>
          <w:iCs w:val="false"/>
          <w:sz w:val="22"/>
          <w:szCs w:val="22"/>
        </w:rPr>
        <w:t>Private Krankenversicherung (PKV):</w:t>
      </w:r>
      <w:r>
        <w:rPr>
          <w:rFonts w:eastAsia="Cambria" w:cs="Cambria"/>
          <w:b w:val="false"/>
          <w:bCs w:val="false"/>
          <w:i w:val="false"/>
          <w:iCs w:val="false"/>
          <w:sz w:val="22"/>
          <w:szCs w:val="22"/>
        </w:rPr>
        <w:t xml:space="preserve"> Eine Kündigung vernichtet die angesparten Alterungsrückstellungen. Eine „kleine“ Anwartschaft (rund 5–10 % des Beitrags) sichert den Gesundheitszustand, eine „große“ (rund 20–45 %) zusätzlich das Eintrittsalter.</w:t>
      </w:r>
    </w:p>
    <w:p>
      <w:pPr>
        <w:pStyle w:val="ListParagraph"/>
        <w:numPr>
          <w:ilvl w:val="0"/>
          <w:numId w:val="1"/>
        </w:numPr>
        <w:spacing w:lineRule="exact" w:line="288" w:before="0" w:after="60"/>
        <w:rPr/>
      </w:pPr>
      <w:r>
        <w:rPr>
          <w:rFonts w:eastAsia="Cambria" w:cs="Cambria"/>
          <w:b/>
          <w:bCs/>
          <w:i w:val="false"/>
          <w:iCs w:val="false"/>
          <w:sz w:val="22"/>
          <w:szCs w:val="22"/>
        </w:rPr>
        <w:t>Riester:</w:t>
      </w:r>
      <w:r>
        <w:rPr>
          <w:rFonts w:eastAsia="Cambria" w:cs="Cambria"/>
          <w:b w:val="false"/>
          <w:bCs w:val="false"/>
          <w:i w:val="false"/>
          <w:iCs w:val="false"/>
          <w:sz w:val="22"/>
          <w:szCs w:val="22"/>
        </w:rPr>
        <w:t xml:space="preserve"> Der Wegzug in der Ansparphase löst nichts aus; kritisch wird es erst, wenn die Auszahlungsphase beginnt, während du außerhalb der EU/EWR wohnst – dann fordert der Anbieter Zulagen und Steuervorteile zurück. Ab 1. Januar 2027 gibt es keine neuen Riester-Verträge mehr, bestehende laufen mit Bestandsschutz weiter.</w:t>
      </w:r>
    </w:p>
    <w:p>
      <w:pPr>
        <w:pStyle w:val="ListParagraph"/>
        <w:numPr>
          <w:ilvl w:val="0"/>
          <w:numId w:val="1"/>
        </w:numPr>
        <w:spacing w:lineRule="exact" w:line="288" w:before="0" w:after="60"/>
        <w:rPr/>
      </w:pPr>
      <w:r>
        <w:rPr>
          <w:rFonts w:eastAsia="Cambria" w:cs="Cambria"/>
          <w:b/>
          <w:bCs/>
          <w:i w:val="false"/>
          <w:iCs w:val="false"/>
          <w:sz w:val="22"/>
          <w:szCs w:val="22"/>
        </w:rPr>
        <w:t>Rürup und betriebliche Altersvorsorge (bAV):</w:t>
      </w:r>
      <w:r>
        <w:rPr>
          <w:rFonts w:eastAsia="Cambria" w:cs="Cambria"/>
          <w:b w:val="false"/>
          <w:bCs w:val="false"/>
          <w:i w:val="false"/>
          <w:iCs w:val="false"/>
          <w:sz w:val="22"/>
          <w:szCs w:val="22"/>
        </w:rPr>
        <w:t xml:space="preserve"> Rürup-Verträge sind nicht kündbar; der Wegzug allein löst nichts aus, die US-Besteuerung der späteren Auszahlung ist aber nicht abschließend geklärt. Die bAV nach § 1 BetrAVG ist im DBA ausdrücklich als „Pension Plan“ anerkannt; unverfallbare Ansprüche bleiben erhalten und werden auch ins Ausland ausgezahlt.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Riester-, Rürup- und bAV-Verträge vor dem Umzug von einem Berater bewerten, der beide Länder kennt – oft lohnt sich das Weiterführen der bAV, während Riester in der Auszahlungsphase zum Problem werden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Testament, Vollmacht und Patientenverfügung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t>
      </w:r>
      <w:r>
        <w:rPr>
          <w:rFonts w:eastAsia="Cambria" w:cs="Cambria"/>
          <w:b w:val="false"/>
          <w:bCs w:val="false"/>
          <w:i/>
          <w:iCs/>
          <w:sz w:val="22"/>
          <w:szCs w:val="22"/>
        </w:rPr>
        <w:t>Will</w:t>
      </w:r>
      <w:r>
        <w:rPr>
          <w:rFonts w:eastAsia="Cambria" w:cs="Cambria"/>
          <w:b w:val="false"/>
          <w:bCs w:val="false"/>
          <w:i w:val="false"/>
          <w:iCs w:val="false"/>
          <w:sz w:val="22"/>
          <w:szCs w:val="22"/>
        </w:rPr>
        <w:t>) entscheidet die gesetzliche Erbfolge des Bundesstaats, wer erbt – das muss nicht der Partner oder die Kinder sein, und bei minderjährigen Kindern entscheidet im Zweifel ein Familiengericht über die Vormundschaft.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Ergänzend nutzen viele Amerikaner einen widerruflichen Trust (</w:t>
      </w:r>
      <w:r>
        <w:rPr>
          <w:rFonts w:eastAsia="Cambria" w:cs="Cambria"/>
          <w:b w:val="false"/>
          <w:bCs w:val="false"/>
          <w:i/>
          <w:iCs/>
          <w:sz w:val="22"/>
          <w:szCs w:val="22"/>
        </w:rPr>
        <w:t>Revocable Living Trust</w:t>
      </w:r>
      <w:r>
        <w:rPr>
          <w:rFonts w:eastAsia="Cambria" w:cs="Cambria"/>
          <w:b w:val="false"/>
          <w:bCs w:val="false"/>
          <w:i w:val="false"/>
          <w:iCs w:val="false"/>
          <w:sz w:val="22"/>
          <w:szCs w:val="22"/>
        </w:rPr>
        <w:t xml:space="preserve">): Du überträgst Vermögen zu Lebzeiten in den Trust, bleibst selbst Verwalter und Begünstigter, und nach deinem Tod geht es ohne </w:t>
      </w:r>
      <w:r>
        <w:rPr>
          <w:rFonts w:eastAsia="Cambria" w:cs="Cambria"/>
          <w:b w:val="false"/>
          <w:bCs w:val="false"/>
          <w:i/>
          <w:iCs/>
          <w:sz w:val="22"/>
          <w:szCs w:val="22"/>
        </w:rPr>
        <w:t>Probate</w:t>
      </w:r>
      <w:r>
        <w:rPr>
          <w:rFonts w:eastAsia="Cambria" w:cs="Cambria"/>
          <w:b w:val="false"/>
          <w:bCs w:val="false"/>
          <w:i w:val="false"/>
          <w:iCs w:val="false"/>
          <w:sz w:val="22"/>
          <w:szCs w:val="22"/>
        </w:rPr>
        <w:t xml:space="preserv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w:t>
      </w:r>
      <w:r>
        <w:rPr>
          <w:rFonts w:eastAsia="Cambria" w:cs="Cambria"/>
          <w:b w:val="false"/>
          <w:bCs w:val="false"/>
          <w:i/>
          <w:iCs/>
          <w:sz w:val="22"/>
          <w:szCs w:val="22"/>
        </w:rPr>
        <w:t>Payable on Death</w:t>
      </w:r>
      <w:r>
        <w:rPr>
          <w:rFonts w:eastAsia="Cambria" w:cs="Cambria"/>
          <w:b w:val="false"/>
          <w:bCs w:val="false"/>
          <w:i w:val="false"/>
          <w:iCs w:val="false"/>
          <w:sz w:val="22"/>
          <w:szCs w:val="22"/>
        </w:rPr>
        <w:t>, POD) umgehen Probate; 401(k), IRA und Lebensversicherungen gehen ohnehin direkt an die dort benannte Person – prüfe diese Angaben nach jedem größeren Lebensereignis. Für den Ernstfall zu Lebzeiten brauchst du zusätzlich eine finanzielle Vollmacht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und eine Patientenverfügung mit Vollmacht für Gesundheitsentscheidungen (</w:t>
      </w:r>
      <w:r>
        <w:rPr>
          <w:rFonts w:eastAsia="Cambria" w:cs="Cambria"/>
          <w:b w:val="false"/>
          <w:bCs w:val="false"/>
          <w:i/>
          <w:iCs/>
          <w:sz w:val="22"/>
          <w:szCs w:val="22"/>
        </w:rPr>
        <w:t>Healthcare Directive</w:t>
      </w:r>
      <w:r>
        <w:rPr>
          <w:rFonts w:eastAsia="Cambria" w:cs="Cambria"/>
          <w:b w:val="false"/>
          <w:bCs w:val="false"/>
          <w:i w:val="false"/>
          <w:iCs w:val="false"/>
          <w:sz w:val="22"/>
          <w:szCs w:val="22"/>
        </w:rPr>
        <w:t xml:space="preserve">, </w:t>
      </w:r>
      <w:r>
        <w:rPr>
          <w:rFonts w:eastAsia="Cambria" w:cs="Cambria"/>
          <w:b w:val="false"/>
          <w:bCs w:val="false"/>
          <w:i/>
          <w:iCs/>
          <w:sz w:val="22"/>
          <w:szCs w:val="22"/>
        </w:rPr>
        <w:t>Healthcare Power of Attorney</w:t>
      </w:r>
      <w:r>
        <w:rPr>
          <w:rFonts w:eastAsia="Cambria" w:cs="Cambria"/>
          <w:b w:val="false"/>
          <w:bCs w:val="false"/>
          <w:i w:val="false"/>
          <w:iCs w:val="false"/>
          <w:sz w:val="22"/>
          <w:szCs w:val="22"/>
        </w:rPr>
        <w:t>); beide Formulare stellen viele Bundesstaaten und Anwaltskammern kostenlos bereit.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lässt sich in Michigan von einer Anwältin für Nachlassrecht beraten, kurz nachdem die Green Card durch ist. Der wichtigste Rat: Ohne US-Testament entscheidet im Zweifel ein Familiengericht in Michigan, wer Lena und Jonas aufzieht, falls beiden Eltern etwas zustößt – nicht automatisch die Großeltern in Stuttgart. Markus und Anna setzen ein Testament mit Vormundschaftsklausel auf, dazu eine finanzielle Vollmacht und eine Patientenverfügung nach Michigan-Recht. Das komplette Paket beim Anwalt kostet rund 900 $.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deutsche Vorsorgevollmacht oder Patientenverfügung gilt in den USA nicht automatisch; Kliniken und Banken verlangen eigene, bundesstaatliche Formulare. Besorge dir US-Dokumente, sobald du einen festen Wohnsitz hast, und bewahre die deutschen Originale parallel auf, falls du dort noch Vermögen hast.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erklärt Begriffe und Zusammenhänge, ersetzt aber keine Rechtsberatung. Testament, Trust und Vollmachten regelt jeder Bundesstaat unterschiedlich; lass die Dokumente von einer Anwältin oder einem Anwalt für Nachlassrecht in deinem Bundesstaat aufsetzen.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Nachlasssteuer und Erbschaft über den Atlantik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US-Nachlasssteuer (</w:t>
      </w:r>
      <w:r>
        <w:rPr>
          <w:rFonts w:eastAsia="Cambria" w:cs="Cambria"/>
          <w:b w:val="false"/>
          <w:bCs w:val="false"/>
          <w:i/>
          <w:iCs/>
          <w:sz w:val="22"/>
          <w:szCs w:val="22"/>
        </w:rPr>
        <w:t>Estate Tax</w:t>
      </w:r>
      <w:r>
        <w:rPr>
          <w:rFonts w:eastAsia="Cambria" w:cs="Cambria"/>
          <w:b w:val="false"/>
          <w:bCs w:val="false"/>
          <w:i w:val="false"/>
          <w:iCs w:val="false"/>
          <w:sz w:val="22"/>
          <w:szCs w:val="22"/>
        </w:rPr>
        <w:t xml:space="preserve">) betrifft 2026 nur große Vermögen: Wer in den USA </w:t>
      </w:r>
      <w:r>
        <w:rPr>
          <w:rFonts w:eastAsia="Cambria" w:cs="Cambria"/>
          <w:b w:val="false"/>
          <w:bCs w:val="false"/>
          <w:i/>
          <w:iCs/>
          <w:sz w:val="22"/>
          <w:szCs w:val="22"/>
        </w:rPr>
        <w:t>domiziliert</w:t>
      </w:r>
      <w:r>
        <w:rPr>
          <w:rFonts w:eastAsia="Cambria" w:cs="Cambria"/>
          <w:b w:val="false"/>
          <w:bCs w:val="false"/>
          <w:i w:val="false"/>
          <w:iCs w:val="false"/>
          <w:sz w:val="22"/>
          <w:szCs w:val="22"/>
        </w:rPr>
        <w:t xml:space="preserve"> ist – ein engerer Begriff als reine Steueransässigkeit, denn er verlangt einen Wohnsitz mit erkennbarer Bleibeabsicht –, hat einen Freibetrag von 15 Millionen $ pro Person, darüber greift ein Spitzensatz von 40 %. Für die meisten Zuwanderer ist das kein Thema. Anders für alle, die noch nicht domiziliert sind, aber US-Vermögen besitzen, etwa ein Haus oder ein Maklerdepot: Der Freibetrag für Nichtdomizilierte liegt bei nur 60.000 $ (Form 706-NA); ausländische Konten und Lebensversicherungsleistungen zählen dabei nicht mit. Schenkungen bleiben bis 19.000 $ je Empfänger und Jahr steuerfrei, an einen nicht-amerikanischen Ehepartner bis 194.000 $.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60.000-$-Grenze für Nichtdomizilierte trifft schneller als gedacht – ein zu früh gekauftes US-Ferienhaus oder ein Maklerkonto kann sie überschreiten, während dein Auslandsvermögen unangetastet bleibt. Kläre bei größeren US-Investitionen vor Erreichen der Domizil-Schwelle mit einem Steuerberater, ob eine andere Eigentumsstruktur sinnvoller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Mit dem letzten Blick auf den Rückspiegel endet vermeintlich auch die deutsche Steuerpflicht fürs Erbe. Tatsächlich bleibt die deutsche Seite parallel bestehen: Deutsche Staatsangehörige sind bis zu fünf Jahre nach dem Wegzug ohne deutschen Wohnsitz weiter unbeschränkt erbschaft- und schenkungsteuerpflichtig (§ 2 ErbStG) – als Erblasser, Schenker oder Erwerber. Die deutschen Freibeträge gelten unverändert: 500.000 € für Ehepartner, 400.000 € je Kind, 200.000 € je Enkelkind, 100.000 € für übrige Personen der Steuerklasse I, 20.000 € für Steuerklasse II und III. Innerhalb der Fünf-Jahres-Frist können beide Steuern gleichzeitig anfallen; ein eigenes Doppelbesteuerungsabkommen für Erbschaften (1980, mit Protokollen von 1998 und 2006) regelt die Anrechnung im Detail – das gehört in die Hände eines Beraters mit Erfahrung in beiden Rechtsordnungen. Zur deutschen Seite insgesamt: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und Arbeitskraft absichern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Deutschland ist die Berufsunfähigkeitsversicherung eine der wichtigsten Absicherungen; ein direktes US-Gegenstück gibt es nicht. Der nächste Verwandte ist die </w:t>
      </w:r>
      <w:r>
        <w:rPr>
          <w:rFonts w:eastAsia="Cambria" w:cs="Cambria"/>
          <w:b w:val="false"/>
          <w:bCs w:val="false"/>
          <w:i/>
          <w:iCs/>
          <w:sz w:val="22"/>
          <w:szCs w:val="22"/>
        </w:rPr>
        <w:t>Long-Term Disability</w:t>
      </w:r>
      <w:r>
        <w:rPr>
          <w:rFonts w:eastAsia="Cambria" w:cs="Cambria"/>
          <w:b w:val="false"/>
          <w:bCs w:val="false"/>
          <w:i w:val="false"/>
          <w:iCs w:val="false"/>
          <w:sz w:val="22"/>
          <w:szCs w:val="22"/>
        </w:rPr>
        <w:t xml:space="preserve">-Versicherung (LTD, Erwerbsunfähigkeitsschutz), die viele Arbeitgeber als Zusatzleistung anbieten –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w:t>
      </w:r>
      <w:r>
        <w:rPr>
          <w:rFonts w:eastAsia="Cambria" w:cs="Cambria"/>
          <w:b w:val="false"/>
          <w:bCs w:val="false"/>
          <w:i/>
          <w:iCs/>
          <w:sz w:val="22"/>
          <w:szCs w:val="22"/>
        </w:rPr>
        <w:t>Social Security Disability Insurance</w:t>
      </w:r>
      <w:r>
        <w:rPr>
          <w:rFonts w:eastAsia="Cambria" w:cs="Cambria"/>
          <w:b w:val="false"/>
          <w:bCs w:val="false"/>
          <w:i w:val="false"/>
          <w:iCs w:val="false"/>
          <w:sz w:val="22"/>
          <w:szCs w:val="22"/>
        </w:rPr>
        <w:t xml:space="preserve"> (SSDI) springt erst bei sehr strengen Voraussetzungen und eigenen Beitragsjahren ein und ersetzt keine private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Lebensversicherung heißt in den USA meist </w:t>
      </w:r>
      <w:r>
        <w:rPr>
          <w:rFonts w:eastAsia="Cambria" w:cs="Cambria"/>
          <w:b w:val="false"/>
          <w:bCs w:val="false"/>
          <w:i/>
          <w:iCs/>
          <w:sz w:val="22"/>
          <w:szCs w:val="22"/>
        </w:rPr>
        <w:t>Term Life</w:t>
      </w:r>
      <w:r>
        <w:rPr>
          <w:rFonts w:eastAsia="Cambria" w:cs="Cambria"/>
          <w:b w:val="false"/>
          <w:bCs w:val="false"/>
          <w:i w:val="false"/>
          <w:iCs w:val="false"/>
          <w:sz w:val="22"/>
          <w:szCs w:val="22"/>
        </w:rPr>
        <w:t>: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 für die eigentliche Absicherung zählt meist nur die private Police.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Berater verkaufen Einwanderern häufig fondsgebundene oder lebenslange Policen (</w:t>
            </w:r>
            <w:r>
              <w:rPr>
                <w:rFonts w:eastAsia="Cambria" w:cs="Cambria"/>
                <w:b w:val="false"/>
                <w:bCs w:val="false"/>
                <w:i/>
                <w:iCs/>
                <w:sz w:val="20"/>
                <w:szCs w:val="20"/>
              </w:rPr>
              <w:t>Whole Life</w:t>
            </w:r>
            <w:r>
              <w:rPr>
                <w:rFonts w:eastAsia="Cambria" w:cs="Cambria"/>
                <w:b w:val="false"/>
                <w:bCs w:val="false"/>
                <w:i w:val="false"/>
                <w:iCs w:val="false"/>
                <w:sz w:val="20"/>
                <w:szCs w:val="20"/>
              </w:rPr>
              <w:t xml:space="preserve">, </w:t>
            </w:r>
            <w:r>
              <w:rPr>
                <w:rFonts w:eastAsia="Cambria" w:cs="Cambria"/>
                <w:b w:val="false"/>
                <w:bCs w:val="false"/>
                <w:i/>
                <w:iCs/>
                <w:sz w:val="20"/>
                <w:szCs w:val="20"/>
              </w:rPr>
              <w:t>Universal Life</w:t>
            </w:r>
            <w:r>
              <w:rPr>
                <w:rFonts w:eastAsia="Cambria" w:cs="Cambria"/>
                <w:b w:val="false"/>
                <w:bCs w:val="false"/>
                <w:i w:val="false"/>
                <w:iCs w:val="false"/>
                <w:sz w:val="20"/>
                <w:szCs w:val="20"/>
              </w:rPr>
              <w:t>) als Vorsorge- und Sparlösung in einem. Die Abschlussprovision steckt in den ersten Jahresprämien, die Rendite bleibt oft hinter einem einfachen Sparplan zurück. Trenne Risikoschutz (Term Life, LTD) und Vermögensaufbau (401(k), IRA, US-Fonds) bewusst.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Finanzberater ohne Provisionsfalle wählen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w:t>
      </w:r>
      <w:r>
        <w:rPr>
          <w:rFonts w:eastAsia="Cambria" w:cs="Cambria"/>
          <w:b w:val="false"/>
          <w:bCs w:val="false"/>
          <w:i/>
          <w:iCs/>
          <w:sz w:val="22"/>
          <w:szCs w:val="22"/>
        </w:rPr>
        <w:t>Fee-Only Advisor</w:t>
      </w:r>
      <w:r>
        <w:rPr>
          <w:rFonts w:eastAsia="Cambria" w:cs="Cambria"/>
          <w:b w:val="false"/>
          <w:bCs w:val="false"/>
          <w:i w:val="false"/>
          <w:iCs w:val="false"/>
          <w:sz w:val="22"/>
          <w:szCs w:val="22"/>
        </w:rPr>
        <w:t>) verdient dagegen ausschließlich von dir – als Stundensatz, Pauschale oder Prozentsatz des verwalteten Vermögens – und unterliegt meist einer durchgehenden Treuepflicht (</w:t>
      </w:r>
      <w:r>
        <w:rPr>
          <w:rFonts w:eastAsia="Cambria" w:cs="Cambria"/>
          <w:b w:val="false"/>
          <w:bCs w:val="false"/>
          <w:i/>
          <w:iCs/>
          <w:sz w:val="22"/>
          <w:szCs w:val="22"/>
        </w:rPr>
        <w:t>Fiduciary Duty</w:t>
      </w:r>
      <w:r>
        <w:rPr>
          <w:rFonts w:eastAsia="Cambria" w:cs="Cambria"/>
          <w:b w:val="false"/>
          <w:bCs w:val="false"/>
          <w:i w:val="false"/>
          <w:iCs w:val="false"/>
          <w:sz w:val="22"/>
          <w:szCs w:val="22"/>
        </w:rPr>
        <w:t>). Frage direkt: „Are you a fee-only fiduciary at all times?“ Eine ausweichende Antwort ist ein Warnsignal.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Verzeichnisse wie letsmakeaplan.org (CFP Board) listen zertifizierte, teils gebührenbasierte Planer nach Postleitzahl. Ein Erstgespräch ist meist kostenlos; nutze es, um Vergütung und Interessenkonflikte offen zu erfragen, bevor du unterschreibst.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Wohnsitze: was das für Vorsorge und Nachlass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Wohnsitze in beide Richtungen offenhält – eine Wohnung in Deutschland, ein Zuhause in den USA –, sollte wissen, dass das mehr betrifft als die Steuererklärung. Steuerlich kann eine „jederzeit nutzbare“ deutsche Wohnung die unbeschränkte Steuerpflicht in Deutschland auslösen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Beitragsgrenzen bei 401(k) und IRA erlauben schnellen Vermögensaufbau mit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Rentensysteme, zwei Steuerpflichten fürs Erbe – die Planung wird komplizierter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Sozialversicherungsabkommen sichert die Wartezeit für die US-Rente; WEP/GPO kürzen seit 2025 nicht mehr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Fonds werden zur PFIC-Falle; Umschichten kostet Zeit und oft deutsche Steuer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HSA bietet einen in Deutschland unbekannten dreifachen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Vorsorgeverträge (Riester, Lebensversicherung) sind aus den USA schwer zu bewerten</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Trusts und Begünstigtenbenennungen vermeiden ein langwieriges Nachlassverfahren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US-Testament entscheidet im Ernstfall ein fremdes Gericht über die Kinder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Freibetrag für US-Domizilierte bei der Nachlasssteuer ist mit 15 Mio. $ hoch</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Nichtdomizilierte haben nur 60.000 $ Freibetrag – eine Falle bei US-Immobilien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ersten Monaten reicht es, die Konten zu eröffnen und den Arbeitgeber-Match mitzunehmen. Innerhalb des ersten Jahres solltest du ein US-Testament mit Vormundschaftsklausel, eine finanzielle Vollmacht und eine Patientenverfügung aufsetzen lassen –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Arbeitgeber-Match beim 401(k) vollständig mitnehmen, danach IRA oder Roth IRA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HSA eröffnen, falls ein Hochselbstbehalt-Tarif (HDHP)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informieren, Versicherungsverlauf klären,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 oder PKV-Anwartschaft vor der Ausreise klären, falls eine Rückkehr denkbar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 Rürup- und bAV-Verträge auf Wegzugsfolgen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US-Testament mit Vormundschaftsklausel, finanzielle Vollmacht und Patientenverfügung nach dem Recht deines Bundesstaats aufsetzen.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Begünstigte bei Renten-, Bank- und Versicherungskonten eintragen und nach jedem Lebensereignis aktualisieren.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größerem US-Vermögen vor Erreichen der Domizil-Schwelle die Nachlasssteuer-Freibeträge mit einem Steuerberater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Erbschaften oder Schenkungen aus Deutschland über 100.000 $ mit Form 3520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Finanzberater nach Vergütung fragen und einen gebührenbasierten Fiduciary-Berater bevorzugen.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Erwerbsunfähigkeitsschutz (LTD) und Term-Life-Versicherung unabhängig vom Arbeitgeber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Deutschland–USA (</w:t>
      </w:r>
      <w:hyperlink r:id="rId373">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Fairness Act, WEP/GPO-Abschaffung (</w:t>
      </w:r>
      <w:hyperlink r:id="rId374">
        <w:r>
          <w:rPr>
            <w:rStyle w:val="ListLabel113"/>
            <w:rFonts w:eastAsia="Cambria" w:cs="Cambria"/>
            <w:b w:val="false"/>
            <w:bCs w:val="false"/>
            <w:i w:val="false"/>
            <w:iCs w:val="false"/>
            <w:color w:val="0563C1"/>
            <w:sz w:val="22"/>
            <w:szCs w:val="22"/>
            <w:u w:val="single"/>
          </w:rPr>
          <w:t>ssa.gov/benefits/retirement/social-security-fairness-act.html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Medicare.gov — Kosten und Anspruchsvoraussetzungen (</w:t>
      </w:r>
      <w:hyperlink r:id="rId375">
        <w:r>
          <w:rPr>
            <w:rStyle w:val="ListLabel113"/>
            <w:rFonts w:eastAsia="Cambria" w:cs="Cambria"/>
            <w:b w:val="false"/>
            <w:bCs w:val="false"/>
            <w:i w:val="false"/>
            <w:iCs w:val="false"/>
            <w:color w:val="0563C1"/>
            <w:sz w:val="22"/>
            <w:szCs w:val="22"/>
            <w:u w:val="single"/>
          </w:rPr>
          <w:t>medicare.gov/basics/costs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Nachlass- und Schenkungsteuer (</w:t>
      </w:r>
      <w:hyperlink r:id="rId376">
        <w:r>
          <w:rPr>
            <w:rStyle w:val="ListLabel113"/>
            <w:rFonts w:eastAsia="Cambria" w:cs="Cambria"/>
            <w:b w:val="false"/>
            <w:bCs w:val="false"/>
            <w:i w:val="false"/>
            <w:iCs w:val="false"/>
            <w:color w:val="0563C1"/>
            <w:sz w:val="22"/>
            <w:szCs w:val="22"/>
            <w:u w:val="single"/>
          </w:rPr>
          <w:t>irs.gov/businesses/small-businesses-self-employed/whats-new-estate-and-gift-tax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3520, Anleitung (</w:t>
      </w:r>
      <w:hyperlink r:id="rId377">
        <w:r>
          <w:rPr>
            <w:rStyle w:val="ListLabel113"/>
            <w:rFonts w:eastAsia="Cambria" w:cs="Cambria"/>
            <w:b w:val="false"/>
            <w:bCs w:val="false"/>
            <w:i w:val="false"/>
            <w:iCs w:val="false"/>
            <w:color w:val="0563C1"/>
            <w:sz w:val="22"/>
            <w:szCs w:val="22"/>
            <w:u w:val="single"/>
          </w:rPr>
          <w:t>irs.gov/instructions/i3520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Broschüre „Arbeit und Rente in Deutschland und in den USA“ (</w:t>
      </w:r>
      <w:hyperlink r:id="rId37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Erbschaftsteuer- und Schenkungsteuergesetz, § 2 und § 16 (</w:t>
      </w:r>
      <w:hyperlink r:id="rId379">
        <w:r>
          <w:rPr>
            <w:rStyle w:val="ListLabel113"/>
            <w:rFonts w:eastAsia="Cambria" w:cs="Cambria"/>
            <w:b w:val="false"/>
            <w:bCs w:val="false"/>
            <w:i w:val="false"/>
            <w:iCs w:val="false"/>
            <w:color w:val="0563C1"/>
            <w:sz w:val="22"/>
            <w:szCs w:val="22"/>
            <w:u w:val="single"/>
          </w:rPr>
          <w:t>gesetze-im-internet.de/erbstg_1974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CFP Board — Verzeichnis gebührenbasierter Finanzplaner (</w:t>
      </w:r>
      <w:hyperlink r:id="rId380">
        <w:r>
          <w:rPr>
            <w:rStyle w:val="ListLabel113"/>
            <w:rFonts w:eastAsia="Cambria" w:cs="Cambria"/>
            <w:b w:val="false"/>
            <w:bCs w:val="false"/>
            <w:i w:val="false"/>
            <w:iCs w:val="false"/>
            <w:color w:val="0563C1"/>
            <w:sz w:val="22"/>
            <w:szCs w:val="22"/>
            <w:u w:val="single"/>
          </w:rPr>
          <w:t>letsmakeaplan.org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7" w:name="__RefHeading___Toc56524_3457424410"/>
      <w:bookmarkStart w:id="98" w:name="k40"/>
      <w:bookmarkEnd w:id="97"/>
      <w:r>
        <w:rPr>
          <w:rFonts w:eastAsia="Amazon Ember" w:cs="Amazon Ember" w:ascii="Amazon Ember" w:hAnsi="Amazon Ember"/>
          <w:b/>
          <w:bCs/>
          <w:color w:val="0000FF"/>
          <w:sz w:val="36"/>
          <w:szCs w:val="36"/>
        </w:rPr>
        <w:t>Kapitel 40: Recht und Sicherheit im Alltag</w:t>
      </w:r>
      <w:bookmarkEnd w:id="9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zusätzlich gilt und wie du dich, deine Familie und dein Geld im Alltag schützt.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Es gilt dasselbe Strafrecht wie für alle, aber Bagatellen können bei dir Visum, Green Card und Einbürgerung gefährden. Die größten Risiken: Trunkenheit am Steuer, Drogen (auch Cannabis), Diebstahl und Gewalt.</w:t>
            </w:r>
          </w:p>
          <w:p>
            <w:pPr>
              <w:pStyle w:val="ListParagraph"/>
              <w:numPr>
                <w:ilvl w:val="0"/>
                <w:numId w:val="1"/>
              </w:numPr>
              <w:spacing w:lineRule="exact" w:line="264" w:before="0" w:after="50"/>
              <w:rPr/>
            </w:pPr>
            <w:r>
              <w:rPr>
                <w:rFonts w:eastAsia="Cambria" w:cs="Cambria"/>
                <w:b w:val="false"/>
                <w:bCs w:val="false"/>
                <w:i w:val="false"/>
                <w:iCs w:val="false"/>
                <w:sz w:val="20"/>
                <w:szCs w:val="20"/>
              </w:rPr>
              <w:t>Bei Polizeikontakt: ruhig bleiben, Hände sichtbar, nichts unterschreiben, was du nicht verstehst. Das Recht zu schweigen und einen Anwalt zu verlangen gilt für alle, muss aber ausgesprochen werden.</w:t>
            </w:r>
          </w:p>
          <w:p>
            <w:pPr>
              <w:pStyle w:val="ListParagraph"/>
              <w:numPr>
                <w:ilvl w:val="0"/>
                <w:numId w:val="1"/>
              </w:numPr>
              <w:spacing w:lineRule="exact" w:line="264" w:before="0" w:after="50"/>
              <w:rPr/>
            </w:pPr>
            <w:r>
              <w:rPr>
                <w:rFonts w:eastAsia="Cambria" w:cs="Cambria"/>
                <w:b w:val="false"/>
                <w:bCs w:val="false"/>
                <w:i w:val="false"/>
                <w:iCs w:val="false"/>
                <w:sz w:val="20"/>
                <w:szCs w:val="20"/>
              </w:rPr>
              <w:t>Pflichten als Nichtstaatsbürger: Registrierungsnachweis bei dir tragen, jeden Umzug binnen 10 Tagen melden (AR-11), nie wählen; Männer von 18 bis 25 mit Green Card müssen sich beim Selective Service registrieren.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 Inhabern eines Visums wie H-1B, L-1 oder F-1 sind Besitz und Erwerb bundesrechtlich verboten; mit Green Card sind sie erlaubt,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Notruf 911. Für Katastrophen brauchst du Warnungen aufs Handy, einen Notvorrat und getrennte Hochwasser- und Erdbebenversicherung.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Betrug ist häufig; deutsche Vertretungen helfen bei Festnahme und Notlagen.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haben nicht ein Rechtssystem, sondern 51: das Bundesrecht (</w:t>
      </w:r>
      <w:r>
        <w:rPr>
          <w:rFonts w:eastAsia="Cambria" w:cs="Cambria"/>
          <w:b w:val="false"/>
          <w:bCs w:val="false"/>
          <w:i/>
          <w:iCs/>
          <w:sz w:val="22"/>
          <w:szCs w:val="22"/>
        </w:rPr>
        <w:t>Federal Law</w:t>
      </w:r>
      <w:r>
        <w:rPr>
          <w:rFonts w:eastAsia="Cambria" w:cs="Cambria"/>
          <w:b w:val="false"/>
          <w:bCs w:val="false"/>
          <w:i w:val="false"/>
          <w:iCs w:val="false"/>
          <w:sz w:val="22"/>
          <w:szCs w:val="22"/>
        </w:rPr>
        <w:t>) und das Recht der 50 Staaten, dazu Vorschriften von Landkreisen und Städten. Für Einwanderung, Visa und Zoll ist allein der Bund zuständig. Deshalb zählt bei Cannabis für dich das Bundesrecht, selbst dort, wo der Staat den Konsum erlaubt.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Strafrecht klagt der Staat gegen eine Person. Taten werden in drei Stufen eingeteilt: </w:t>
      </w:r>
      <w:r>
        <w:rPr>
          <w:rFonts w:eastAsia="Cambria" w:cs="Cambria"/>
          <w:b w:val="false"/>
          <w:bCs w:val="false"/>
          <w:i/>
          <w:iCs/>
          <w:sz w:val="22"/>
          <w:szCs w:val="22"/>
        </w:rPr>
        <w:t>Infraction</w:t>
      </w:r>
      <w:r>
        <w:rPr>
          <w:rFonts w:eastAsia="Cambria" w:cs="Cambria"/>
          <w:b w:val="false"/>
          <w:bCs w:val="false"/>
          <w:i w:val="false"/>
          <w:iCs w:val="false"/>
          <w:sz w:val="22"/>
          <w:szCs w:val="22"/>
        </w:rPr>
        <w:t xml:space="preserve"> (Ordnungswidrigkeit, etwa ein Strafzettel), </w:t>
      </w:r>
      <w:r>
        <w:rPr>
          <w:rFonts w:eastAsia="Cambria" w:cs="Cambria"/>
          <w:b w:val="false"/>
          <w:bCs w:val="false"/>
          <w:i/>
          <w:iCs/>
          <w:sz w:val="22"/>
          <w:szCs w:val="22"/>
        </w:rPr>
        <w:t>Misdemeanor</w:t>
      </w:r>
      <w:r>
        <w:rPr>
          <w:rFonts w:eastAsia="Cambria" w:cs="Cambria"/>
          <w:b w:val="false"/>
          <w:bCs w:val="false"/>
          <w:i w:val="false"/>
          <w:iCs w:val="false"/>
          <w:sz w:val="22"/>
          <w:szCs w:val="22"/>
        </w:rPr>
        <w:t xml:space="preserve"> (Vergehen, meist bis zu einem Jahr Haft) und </w:t>
      </w:r>
      <w:r>
        <w:rPr>
          <w:rFonts w:eastAsia="Cambria" w:cs="Cambria"/>
          <w:b w:val="false"/>
          <w:bCs w:val="false"/>
          <w:i/>
          <w:iCs/>
          <w:sz w:val="22"/>
          <w:szCs w:val="22"/>
        </w:rPr>
        <w:t>Felony</w:t>
      </w:r>
      <w:r>
        <w:rPr>
          <w:rFonts w:eastAsia="Cambria" w:cs="Cambria"/>
          <w:b w:val="false"/>
          <w:bCs w:val="false"/>
          <w:i w:val="false"/>
          <w:iCs w:val="false"/>
          <w:sz w:val="22"/>
          <w:szCs w:val="22"/>
        </w:rPr>
        <w:t xml:space="preserve"> (Verbrechen, mehr als ein Jahr). Im Zivilrecht streiten Private ums Geld. In beiden Verfahren gibt es Geschworene (</w:t>
      </w:r>
      <w:r>
        <w:rPr>
          <w:rFonts w:eastAsia="Cambria" w:cs="Cambria"/>
          <w:b w:val="false"/>
          <w:bCs w:val="false"/>
          <w:i/>
          <w:iCs/>
          <w:sz w:val="22"/>
          <w:szCs w:val="22"/>
        </w:rPr>
        <w:t>Jury</w:t>
      </w:r>
      <w:r>
        <w:rPr>
          <w:rFonts w:eastAsia="Cambria" w:cs="Cambria"/>
          <w:b w:val="false"/>
          <w:bCs w:val="false"/>
          <w:i w:val="false"/>
          <w:iCs w:val="false"/>
          <w:sz w:val="22"/>
          <w:szCs w:val="22"/>
        </w:rPr>
        <w:t>). Ein Kernunterschied zu Deutschland: Im Zivilprozess zahlt jede Seite ihre Anwälte selbst, auch die Siegerin (</w:t>
      </w:r>
      <w:r>
        <w:rPr>
          <w:rFonts w:eastAsia="Cambria" w:cs="Cambria"/>
          <w:b w:val="false"/>
          <w:bCs w:val="false"/>
          <w:i/>
          <w:iCs/>
          <w:sz w:val="22"/>
          <w:szCs w:val="22"/>
        </w:rPr>
        <w:t>American Rule</w:t>
      </w:r>
      <w:r>
        <w:rPr>
          <w:rFonts w:eastAsia="Cambria" w:cs="Cambria"/>
          <w:b w:val="false"/>
          <w:bCs w:val="false"/>
          <w:i w:val="false"/>
          <w:iCs w:val="false"/>
          <w:sz w:val="22"/>
          <w:szCs w:val="22"/>
        </w:rP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Kleinere Streitigkeiten löst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Streit mit Handwerkern und unbezahlte Rechnungen. Der Ablauf: schriftliche Zahlungsaufforderung, Klage beim örtlichen Gericht, förmliche Zustellung an den Gegner (</w:t>
      </w:r>
      <w:r>
        <w:rPr>
          <w:rFonts w:eastAsia="Cambria" w:cs="Cambria"/>
          <w:b w:val="false"/>
          <w:bCs w:val="false"/>
          <w:i/>
          <w:iCs/>
          <w:sz w:val="22"/>
          <w:szCs w:val="22"/>
        </w:rPr>
        <w:t>Service of Process</w:t>
      </w:r>
      <w:r>
        <w:rPr>
          <w:rFonts w:eastAsia="Cambria" w:cs="Cambria"/>
          <w:b w:val="false"/>
          <w:bCs w:val="false"/>
          <w:i w:val="false"/>
          <w:iCs w:val="false"/>
          <w:sz w:val="22"/>
          <w:szCs w:val="22"/>
        </w:rPr>
        <w:t>), Verhandlung. Danach musst du das Geld noch eintreiben, denn ein Urteil ist noch keine Zahlung. Haftpflichtschutz für Schäden, die du anderen zufügst, steckt meist in der Mieter- oder Hausversicherung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nie eine Vorladung (</w:t>
            </w:r>
            <w:r>
              <w:rPr>
                <w:rFonts w:eastAsia="Cambria" w:cs="Cambria"/>
                <w:b w:val="false"/>
                <w:bCs w:val="false"/>
                <w:i/>
                <w:iCs/>
                <w:sz w:val="20"/>
                <w:szCs w:val="20"/>
              </w:rPr>
              <w:t>Summons</w:t>
            </w:r>
            <w:r>
              <w:rPr>
                <w:rFonts w:eastAsia="Cambria" w:cs="Cambria"/>
                <w:b w:val="false"/>
                <w:bCs w:val="false"/>
                <w:i w:val="false"/>
                <w:iCs w:val="false"/>
                <w:sz w:val="20"/>
                <w:szCs w:val="20"/>
              </w:rPr>
              <w:t>), einen Strafzettel oder Gerichtspost. Wer nicht erscheint, verliert automatisch (</w:t>
            </w:r>
            <w:r>
              <w:rPr>
                <w:rFonts w:eastAsia="Cambria" w:cs="Cambria"/>
                <w:b w:val="false"/>
                <w:bCs w:val="false"/>
                <w:i/>
                <w:iCs/>
                <w:sz w:val="20"/>
                <w:szCs w:val="20"/>
              </w:rPr>
              <w:t>Default Judgment</w:t>
            </w:r>
            <w:r>
              <w:rPr>
                <w:rFonts w:eastAsia="Cambria" w:cs="Cambria"/>
                <w:b w:val="false"/>
                <w:bCs w:val="false"/>
                <w:i w:val="false"/>
                <w:iCs w:val="false"/>
                <w:sz w:val="20"/>
                <w:szCs w:val="20"/>
              </w:rPr>
              <w:t>); bei Strafzetteln folgen Führerscheinsperre oder Haftbefehl (</w:t>
            </w:r>
            <w:r>
              <w:rPr>
                <w:rFonts w:eastAsia="Cambria" w:cs="Cambria"/>
                <w:b w:val="false"/>
                <w:bCs w:val="false"/>
                <w:i/>
                <w:iCs/>
                <w:sz w:val="20"/>
                <w:szCs w:val="20"/>
              </w:rPr>
              <w:t>Bench Warrant</w:t>
            </w:r>
            <w:r>
              <w:rPr>
                <w:rFonts w:eastAsia="Cambria" w:cs="Cambria"/>
                <w:b w:val="false"/>
                <w:bCs w:val="false"/>
                <w:i w:val="false"/>
                <w:iCs w:val="false"/>
                <w:sz w:val="20"/>
                <w:szCs w:val="20"/>
              </w:rPr>
              <w:t>). Ein offener Haftbefehl fällt bei jeder Verlängerung und Einreise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So verhältst du dich</w:t>
      </w:r>
    </w:p>
    <w:p>
      <w:pPr>
        <w:pStyle w:val="Normal"/>
        <w:keepNext w:val="false"/>
        <w:keepLines w:val="false"/>
        <w:spacing w:lineRule="exact" w:line="288" w:before="0" w:after="140"/>
        <w:jc w:val="left"/>
        <w:rPr/>
      </w:pPr>
      <w:r>
        <w:rPr>
          <w:rFonts w:eastAsia="Cambria" w:cs="Cambria"/>
          <w:b/>
          <w:bCs/>
          <w:i w:val="false"/>
          <w:iCs w:val="false"/>
          <w:sz w:val="22"/>
          <w:szCs w:val="22"/>
        </w:rPr>
        <w:t>Verkehrskontrolle (</w:t>
      </w:r>
      <w:r>
        <w:rPr>
          <w:rFonts w:eastAsia="Cambria" w:cs="Cambria"/>
          <w:b/>
          <w:bCs/>
          <w:i/>
          <w:iCs/>
          <w:sz w:val="22"/>
          <w:szCs w:val="22"/>
        </w:rPr>
        <w:t>Traffic Stop</w:t>
      </w:r>
      <w:r>
        <w:rPr>
          <w:rFonts w:eastAsia="Cambria" w:cs="Cambria"/>
          <w:b/>
          <w:bCs/>
          <w:i w:val="false"/>
          <w:iCs w:val="false"/>
          <w:sz w:val="22"/>
          <w:szCs w:val="22"/>
        </w:rPr>
        <w:t>).</w:t>
      </w:r>
      <w:r>
        <w:rPr>
          <w:rFonts w:eastAsia="Cambria" w:cs="Cambria"/>
          <w:b w:val="false"/>
          <w:bCs w:val="false"/>
          <w:i w:val="false"/>
          <w:iCs w:val="false"/>
          <w:sz w:val="22"/>
          <w:szCs w:val="22"/>
        </w:rP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rFonts w:eastAsia="Cambria" w:cs="Cambria"/>
          <w:b w:val="false"/>
          <w:bCs w:val="false"/>
          <w:i/>
          <w:iCs/>
          <w:sz w:val="22"/>
          <w:szCs w:val="22"/>
        </w:rPr>
        <w:t>Registration</w:t>
      </w:r>
      <w:r>
        <w:rPr>
          <w:rFonts w:eastAsia="Cambria" w:cs="Cambria"/>
          <w:b w:val="false"/>
          <w:bCs w:val="false"/>
          <w:i w:val="false"/>
          <w:iCs w:val="false"/>
          <w:sz w:val="22"/>
          <w:szCs w:val="22"/>
        </w:rP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Filmen der Kontrolle.</w:t>
      </w:r>
      <w:r>
        <w:rPr>
          <w:rFonts w:eastAsia="Cambria" w:cs="Cambria"/>
          <w:b w:val="false"/>
          <w:bCs w:val="false"/>
          <w:i w:val="false"/>
          <w:iCs w:val="false"/>
          <w:sz w:val="22"/>
          <w:szCs w:val="22"/>
        </w:rPr>
        <w:t xml:space="preserve"> Das Handy laufen zu lassen ist nach mehreren Bundesberufungsgerichten durch den Ersten Verfassungszusatz gedeckt, solange du Polizeibeamte bei ihrer Arbeit im öffentlichen Raum offen filmst, statt sie zu stören. Entscheidend ist der Unterschied zwischen Beobachten und Einmischen: Handy sichtbar halten, Abstand wahren, Anweisungen weiter befolgen. In einer Handvoll Staaten gilt für Tonaufnahmen zusätzlich eine Zustimmungspflicht aller Beteiligten (</w:t>
      </w:r>
      <w:r>
        <w:rPr>
          <w:rFonts w:eastAsia="Cambria" w:cs="Cambria"/>
          <w:b w:val="false"/>
          <w:bCs w:val="false"/>
          <w:i/>
          <w:iCs/>
          <w:sz w:val="22"/>
          <w:szCs w:val="22"/>
        </w:rPr>
        <w:t>Two-Party Consent</w:t>
      </w:r>
      <w:r>
        <w:rPr>
          <w:rFonts w:eastAsia="Cambria" w:cs="Cambria"/>
          <w:b w:val="false"/>
          <w:bCs w:val="false"/>
          <w:i w:val="false"/>
          <w:iCs w:val="false"/>
          <w:sz w:val="22"/>
          <w:szCs w:val="22"/>
        </w:rPr>
        <w:t>); ob das auch für eine offen laufende Aufnahme von Polizeiarbeit im öffentlichen Raum gilt, ist je nach Staat unterschiedlich geregelt und im Zweifel nicht der Moment für einen Rechtsstreit an der Bordsteinkante.</w:t>
      </w:r>
    </w:p>
    <w:p>
      <w:pPr>
        <w:pStyle w:val="Normal"/>
        <w:keepNext w:val="false"/>
        <w:keepLines w:val="false"/>
        <w:spacing w:lineRule="exact" w:line="288" w:before="0" w:after="140"/>
        <w:jc w:val="left"/>
        <w:rPr/>
      </w:pPr>
      <w:r>
        <w:rPr>
          <w:rFonts w:eastAsia="Cambria" w:cs="Cambria"/>
          <w:b/>
          <w:bCs/>
          <w:i w:val="false"/>
          <w:iCs w:val="false"/>
          <w:sz w:val="22"/>
          <w:szCs w:val="22"/>
        </w:rPr>
        <w:t>Deine Rechte.</w:t>
      </w:r>
      <w:r>
        <w:rPr>
          <w:rFonts w:eastAsia="Cambria" w:cs="Cambria"/>
          <w:b w:val="false"/>
          <w:bCs w:val="false"/>
          <w:i w:val="false"/>
          <w:iCs w:val="false"/>
          <w:sz w:val="22"/>
          <w:szCs w:val="22"/>
        </w:rPr>
        <w:t xml:space="preserv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w:t>
      </w:r>
      <w:r>
        <w:rPr>
          <w:rFonts w:eastAsia="Cambria" w:cs="Cambria"/>
          <w:b w:val="false"/>
          <w:bCs w:val="false"/>
          <w:i/>
          <w:iCs/>
          <w:sz w:val="22"/>
          <w:szCs w:val="22"/>
        </w:rPr>
        <w:t>Stop and Identify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Festnahme.</w:t>
      </w:r>
      <w:r>
        <w:rPr>
          <w:rFonts w:eastAsia="Cambria" w:cs="Cambria"/>
          <w:b w:val="false"/>
          <w:bCs w:val="false"/>
          <w:i w:val="false"/>
          <w:iCs w:val="false"/>
          <w:sz w:val="22"/>
          <w:szCs w:val="22"/>
        </w:rPr>
        <w:t xml:space="preserve"> Leistest du keinen Widerstand, bleibt die Lage kontrollierbar. Sage nur Namen, Adresse und den Satz zum Anwalt. Im Strafverfahren steht dir ein kostenloser Pflichtverteidiger (</w:t>
      </w:r>
      <w:r>
        <w:rPr>
          <w:rFonts w:eastAsia="Cambria" w:cs="Cambria"/>
          <w:b w:val="false"/>
          <w:bCs w:val="false"/>
          <w:i/>
          <w:iCs/>
          <w:sz w:val="22"/>
          <w:szCs w:val="22"/>
        </w:rPr>
        <w:t>Public Defender</w:t>
      </w:r>
      <w:r>
        <w:rPr>
          <w:rFonts w:eastAsia="Cambria" w:cs="Cambria"/>
          <w:b w:val="false"/>
          <w:bCs w:val="false"/>
          <w:i w:val="false"/>
          <w:iCs w:val="false"/>
          <w:sz w:val="22"/>
          <w:szCs w:val="22"/>
        </w:rPr>
        <w:t xml:space="preserve">) zu, wenn du dir keinen Anwalt leisten kannst; im Einwanderungsverfahren gibt es das nicht. Sage deinem Verteidiger als Erstes, dass du kein Staatsbürger bist: Nach dem Urteil des Supreme Court in </w:t>
      </w:r>
      <w:r>
        <w:rPr>
          <w:rFonts w:eastAsia="Cambria" w:cs="Cambria"/>
          <w:b w:val="false"/>
          <w:bCs w:val="false"/>
          <w:i/>
          <w:iCs/>
          <w:sz w:val="22"/>
          <w:szCs w:val="22"/>
        </w:rPr>
        <w:t>Padilla v. Kentucky</w:t>
      </w:r>
      <w:r>
        <w:rPr>
          <w:rFonts w:eastAsia="Cambria" w:cs="Cambria"/>
          <w:b w:val="false"/>
          <w:bCs w:val="false"/>
          <w:i w:val="false"/>
          <w:iCs w:val="false"/>
          <w:sz w:val="22"/>
          <w:szCs w:val="22"/>
        </w:rPr>
        <w:t xml:space="preserve"> (2010) muss er dich über das Abschiebungsrisiko beraten.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oft frei; ein Kautionsagent verlangt dafür in den meisten Staaten rund 10 % der Summe, nicht erstattbar. Als Deutscher hast du das Recht, mit dem Konsulat zu sprechen (siehe unten).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Strafrecht und Einwanderung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Strafe droht Nichtstaatsbürgern der Verlust des Status: Widerruf des Visums, Abschiebung (</w:t>
      </w:r>
      <w:r>
        <w:rPr>
          <w:rFonts w:eastAsia="Cambria" w:cs="Cambria"/>
          <w:b w:val="false"/>
          <w:bCs w:val="false"/>
          <w:i/>
          <w:iCs/>
          <w:sz w:val="22"/>
          <w:szCs w:val="22"/>
        </w:rPr>
        <w:t>Removal</w:t>
      </w:r>
      <w:r>
        <w:rPr>
          <w:rFonts w:eastAsia="Cambria" w:cs="Cambria"/>
          <w:b w:val="false"/>
          <w:bCs w:val="false"/>
          <w:i w:val="false"/>
          <w:iCs w:val="false"/>
          <w:sz w:val="22"/>
          <w:szCs w:val="22"/>
        </w:rPr>
        <w:t>), abgelehnte Verlängerung, Green Card oder Einbürgerung. Zwei Begriffe entscheiden über die Schwere. Erstens die Verurteilung (</w:t>
      </w:r>
      <w:r>
        <w:rPr>
          <w:rFonts w:eastAsia="Cambria" w:cs="Cambria"/>
          <w:b w:val="false"/>
          <w:bCs w:val="false"/>
          <w:i/>
          <w:iCs/>
          <w:sz w:val="22"/>
          <w:szCs w:val="22"/>
        </w:rPr>
        <w:t>Conviction</w:t>
      </w:r>
      <w:r>
        <w:rPr>
          <w:rFonts w:eastAsia="Cambria" w:cs="Cambria"/>
          <w:b w:val="false"/>
          <w:bCs w:val="false"/>
          <w:i w:val="false"/>
          <w:iCs w:val="false"/>
          <w:sz w:val="22"/>
          <w:szCs w:val="22"/>
        </w:rPr>
        <w:t>):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tbl>
      <w:tblPr>
        <w:tblW w:w="6480" w:type="dxa"/>
        <w:jc w:val="left"/>
        <w:tblInd w:w="0" w:type="dxa"/>
        <w:tblLayout w:type="fixed"/>
        <w:tblCellMar>
          <w:top w:w="50" w:type="dxa"/>
          <w:left w:w="80" w:type="dxa"/>
          <w:bottom w:w="50" w:type="dxa"/>
          <w:right w:w="80" w:type="dxa"/>
        </w:tblCellMar>
      </w:tblPr>
      <w:tblGrid>
        <w:gridCol w:w="2238"/>
        <w:gridCol w:w="2239"/>
        <w:gridCol w:w="2003"/>
      </w:tblGrid>
      <w:tr>
        <w:trPr>
          <w:tblHeader w:val="true"/>
          <w:cantSplit w:val="true"/>
        </w:trPr>
        <w:tc>
          <w:tcPr>
            <w:tcW w:w="22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Delikt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Risiko für deinen Status</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Trunkenheit am Steuer (</w:t>
            </w:r>
            <w:r>
              <w:rPr>
                <w:rFonts w:eastAsia="Cambria" w:cs="Cambria"/>
                <w:b w:val="false"/>
                <w:bCs w:val="false"/>
                <w:i/>
                <w:iCs/>
                <w:sz w:val="18"/>
                <w:szCs w:val="18"/>
              </w:rPr>
              <w:t>DUI</w:t>
            </w:r>
            <w:r>
              <w:rPr>
                <w:rFonts w:eastAsia="Cambria" w:cs="Cambria"/>
                <w:b w:val="false"/>
                <w:bCs w:val="false"/>
                <w:i w:val="false"/>
                <w:iCs w:val="false"/>
                <w:sz w:val="18"/>
                <w:szCs w:val="18"/>
              </w:rPr>
              <w: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Visum-Widerruf möglich; bei Verletzten, Kind im Auto, entzogenem Führerschein oder Wiederholung kann es zum Abschiebegrund werden; Nachfragen bei Green Card und Einbürgerung</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Alkohol nie fahren; Fahrdienst nutzen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Drogen, auch Cannabis</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jede Verurteilung ist ein Abschiebegrund (Ausnahme: einmaliger Eigenbesitz bis 30 g Marihuana); auch Geständnis oder Branchentätigkeit kann zur Unzulässigkeit führen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Meiden, auch mit Landeserlaubnis</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Ladendiebstahl</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Diebstahl gilt meist als </w:t>
            </w:r>
            <w:r>
              <w:rPr>
                <w:rFonts w:eastAsia="Cambria" w:cs="Cambria"/>
                <w:b w:val="false"/>
                <w:bCs w:val="false"/>
                <w:i/>
                <w:iCs/>
                <w:sz w:val="18"/>
                <w:szCs w:val="18"/>
              </w:rPr>
              <w:t>CIMT</w:t>
            </w:r>
            <w:r>
              <w:rPr>
                <w:rFonts w:eastAsia="Cambria" w:cs="Cambria"/>
                <w:b w:val="false"/>
                <w:bCs w:val="false"/>
                <w:i w:val="false"/>
                <w:iCs w:val="false"/>
                <w:sz w:val="18"/>
                <w:szCs w:val="18"/>
              </w:rPr>
              <w:t xml:space="preserve"> (Delikt mit „sittlicher Verworfenheit“); zwei Taten oder eine Tat in den ersten fünf Jahren nach der Zulassung mit möglicher Jahresstrafe können reichen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mitnehmen, was nicht bezahlt ist; Vorwürfe nie ohne Anwalt beantworten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Körperverletzung, häusliche Gewalt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Abschiebegrund; in einigen Staaten führt ein Polizeieinsatz nach Streit zur Festnahme</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Streit deeskalieren, Hilfe suchen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Verkehrsverstöße</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 Statusproblem, zählen aber im Gesamtbild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oder anfechten, nie ignorieren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Diebstahl kommt eine zweite Ebene dazu: Mit einer verhängten Strafe von mindestens einem Jahr, auch auf Bewährung, wird er zum </w:t>
      </w:r>
      <w:r>
        <w:rPr>
          <w:rFonts w:eastAsia="Cambria" w:cs="Cambria"/>
          <w:b w:val="false"/>
          <w:bCs w:val="false"/>
          <w:i/>
          <w:iCs/>
          <w:sz w:val="22"/>
          <w:szCs w:val="22"/>
        </w:rPr>
        <w:t>Aggravated Felony</w:t>
      </w:r>
      <w:r>
        <w:rPr>
          <w:rFonts w:eastAsia="Cambria" w:cs="Cambria"/>
          <w:b w:val="false"/>
          <w:bCs w:val="false"/>
          <w:i w:val="false"/>
          <w:iCs w:val="false"/>
          <w:sz w:val="22"/>
          <w:szCs w:val="22"/>
        </w:rPr>
        <w:t>, einer Kategorie mit Abschiebung und wenigen Ausnahmen. Händler schicken bei Ladendiebstahl außerdem zivilrechtliche Forderungsschreiben, die du nicht ignorieren solltest. Die Wertgrenze, ab der aus dem Vergehen ein Verbrechen wird, legt jeder Staat selbst fest.</w:t>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Konsum, Besitz und Kauf können nach Bundesrecht zur Unzulässigkeit führen, auch ohne Verurteilung. Auch ein Geständnis gegenüber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(fiktives Beispiel), 24, studiert mit F-1-Visum in Boston. Nach einer Semesterparty misst die Polizei auf dem Heimweg 0,09 % BAC; er wird festgenommen und morgens gegen 500 $ Kaution entlassen. Der Verteidiger schlägt einen Deal vor: Schuldbekenntnis, Geldstrafe, Führerscheinsperre – Routine, sagt er, so laufe das hier meistens. Erst als Felix nachfragt, was das für sein Visum bedeutet, wird sein Ton vorsichtiger. Felix sagt, dass er kein Staatsbürger ist, und lässt den Wortlaut von einem Einwanderungsanwalt prüfen (Erstberatung 250 $). Der warnt: Das State Department kann das Visum widerrufen. Felix dürfte im Land bleiben, solange sein Status gilt, bräuchte für jede Auslandsreise aber ein neues Visum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Sage bei einem Angebot der Staatsanwaltschaft (</w:t>
            </w:r>
            <w:r>
              <w:rPr>
                <w:rFonts w:eastAsia="Cambria" w:cs="Cambria"/>
                <w:b w:val="false"/>
                <w:bCs w:val="false"/>
                <w:i/>
                <w:iCs/>
                <w:sz w:val="20"/>
                <w:szCs w:val="20"/>
              </w:rPr>
              <w:t>Plea Deal</w:t>
            </w:r>
            <w:r>
              <w:rPr>
                <w:rFonts w:eastAsia="Cambria" w:cs="Cambria"/>
                <w:b w:val="false"/>
                <w:bCs w:val="false"/>
                <w:i w:val="false"/>
                <w:iCs w:val="false"/>
                <w:sz w:val="20"/>
                <w:szCs w:val="20"/>
              </w:rPr>
              <w:t>) nie „schuldig“, bevor die Einwanderungsfolgen geprüft sind, auch nicht bei Bagatellen. Ein Strafverteidiger kennt das lokale Verfahren, aber oft nicht das Einwanderungsrecht; bitte beide, sich abzustimmen.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ist eine Orientierung, keine Rechts- oder Steuerberatung. Was eine Tat für deinen Status bedeutet, hängt vom Staat, vom Wortlaut der Einigung und deinem Aufenthaltsstatus ab. Klär es vorab mit einem Einwanderungsanwalt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 Recht, Aufbewahrung, Fragen an Gastgeber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Verfassungszusatz schützt den Waffenbesitz. Beim Kauf im lizenzierten Handel prüft ein bundesweites System die Käufer (</w:t>
      </w:r>
      <w:r>
        <w:rPr>
          <w:rFonts w:eastAsia="Cambria" w:cs="Cambria"/>
          <w:b w:val="false"/>
          <w:bCs w:val="false"/>
          <w:i/>
          <w:iCs/>
          <w:sz w:val="22"/>
          <w:szCs w:val="22"/>
        </w:rPr>
        <w:t>Background Check</w:t>
      </w:r>
      <w:r>
        <w:rPr>
          <w:rFonts w:eastAsia="Cambria" w:cs="Cambria"/>
          <w:b w:val="false"/>
          <w:bCs w:val="false"/>
          <w:i w:val="false"/>
          <w:iCs w:val="false"/>
          <w:sz w:val="22"/>
          <w:szCs w:val="22"/>
        </w:rPr>
        <w:t>); Privatverkäufe, Tragen und Transport regelt jeder Staat für sich. Zahlen und 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Für Nichtstaatsbürger unterscheidet das Bundesrecht klar:</w:t>
      </w:r>
    </w:p>
    <w:p>
      <w:pPr>
        <w:pStyle w:val="ListParagraph"/>
        <w:numPr>
          <w:ilvl w:val="0"/>
          <w:numId w:val="1"/>
        </w:numPr>
        <w:spacing w:lineRule="exact" w:line="288" w:before="0" w:after="60"/>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Erwerb und Besitz sind wie bei Staatsbürgern erlaubt, mit den zusätzlichen Auflagen deines Staats (Erlaubnisschein, Wartefrist, Kurs).</w:t>
      </w:r>
    </w:p>
    <w:p>
      <w:pPr>
        <w:pStyle w:val="ListParagraph"/>
        <w:numPr>
          <w:ilvl w:val="0"/>
          <w:numId w:val="1"/>
        </w:numPr>
        <w:spacing w:lineRule="exact" w:line="288" w:before="0" w:after="60"/>
        <w:rPr/>
      </w:pPr>
      <w:r>
        <w:rPr>
          <w:rFonts w:eastAsia="Cambria" w:cs="Cambria"/>
          <w:b/>
          <w:bCs/>
          <w:i w:val="false"/>
          <w:iCs w:val="false"/>
          <w:sz w:val="22"/>
          <w:szCs w:val="22"/>
        </w:rPr>
        <w:t>Nichteinwanderervisum</w:t>
      </w:r>
      <w:r>
        <w:rPr>
          <w:rFonts w:eastAsia="Cambria" w:cs="Cambria"/>
          <w:b w:val="false"/>
          <w:bCs w:val="false"/>
          <w:i w:val="false"/>
          <w:iCs w:val="false"/>
          <w:sz w:val="22"/>
          <w:szCs w:val="22"/>
        </w:rPr>
        <w:t xml:space="preserve">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t>
      </w:r>
      <w:r>
        <w:rPr>
          <w:rFonts w:eastAsia="Cambria" w:cs="Cambria"/>
          <w:b w:val="false"/>
          <w:bCs w:val="false"/>
          <w:i/>
          <w:iCs/>
          <w:sz w:val="22"/>
          <w:szCs w:val="22"/>
        </w:rPr>
        <w:t>Waiver</w:t>
      </w:r>
      <w:r>
        <w:rPr>
          <w:rFonts w:eastAsia="Cambria" w:cs="Cambria"/>
          <w:b w:val="false"/>
          <w:bCs w:val="false"/>
          <w:i w:val="false"/>
          <w:iCs w:val="false"/>
          <w:sz w:val="22"/>
          <w:szCs w:val="22"/>
        </w:rPr>
        <w:t>). Ein Verstoß ist ein Bundesverbrechen mit bis zu 15 Jahren Haft und beendet fast sicher deinen Aufenthalt.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Zieht ein Waffenbesitzer in deiner Wohnung oder in deinem Auto etwas ab, kann das als Besitz zählen. Fasse fremde Waffen nicht an, leihe keine aus und nimm auch nichts zur Aufbewahrung an. Ein Probeschießen am Schießstand mit geliehener Waffe ist für Visum-Inhaber eine Grauzone; lass es ohne anwaltliche Klärung. Aus Deutschland mitbringen solltest du Waffen nicht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LGBTQ+: Rechtslage und Sicherheit je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zählt bundesweit unabhängig vom Geschlecht der Partner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Darüber hinaus ist die Rechtslage so uneinheitlich wie bei kaum einem anderen Thema in diesem Buch, und sie ändert sich schnell.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Bundesweit einheitlich gelten zwei Dinge: Die Ehe ist seit 2015 in allen Bundesstaaten geöffnet (</w:t>
      </w:r>
      <w:r>
        <w:rPr>
          <w:rFonts w:eastAsia="Cambria" w:cs="Cambria"/>
          <w:b w:val="false"/>
          <w:bCs w:val="false"/>
          <w:i/>
          <w:iCs/>
          <w:sz w:val="22"/>
          <w:szCs w:val="22"/>
        </w:rPr>
        <w:t>Obergefell v. Hodges</w:t>
      </w:r>
      <w:r>
        <w:rPr>
          <w:rFonts w:eastAsia="Cambria" w:cs="Cambria"/>
          <w:b w:val="false"/>
          <w:bCs w:val="false"/>
          <w:i w:val="false"/>
          <w:iCs w:val="false"/>
          <w:sz w:val="22"/>
          <w:szCs w:val="22"/>
        </w:rPr>
        <w:t>), und Kündigung wegen sexueller Orientierung oder Geschlechtsidentität verstößt seit einem Urteil des Obersten Gerichtshofs von 2020 (</w:t>
      </w:r>
      <w:r>
        <w:rPr>
          <w:rFonts w:eastAsia="Cambria" w:cs="Cambria"/>
          <w:b w:val="false"/>
          <w:bCs w:val="false"/>
          <w:i/>
          <w:iCs/>
          <w:sz w:val="22"/>
          <w:szCs w:val="22"/>
        </w:rPr>
        <w:t>Bostock v. Clayton County</w:t>
      </w:r>
      <w:r>
        <w:rPr>
          <w:rFonts w:eastAsia="Cambria" w:cs="Cambria"/>
          <w:b w:val="false"/>
          <w:bCs w:val="false"/>
          <w:i w:val="false"/>
          <w:iCs w:val="false"/>
          <w:sz w:val="22"/>
          <w:szCs w:val="22"/>
        </w:rPr>
        <w:t xml:space="preserve">) gegen das Bundes-Antidiskriminierungsrecht </w:t>
      </w:r>
      <w:r>
        <w:rPr>
          <w:rFonts w:eastAsia="Cambria" w:cs="Cambria"/>
          <w:b w:val="false"/>
          <w:bCs w:val="false"/>
          <w:i/>
          <w:iCs/>
          <w:sz w:val="22"/>
          <w:szCs w:val="22"/>
        </w:rPr>
        <w:t>Title VII</w:t>
      </w:r>
      <w:r>
        <w:rPr>
          <w:rFonts w:eastAsia="Cambria" w:cs="Cambria"/>
          <w:b w:val="false"/>
          <w:bCs w:val="false"/>
          <w:i w:val="false"/>
          <w:iCs w:val="false"/>
          <w:sz w:val="22"/>
          <w:szCs w:val="22"/>
        </w:rPr>
        <w:t xml:space="preserve"> – das gilt bei Arbeitgebern ab 15 Beschäftigten in jedem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folgenreichsten für Familien ist die medizinische Versorgung trans Jugendlicher. Der Oberste Gerichtshof entschied im Juni 2025 (</w:t>
      </w:r>
      <w:r>
        <w:rPr>
          <w:rFonts w:eastAsia="Cambria" w:cs="Cambria"/>
          <w:b w:val="false"/>
          <w:bCs w:val="false"/>
          <w:i/>
          <w:iCs/>
          <w:sz w:val="22"/>
          <w:szCs w:val="22"/>
        </w:rPr>
        <w:t>United States v. Skrmetti</w:t>
      </w:r>
      <w:r>
        <w:rPr>
          <w:rFonts w:eastAsia="Cambria" w:cs="Cambria"/>
          <w:b w:val="false"/>
          <w:bCs w:val="false"/>
          <w:i w:val="false"/>
          <w:iCs w:val="false"/>
          <w:sz w:val="22"/>
          <w:szCs w:val="22"/>
        </w:rPr>
        <w:t>),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Ziehst du mit einem minderjährigen trans Kind, das bereits in Behandlung ist, entscheidet allein der Bundesstaat, ob diese Behandlung dort fortgesetzt werden darf. Prüfe das für jeden infrage kommenden Wohnort, bevor du unterschreibst,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aktuellen Stand je Bundesstaat (Antidiskriminierung, Familienrecht, Gesundheitsversorgung, Schulrecht) führt die überparteiliche Organisation </w:t>
      </w:r>
      <w:r>
        <w:rPr>
          <w:rFonts w:eastAsia="Cambria" w:cs="Cambria"/>
          <w:b w:val="false"/>
          <w:bCs w:val="false"/>
          <w:i/>
          <w:iCs/>
          <w:sz w:val="22"/>
          <w:szCs w:val="22"/>
        </w:rPr>
        <w:t>Movement Advancement Project</w:t>
      </w:r>
      <w:r>
        <w:rPr>
          <w:rFonts w:eastAsia="Cambria" w:cs="Cambria"/>
          <w:b w:val="false"/>
          <w:bCs w:val="false"/>
          <w:i w:val="false"/>
          <w:iCs w:val="false"/>
          <w:sz w:val="22"/>
          <w:szCs w:val="22"/>
        </w:rPr>
        <w:t xml:space="preserve"> eine laufend aktualisierte Übersichtskarte. Bei der Wohnortwahl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und bei Schulentscheidungen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lohnt sich ein Blick dorthin, bevor du dich festlegst.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sachlich und die Wahl des Viertels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Kriminalität schwankt zwischen Städten stark, und innerhalb einer Stadt oft mehr als zwischen Städten: Ein Großteil der Delikte konzentriert sich auf wenige Straßenzüge. Pauschale Urteile über „gefährliche Städte“ helfen dir also nicht, konkrete Kriterien schon:</w:t>
      </w:r>
    </w:p>
    <w:p>
      <w:pPr>
        <w:pStyle w:val="ListParagraph"/>
        <w:numPr>
          <w:ilvl w:val="0"/>
          <w:numId w:val="219"/>
        </w:numPr>
        <w:spacing w:lineRule="exact" w:line="288" w:before="0" w:after="60"/>
        <w:rPr/>
      </w:pPr>
      <w:r>
        <w:rPr>
          <w:rFonts w:eastAsia="Cambria" w:cs="Cambria"/>
          <w:b/>
          <w:bCs/>
          <w:i w:val="false"/>
          <w:iCs w:val="false"/>
          <w:sz w:val="22"/>
          <w:szCs w:val="22"/>
        </w:rPr>
        <w:t>Daten der Adresse:</w:t>
      </w:r>
      <w:r>
        <w:rPr>
          <w:rFonts w:eastAsia="Cambria" w:cs="Cambria"/>
          <w:b w:val="false"/>
          <w:bCs w:val="false"/>
          <w:i w:val="false"/>
          <w:iCs w:val="false"/>
          <w:sz w:val="22"/>
          <w:szCs w:val="22"/>
        </w:rPr>
        <w:t xml:space="preserve"> Viele Polizeibehörden veröffentlichen Kriminalitätskarten; landesweite Zahlen gibt es im FBI Crime Data Explorer (cde.fbi.gov).</w:t>
      </w:r>
    </w:p>
    <w:p>
      <w:pPr>
        <w:pStyle w:val="ListParagraph"/>
        <w:numPr>
          <w:ilvl w:val="0"/>
          <w:numId w:val="220"/>
        </w:numPr>
        <w:spacing w:lineRule="exact" w:line="288" w:before="0" w:after="60"/>
        <w:rPr/>
      </w:pPr>
      <w:r>
        <w:rPr>
          <w:rFonts w:eastAsia="Cambria" w:cs="Cambria"/>
          <w:b/>
          <w:bCs/>
          <w:i w:val="false"/>
          <w:iCs w:val="false"/>
          <w:sz w:val="22"/>
          <w:szCs w:val="22"/>
        </w:rPr>
        <w:t>Sexualstraftäterregister:</w:t>
      </w:r>
      <w:r>
        <w:rPr>
          <w:rFonts w:eastAsia="Cambria" w:cs="Cambria"/>
          <w:b w:val="false"/>
          <w:bCs w:val="false"/>
          <w:i w:val="false"/>
          <w:iCs w:val="false"/>
          <w:sz w:val="22"/>
          <w:szCs w:val="22"/>
        </w:rPr>
        <w:t xml:space="preserve"> Die Website nsopw.gov durchsucht alle Staaten nach registrierten Tätern in Adressnähe.</w:t>
      </w:r>
    </w:p>
    <w:p>
      <w:pPr>
        <w:pStyle w:val="ListParagraph"/>
        <w:numPr>
          <w:ilvl w:val="0"/>
          <w:numId w:val="221"/>
        </w:numPr>
        <w:spacing w:lineRule="exact" w:line="288" w:before="0" w:after="60"/>
        <w:rPr/>
      </w:pPr>
      <w:r>
        <w:rPr>
          <w:rFonts w:eastAsia="Cambria" w:cs="Cambria"/>
          <w:b/>
          <w:bCs/>
          <w:i w:val="false"/>
          <w:iCs w:val="false"/>
          <w:sz w:val="22"/>
          <w:szCs w:val="22"/>
        </w:rPr>
        <w:t>Besuch zu verschiedenen Zeiten:</w:t>
      </w:r>
      <w:r>
        <w:rPr>
          <w:rFonts w:eastAsia="Cambria" w:cs="Cambria"/>
          <w:b w:val="false"/>
          <w:bCs w:val="false"/>
          <w:i w:val="false"/>
          <w:iCs w:val="false"/>
          <w:sz w:val="22"/>
          <w:szCs w:val="22"/>
        </w:rPr>
        <w:t xml:space="preserve"> Werktag, Abend, Wochenende. Achte auf Beleuchtung, Zustand der Gebäude, Leerstand und Verkehr.</w:t>
      </w:r>
    </w:p>
    <w:p>
      <w:pPr>
        <w:pStyle w:val="ListParagraph"/>
        <w:numPr>
          <w:ilvl w:val="0"/>
          <w:numId w:val="222"/>
        </w:numPr>
        <w:spacing w:lineRule="exact" w:line="288" w:before="0" w:after="60"/>
        <w:rPr/>
      </w:pPr>
      <w:r>
        <w:rPr>
          <w:rFonts w:eastAsia="Cambria" w:cs="Cambria"/>
          <w:b/>
          <w:bCs/>
          <w:i w:val="false"/>
          <w:iCs w:val="false"/>
          <w:sz w:val="22"/>
          <w:szCs w:val="22"/>
        </w:rPr>
        <w:t>Nachbarn, Schulen und Vermieter fragen:</w:t>
      </w:r>
      <w:r>
        <w:rPr>
          <w:rFonts w:eastAsia="Cambria" w:cs="Cambria"/>
          <w:b w:val="false"/>
          <w:bCs w:val="false"/>
          <w:i w:val="false"/>
          <w:iCs w:val="false"/>
          <w:sz w:val="22"/>
          <w:szCs w:val="22"/>
        </w:rPr>
        <w:t xml:space="preserv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ListParagraph"/>
        <w:numPr>
          <w:ilvl w:val="0"/>
          <w:numId w:val="223"/>
        </w:numPr>
        <w:spacing w:lineRule="exact" w:line="288" w:before="0" w:after="60"/>
        <w:rPr/>
      </w:pPr>
      <w:r>
        <w:rPr>
          <w:rFonts w:eastAsia="Cambria" w:cs="Cambria"/>
          <w:b/>
          <w:bCs/>
          <w:i w:val="false"/>
          <w:iCs w:val="false"/>
          <w:sz w:val="22"/>
          <w:szCs w:val="22"/>
        </w:rPr>
        <w:t>Eigentumsdelikte einplanen:</w:t>
      </w:r>
      <w:r>
        <w:rPr>
          <w:rFonts w:eastAsia="Cambria" w:cs="Cambria"/>
          <w:b w:val="false"/>
          <w:bCs w:val="false"/>
          <w:i w:val="false"/>
          <w:iCs w:val="false"/>
          <w:sz w:val="22"/>
          <w:szCs w:val="22"/>
        </w:rPr>
        <w:t xml:space="preserve"> Autoaufbrüche und Paketdiebstähle sind häufiger als Gewalt. Lasse nichts sichtbar im Auto, nutze Paketfächer oder Abholstationen.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einem Überfall gibst du Wertsachen heraus und rufst danach 911; Gegenwehr lohnt selten. Für den seltenen Fall einer Schießerei empfehlen Behörden die Regel </w:t>
      </w:r>
      <w:r>
        <w:rPr>
          <w:rFonts w:eastAsia="Cambria" w:cs="Cambria"/>
          <w:b w:val="false"/>
          <w:bCs w:val="false"/>
          <w:i/>
          <w:iCs/>
          <w:sz w:val="22"/>
          <w:szCs w:val="22"/>
        </w:rPr>
        <w:t>Run, Hide, Fight</w:t>
      </w:r>
      <w:r>
        <w:rPr>
          <w:rFonts w:eastAsia="Cambria" w:cs="Cambria"/>
          <w:b w:val="false"/>
          <w:bCs w:val="false"/>
          <w:i w:val="false"/>
          <w:iCs w:val="false"/>
          <w:sz w:val="22"/>
          <w:szCs w:val="22"/>
        </w:rPr>
        <w:t>: Fluchtweg suchen, sich verstecken, nur im äußersten Notfall wehren. Aufsicht über Kinder: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und Scams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Verbraucherschutzbehörde FTC verzeichnete für 2025 rund 16 Milliarden $ gemeldete Betrugsverluste, etwa ein Viertel mehr als 2024. Am häufigsten sind Imitationen (</w:t>
      </w:r>
      <w:r>
        <w:rPr>
          <w:rFonts w:eastAsia="Cambria" w:cs="Cambria"/>
          <w:b w:val="false"/>
          <w:bCs w:val="false"/>
          <w:i/>
          <w:iCs/>
          <w:sz w:val="22"/>
          <w:szCs w:val="22"/>
        </w:rPr>
        <w:t>Imposter Scams</w:t>
      </w:r>
      <w:r>
        <w:rPr>
          <w:rFonts w:eastAsia="Cambria" w:cs="Cambria"/>
          <w:b w:val="false"/>
          <w:bCs w:val="false"/>
          <w:i w:val="false"/>
          <w:iCs w:val="false"/>
          <w:sz w:val="22"/>
          <w:szCs w:val="22"/>
        </w:rP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dazu kommen:</w:t>
      </w:r>
    </w:p>
    <w:p>
      <w:pPr>
        <w:pStyle w:val="ListParagraph"/>
        <w:numPr>
          <w:ilvl w:val="0"/>
          <w:numId w:val="1"/>
        </w:numPr>
        <w:spacing w:lineRule="exact" w:line="288" w:before="0" w:after="60"/>
        <w:rPr/>
      </w:pPr>
      <w:r>
        <w:rPr>
          <w:rFonts w:eastAsia="Cambria" w:cs="Cambria"/>
          <w:b/>
          <w:bCs/>
          <w:i w:val="false"/>
          <w:iCs w:val="false"/>
          <w:sz w:val="22"/>
          <w:szCs w:val="22"/>
        </w:rPr>
        <w:t>Bank-Alarm:</w:t>
      </w:r>
      <w:r>
        <w:rPr>
          <w:rFonts w:eastAsia="Cambria" w:cs="Cambria"/>
          <w:b w:val="false"/>
          <w:bCs w:val="false"/>
          <w:i w:val="false"/>
          <w:iCs w:val="false"/>
          <w:sz w:val="22"/>
          <w:szCs w:val="22"/>
        </w:rPr>
        <w:t xml:space="preserve"> SMS oder Anruf „verdächtige Abbuchung“, oft mit gefälschter Absendernummer. Lege auf und rufe die Nummer auf deiner Karte an.</w:t>
      </w:r>
    </w:p>
    <w:p>
      <w:pPr>
        <w:pStyle w:val="ListParagraph"/>
        <w:numPr>
          <w:ilvl w:val="0"/>
          <w:numId w:val="1"/>
        </w:numPr>
        <w:spacing w:lineRule="exact" w:line="288" w:before="0" w:after="60"/>
        <w:rPr/>
      </w:pPr>
      <w:r>
        <w:rPr>
          <w:rFonts w:eastAsia="Cambria" w:cs="Cambria"/>
          <w:b/>
          <w:bCs/>
          <w:i w:val="false"/>
          <w:iCs w:val="false"/>
          <w:sz w:val="22"/>
          <w:szCs w:val="22"/>
        </w:rPr>
        <w:t>Maut- und Paket-SMS:</w:t>
      </w:r>
      <w:r>
        <w:rPr>
          <w:rFonts w:eastAsia="Cambria" w:cs="Cambria"/>
          <w:b w:val="false"/>
          <w:bCs w:val="false"/>
          <w:i w:val="false"/>
          <w:iCs w:val="false"/>
          <w:sz w:val="22"/>
          <w:szCs w:val="22"/>
        </w:rPr>
        <w:t xml:space="preserve"> „Offene Mautgebühr“ mit Link, formuliert mit einer Dringlichkeit, die keine echte Behörde je an den Tag legt; öffne ihn nie.</w:t>
      </w:r>
    </w:p>
    <w:p>
      <w:pPr>
        <w:pStyle w:val="ListParagraph"/>
        <w:numPr>
          <w:ilvl w:val="0"/>
          <w:numId w:val="1"/>
        </w:numPr>
        <w:spacing w:lineRule="exact" w:line="288" w:before="0" w:after="60"/>
        <w:rPr/>
      </w:pPr>
      <w:r>
        <w:rPr>
          <w:rFonts w:eastAsia="Cambria" w:cs="Cambria"/>
          <w:b/>
          <w:bCs/>
          <w:i w:val="false"/>
          <w:iCs w:val="false"/>
          <w:sz w:val="22"/>
          <w:szCs w:val="22"/>
        </w:rPr>
        <w:t>Anlage- und Romantikbetrug:</w:t>
      </w:r>
      <w:r>
        <w:rPr>
          <w:rFonts w:eastAsia="Cambria" w:cs="Cambria"/>
          <w:b w:val="false"/>
          <w:bCs w:val="false"/>
          <w:i w:val="false"/>
          <w:iCs w:val="false"/>
          <w:sz w:val="22"/>
          <w:szCs w:val="22"/>
        </w:rPr>
        <w:t xml:space="preserve"> Kontakt über Chat oder Dating-App, dann „sichere Krypto-Anlage“.</w:t>
      </w:r>
    </w:p>
    <w:p>
      <w:pPr>
        <w:pStyle w:val="ListParagraph"/>
        <w:numPr>
          <w:ilvl w:val="0"/>
          <w:numId w:val="1"/>
        </w:numPr>
        <w:spacing w:lineRule="exact" w:line="288" w:before="0" w:after="60"/>
        <w:rPr/>
      </w:pPr>
      <w:r>
        <w:rPr>
          <w:rFonts w:eastAsia="Cambria" w:cs="Cambria"/>
          <w:b/>
          <w:bCs/>
          <w:i w:val="false"/>
          <w:iCs w:val="false"/>
          <w:sz w:val="22"/>
          <w:szCs w:val="22"/>
        </w:rPr>
        <w:t>Schockanruf in Deutschland:</w:t>
      </w:r>
      <w:r>
        <w:rPr>
          <w:rFonts w:eastAsia="Cambria" w:cs="Cambria"/>
          <w:b w:val="false"/>
          <w:bCs w:val="false"/>
          <w:i w:val="false"/>
          <w:iCs w:val="false"/>
          <w:sz w:val="22"/>
          <w:szCs w:val="22"/>
        </w:rPr>
        <w:t xml:space="preserve"> Deine Eltern hören, dass du verhaftet wurdest oder einen Unfall hattest. Vereinbare ein Codewort.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Regeln:</w:t>
      </w:r>
      <w:r>
        <w:rPr>
          <w:rFonts w:eastAsia="Cambria" w:cs="Cambria"/>
          <w:b w:val="false"/>
          <w:bCs w:val="false"/>
          <w:i w:val="false"/>
          <w:iCs w:val="false"/>
          <w:sz w:val="22"/>
          <w:szCs w:val="22"/>
        </w:rPr>
        <w:t xml:space="preserve"> Zahle nie unter Zeitdruck, nie per Geschenkkarte, Krypto oder Zelle an Unbekannte. Behörden fordern keine SSN am Telefon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Kreditkarten schützen besser als Überweisungen: Bei unautorisierten Zahlungen begrenzt Bundesrecht die Haftung auf 50 $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Meldestellen: reportfraud.ftc.gov, bei Identitätsdiebstahl identitytheft.gov.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Kredit-Freeze bei Equifax, Experian und TransUnion kostet nichts und verhindert, dass Betrüger mit deiner SSN neue Kredite eröffnen. Du hebst ihn für eigene Anträge kurz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Notfälle: 911 und Krankenwagen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Grundlagen zum Notruf 911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rFonts w:eastAsia="Cambria" w:cs="Cambria"/>
          <w:b w:val="false"/>
          <w:bCs w:val="false"/>
          <w:i/>
          <w:iCs/>
          <w:sz w:val="22"/>
          <w:szCs w:val="22"/>
        </w:rPr>
        <w:t>Ambulance</w:t>
      </w:r>
      <w:r>
        <w:rPr>
          <w:rFonts w:eastAsia="Cambria" w:cs="Cambria"/>
          <w:b w:val="false"/>
          <w:bCs w:val="false"/>
          <w:i w:val="false"/>
          <w:iCs w:val="false"/>
          <w:sz w:val="22"/>
          <w:szCs w:val="22"/>
        </w:rPr>
        <w:t xml:space="preserve">) kostet Geld, oft mehrere hundert bis über tausend Dollar, und der Schutz des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gilt nicht für Bodenrettung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Zögere trotzdem nicht: Rechnungen lassen sich verhandeln, Leben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Naturkatastrophen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droht, hängt vom Wohnort ab (Orte: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054"/>
        <w:gridCol w:w="3425"/>
      </w:tblGrid>
      <w:tr>
        <w:trPr>
          <w:tblHeader w:val="true"/>
          <w:cantSplit w:val="true"/>
        </w:trPr>
        <w:tc>
          <w:tcPr>
            <w:tcW w:w="30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Atlantikküste, Carolinas (Raum Raleigh–Durham durch Restzyklone)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Hurrikane, Überflutung; Saison 1. Juni bis 30. November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 Mittlerer Westen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(Frühjahr bis Sommer), Blizzards, Stromausfälle</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Nordosten (Boston)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Nor’easter</w:t>
            </w:r>
            <w:r>
              <w:rPr>
                <w:rFonts w:eastAsia="Cambria" w:cs="Cambria"/>
                <w:b w:val="false"/>
                <w:bCs w:val="false"/>
                <w:i w:val="false"/>
                <w:iCs w:val="false"/>
                <w:sz w:val="18"/>
                <w:szCs w:val="18"/>
              </w:rPr>
              <w:t xml:space="preserve"> (Nordoststurm), Schneestürme, Küstenflut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Westküste (Seattle)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Waldbrände und Rauch im Sommer und Herbst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Südwesten (Phoenix)</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 Monsun vom 15. Juni bis 30. September mit Staubstürmen und Sturzfluten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Wetterdienst unterscheidet </w:t>
      </w:r>
      <w:r>
        <w:rPr>
          <w:rFonts w:eastAsia="Cambria" w:cs="Cambria"/>
          <w:b w:val="false"/>
          <w:bCs w:val="false"/>
          <w:i/>
          <w:iCs/>
          <w:sz w:val="22"/>
          <w:szCs w:val="22"/>
        </w:rPr>
        <w:t>Watch</w:t>
      </w:r>
      <w:r>
        <w:rPr>
          <w:rFonts w:eastAsia="Cambria" w:cs="Cambria"/>
          <w:b w:val="false"/>
          <w:bCs w:val="false"/>
          <w:i w:val="false"/>
          <w:iCs w:val="false"/>
          <w:sz w:val="22"/>
          <w:szCs w:val="22"/>
        </w:rPr>
        <w:t xml:space="preserve"> (Bedingungen möglich, sei vorbereitet) und </w:t>
      </w:r>
      <w:r>
        <w:rPr>
          <w:rFonts w:eastAsia="Cambria" w:cs="Cambria"/>
          <w:b w:val="false"/>
          <w:bCs w:val="false"/>
          <w:i/>
          <w:iCs/>
          <w:sz w:val="22"/>
          <w:szCs w:val="22"/>
        </w:rPr>
        <w:t>Warning</w:t>
      </w:r>
      <w:r>
        <w:rPr>
          <w:rFonts w:eastAsia="Cambria" w:cs="Cambria"/>
          <w:b w:val="false"/>
          <w:bCs w:val="false"/>
          <w:i w:val="false"/>
          <w:iCs w:val="false"/>
          <w:sz w:val="22"/>
          <w:szCs w:val="22"/>
        </w:rPr>
        <w:t xml:space="preserve"> (Gefahr akut, handle jetzt). Warnungen kommen automatisch als </w:t>
      </w:r>
      <w:r>
        <w:rPr>
          <w:rFonts w:eastAsia="Cambria" w:cs="Cambria"/>
          <w:b w:val="false"/>
          <w:bCs w:val="false"/>
          <w:i/>
          <w:iCs/>
          <w:sz w:val="22"/>
          <w:szCs w:val="22"/>
        </w:rPr>
        <w:t>Wireless Emergency Alert</w:t>
      </w:r>
      <w:r>
        <w:rPr>
          <w:rFonts w:eastAsia="Cambria" w:cs="Cambria"/>
          <w:b w:val="false"/>
          <w:bCs w:val="false"/>
          <w:i w:val="false"/>
          <w:iCs w:val="false"/>
          <w:sz w:val="22"/>
          <w:szCs w:val="22"/>
        </w:rPr>
        <w:t xml:space="preserve"> auf dein Handy, ähnlich dem Cell Broadcast in Deutschland; dazu gibt es weather.gov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einer Katastrophe setzt die individuelle Hilfe der Katastrophenschutzbehörde FEMA in der Regel Staatsbürgerschaft oder den Status </w:t>
      </w:r>
      <w:r>
        <w:rPr>
          <w:rFonts w:eastAsia="Cambria" w:cs="Cambria"/>
          <w:b w:val="false"/>
          <w:bCs w:val="false"/>
          <w:i/>
          <w:iCs/>
          <w:sz w:val="22"/>
          <w:szCs w:val="22"/>
        </w:rPr>
        <w:t>Qualified Alien</w:t>
      </w:r>
      <w:r>
        <w:rPr>
          <w:rFonts w:eastAsia="Cambria" w:cs="Cambria"/>
          <w:b w:val="false"/>
          <w:bCs w:val="false"/>
          <w:i w:val="false"/>
          <w:iCs w:val="false"/>
          <w:sz w:val="22"/>
          <w:szCs w:val="22"/>
        </w:rPr>
        <w:t xml:space="preserve"> voraus (dazu zählen Green-Card-Inhaber); Inhaber befristeter Visa sind meist nicht antragsberechtigt, für Kinder mit US-Staatsbürgerschaft können Eltern aber Hilfe beantragen (disasterassistance.gov). Notunterkünfte stehen in der Regel allen offen.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Datenschutz und digitale 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Grundlagen zum US-Datenschutz (keine DSGVO, Einzelgesetze und Landesrecht)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Pflichten von Nichtstaatsbürgern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Nichtstaatsbürger unterliegst du einigen Pflichten, die es in Deutschland so nicht gibt. Die wichtigsten im Überblick:</w:t>
      </w:r>
    </w:p>
    <w:tbl>
      <w:tblPr>
        <w:tblW w:w="6480" w:type="dxa"/>
        <w:jc w:val="left"/>
        <w:tblInd w:w="0" w:type="dxa"/>
        <w:tblLayout w:type="fixed"/>
        <w:tblCellMar>
          <w:top w:w="50" w:type="dxa"/>
          <w:left w:w="80" w:type="dxa"/>
          <w:bottom w:w="50" w:type="dxa"/>
          <w:right w:w="80" w:type="dxa"/>
        </w:tblCellMar>
      </w:tblPr>
      <w:tblGrid>
        <w:gridCol w:w="2021"/>
        <w:gridCol w:w="1600"/>
        <w:gridCol w:w="1176"/>
        <w:gridCol w:w="1682"/>
      </w:tblGrid>
      <w:tr>
        <w:trPr>
          <w:tblHeader w:val="true"/>
          <w:cantSplit w:val="true"/>
        </w:trPr>
        <w:tc>
          <w:tcPr>
            <w:tcW w:w="20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Pflicht</w:t>
            </w:r>
          </w:p>
        </w:tc>
        <w:tc>
          <w:tcPr>
            <w:tcW w:w="16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Gilt für</w:t>
            </w:r>
          </w:p>
        </w:tc>
        <w:tc>
          <w:tcPr>
            <w:tcW w:w="11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musst</w:t>
            </w:r>
          </w:p>
        </w:tc>
        <w:tc>
          <w:tcPr>
            <w:tcW w:w="1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 bei Verstoß</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Registrierungsnachweis mitführen (8 U.S.C. § 1304(e))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 Jahren</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Original; sonst I-94 (Ausdruck oder Handy) mit Pass und Visum bzw. Bescheid I-797A oder EAD</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Vergehen; nach USCIS bis 5.000 $ und/oder 30 Tage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(Form G-325R)</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14 Jahren, wenn noch nicht registriert</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mit Visum eingereist ist oder Green Card oder EAD hat, gilt als registriert; sonst online mit Biometrie</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Vorsätzliches Unterlassen: bis 5.000 $ und/oder 6 Monate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(AR-11)</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Nichtstaatsbürger</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Jeden Umzug binnen 10 Tagen online melden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USCIS bis 5.000 $ und/oder 30 Tage Haft; kann Abschiebeverfahren auslösen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Wahlverbot</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wählen, dich nicht registrieren lassen, dich nie als Staatsbürger ausgeben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Strafbar; kann Abschiebung und Einreisesperre bedeuten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Männer von 18 bis 25 mit Green Card</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Binnen 30 Tagen nach Einreise oder 18. Geburtstag registrieren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Nachteile bei Einbürgerung, Bundesjobs, staatlicher Studienhilfe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Registrierung und Nachweis.</w:t>
      </w:r>
      <w:r>
        <w:rPr>
          <w:rFonts w:eastAsia="Cambria" w:cs="Cambria"/>
          <w:b w:val="false"/>
          <w:bCs w:val="false"/>
          <w:i w:val="false"/>
          <w:iCs w:val="false"/>
          <w:sz w:val="22"/>
          <w:szCs w:val="22"/>
        </w:rPr>
        <w:t xml:space="preserve">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i94.cbp.dhs.gov herunter, speichere es auf dem Handy und lege einen Ausdruck in die Brieftasche. Kinder, die 14 werden, müssen laut USCIS binnen 30 Tagen nach dem Geburtstag erneut erfasst werden; frage deine Anwältin, wie das bei deiner Familie läuft.</w:t>
      </w:r>
    </w:p>
    <w:p>
      <w:pPr>
        <w:pStyle w:val="Normal"/>
        <w:keepNext w:val="false"/>
        <w:keepLines w:val="false"/>
        <w:spacing w:lineRule="exact" w:line="288" w:before="0" w:after="140"/>
        <w:jc w:val="left"/>
        <w:rPr/>
      </w:pPr>
      <w:r>
        <w:rPr>
          <w:rFonts w:eastAsia="Cambria" w:cs="Cambria"/>
          <w:b/>
          <w:bCs/>
          <w:i w:val="false"/>
          <w:iCs w:val="false"/>
          <w:sz w:val="22"/>
          <w:szCs w:val="22"/>
        </w:rPr>
        <w:t>Wählen verboten.</w:t>
      </w:r>
      <w:r>
        <w:rPr>
          <w:rFonts w:eastAsia="Cambria" w:cs="Cambria"/>
          <w:b w:val="false"/>
          <w:bCs w:val="false"/>
          <w:i w:val="false"/>
          <w:iCs w:val="false"/>
          <w:sz w:val="22"/>
          <w:szCs w:val="22"/>
        </w:rPr>
        <w:t xml:space="preserve"> Bei Bundeswahlen ist die Stimmabgabe für Nichtstaatsbürger strafbar; auch die Registrierung im Wählerverzeichnis kann Abschiebung nach sich ziehen. Beim Führerscheinantrag im </w:t>
      </w:r>
      <w:r>
        <w:rPr>
          <w:rFonts w:eastAsia="Cambria" w:cs="Cambria"/>
          <w:b w:val="false"/>
          <w:bCs w:val="false"/>
          <w:i/>
          <w:iCs/>
          <w:sz w:val="22"/>
          <w:szCs w:val="22"/>
        </w:rPr>
        <w:t>DMV</w:t>
      </w:r>
      <w:r>
        <w:rPr>
          <w:rFonts w:eastAsia="Cambria" w:cs="Cambria"/>
          <w:b w:val="false"/>
          <w:bCs w:val="false"/>
          <w:i w:val="false"/>
          <w:iCs w:val="false"/>
          <w:sz w:val="22"/>
          <w:szCs w:val="22"/>
        </w:rP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Auch zum Geschworenendienst (</w:t>
      </w:r>
      <w:r>
        <w:rPr>
          <w:rFonts w:eastAsia="Cambria" w:cs="Cambria"/>
          <w:b w:val="false"/>
          <w:bCs w:val="false"/>
          <w:i/>
          <w:iCs/>
          <w:sz w:val="22"/>
          <w:szCs w:val="22"/>
        </w:rPr>
        <w:t>Jury Duty</w:t>
      </w:r>
      <w:r>
        <w:rPr>
          <w:rFonts w:eastAsia="Cambria" w:cs="Cambria"/>
          <w:b w:val="false"/>
          <w:bCs w:val="false"/>
          <w:i w:val="false"/>
          <w:iCs w:val="false"/>
          <w:sz w:val="22"/>
          <w:szCs w:val="22"/>
        </w:rPr>
        <w:t>) werden nur Staatsbürger berufen. Kommt eine Ladung, ignoriere sie nicht: Antworte wahrheitsgemäß, dass du kein Staatsbürger bist.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Kreuz an der falschen Stelle im Wählerregister-Formular hat schon Nichtstaatsbürger die Green Card gekostet. Wer irrtümlich registriert wurde, sollte sich mit anwaltlicher Hilfe abmelden, bevor er wählt oder eine Ladung ignoriert.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sss.gov.</w:t>
      </w:r>
    </w:p>
    <w:p>
      <w:pPr>
        <w:pStyle w:val="Normal"/>
        <w:keepNext w:val="false"/>
        <w:keepLines w:val="false"/>
        <w:spacing w:lineRule="exact" w:line="288" w:before="0" w:after="140"/>
        <w:jc w:val="left"/>
        <w:rPr/>
      </w:pPr>
      <w:r>
        <w:rPr>
          <w:rFonts w:eastAsia="Cambria" w:cs="Cambria"/>
          <w:b/>
          <w:bCs/>
          <w:i w:val="false"/>
          <w:iCs w:val="false"/>
          <w:sz w:val="22"/>
          <w:szCs w:val="22"/>
        </w:rPr>
        <w:t>Sozialleistungen (</w:t>
      </w:r>
      <w:r>
        <w:rPr>
          <w:rFonts w:eastAsia="Cambria" w:cs="Cambria"/>
          <w:b/>
          <w:bCs/>
          <w:i/>
          <w:iCs/>
          <w:sz w:val="22"/>
          <w:szCs w:val="22"/>
        </w:rPr>
        <w:t>Public Charge</w:t>
      </w:r>
      <w:r>
        <w:rPr>
          <w:rFonts w:eastAsia="Cambria" w:cs="Cambria"/>
          <w:b/>
          <w:bCs/>
          <w:i w:val="false"/>
          <w:iCs w:val="false"/>
          <w:sz w:val="22"/>
          <w:szCs w:val="22"/>
        </w:rPr>
        <w:t>).</w:t>
      </w:r>
      <w:r>
        <w:rPr>
          <w:rFonts w:eastAsia="Cambria" w:cs="Cambria"/>
          <w:b w:val="false"/>
          <w:bCs w:val="false"/>
          <w:i w:val="false"/>
          <w:iCs w:val="false"/>
          <w:sz w:val="22"/>
          <w:szCs w:val="22"/>
        </w:rP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gegenüber Behörden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Grundsätze: Schweigen ist erlaubt, Lügen nie. Falsche Angaben in Visa-, Green-Card- oder Steuerformularen können als Täuschung (</w:t>
      </w:r>
      <w:r>
        <w:rPr>
          <w:rFonts w:eastAsia="Cambria" w:cs="Cambria"/>
          <w:b w:val="false"/>
          <w:bCs w:val="false"/>
          <w:i/>
          <w:iCs/>
          <w:sz w:val="22"/>
          <w:szCs w:val="22"/>
        </w:rPr>
        <w:t>Misrepresentation</w:t>
      </w:r>
      <w:r>
        <w:rPr>
          <w:rFonts w:eastAsia="Cambria" w:cs="Cambria"/>
          <w:b w:val="false"/>
          <w:bCs w:val="false"/>
          <w:i w:val="false"/>
          <w:iCs w:val="false"/>
          <w:sz w:val="22"/>
          <w:szCs w:val="22"/>
        </w:rPr>
        <w:t>) dauerhaft unzulässig machen; wer einen Bundesbeamten belügt, begeht eine Straftat (18 U.S.C. § 1001). Das gilt auch für falsche Papiere.</w:t>
      </w:r>
    </w:p>
    <w:p>
      <w:pPr>
        <w:pStyle w:val="ListParagraph"/>
        <w:numPr>
          <w:ilvl w:val="0"/>
          <w:numId w:val="1"/>
        </w:numPr>
        <w:spacing w:lineRule="exact" w:line="288" w:before="0" w:after="60"/>
        <w:rPr/>
      </w:pPr>
      <w:r>
        <w:rPr>
          <w:rFonts w:eastAsia="Cambria" w:cs="Cambria"/>
          <w:b w:val="false"/>
          <w:bCs w:val="false"/>
          <w:i w:val="false"/>
          <w:iCs w:val="false"/>
          <w:sz w:val="22"/>
          <w:szCs w:val="22"/>
        </w:rPr>
        <w:t>Bei Fragen nach deinem Status zeigst du deine Dokumente vor (Mitführpflicht). Weitere Fragen beantwortest du nicht, sondern verlangst deinen Anwalt.</w:t>
      </w:r>
    </w:p>
    <w:p>
      <w:pPr>
        <w:pStyle w:val="ListParagraph"/>
        <w:numPr>
          <w:ilvl w:val="0"/>
          <w:numId w:val="1"/>
        </w:numPr>
        <w:spacing w:lineRule="exact" w:line="288" w:before="0" w:after="60"/>
        <w:rPr/>
      </w:pPr>
      <w:r>
        <w:rPr>
          <w:rFonts w:eastAsia="Cambria" w:cs="Cambria"/>
          <w:b w:val="false"/>
          <w:bCs w:val="false"/>
          <w:i w:val="false"/>
          <w:iCs w:val="false"/>
          <w:sz w:val="22"/>
          <w:szCs w:val="22"/>
        </w:rPr>
        <w:t>Unterschreibe nichts, was du nicht verstehst, etwa die Aufgabe der Green Card (</w:t>
      </w:r>
      <w:r>
        <w:rPr>
          <w:rFonts w:eastAsia="Cambria" w:cs="Cambria"/>
          <w:b w:val="false"/>
          <w:bCs w:val="false"/>
          <w:i/>
          <w:iCs/>
          <w:sz w:val="22"/>
          <w:szCs w:val="22"/>
        </w:rPr>
        <w:t>Form I-407</w:t>
      </w:r>
      <w:r>
        <w:rPr>
          <w:rFonts w:eastAsia="Cambria" w:cs="Cambria"/>
          <w:b w:val="false"/>
          <w:bCs w:val="false"/>
          <w:i w:val="false"/>
          <w:iCs w:val="false"/>
          <w:sz w:val="22"/>
          <w:szCs w:val="22"/>
        </w:rPr>
        <w:t>) unter Druck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Beamte dürfen deine Wohnung grundsätzlich nur mit deiner Zustimmung oder mit einem richterlichen Beschluss (</w:t>
      </w:r>
      <w:r>
        <w:rPr>
          <w:rFonts w:eastAsia="Cambria" w:cs="Cambria"/>
          <w:b w:val="false"/>
          <w:bCs w:val="false"/>
          <w:i/>
          <w:iCs/>
          <w:sz w:val="22"/>
          <w:szCs w:val="22"/>
        </w:rPr>
        <w:t>Judicial Warrant</w:t>
      </w:r>
      <w:r>
        <w:rPr>
          <w:rFonts w:eastAsia="Cambria" w:cs="Cambria"/>
          <w:b w:val="false"/>
          <w:bCs w:val="false"/>
          <w:i w:val="false"/>
          <w:iCs w:val="false"/>
          <w:sz w:val="22"/>
          <w:szCs w:val="22"/>
        </w:rPr>
        <w:t>) betreten. Ob ein behördeneigener Haftbefehl (</w:t>
      </w:r>
      <w:r>
        <w:rPr>
          <w:rFonts w:eastAsia="Cambria" w:cs="Cambria"/>
          <w:b w:val="false"/>
          <w:bCs w:val="false"/>
          <w:i/>
          <w:iCs/>
          <w:sz w:val="22"/>
          <w:szCs w:val="22"/>
        </w:rPr>
        <w:t>Administrative Warrant</w:t>
      </w:r>
      <w:r>
        <w:rPr>
          <w:rFonts w:eastAsia="Cambria" w:cs="Cambria"/>
          <w:b w:val="false"/>
          <w:bCs w:val="false"/>
          <w:i w:val="false"/>
          <w:iCs w:val="false"/>
          <w:sz w:val="22"/>
          <w:szCs w:val="22"/>
        </w:rPr>
        <w:t>), wie ihn auch die Einwanderungsbehörde ausstellt, dafür genügt, ist rechtlich umstritten. Öffne im Zweifel nicht, sondern frage durch die Tür nach dem Beschluss und rufe deinen Anwalt an.</w:t>
      </w:r>
    </w:p>
    <w:p>
      <w:pPr>
        <w:pStyle w:val="ListParagraph"/>
        <w:numPr>
          <w:ilvl w:val="0"/>
          <w:numId w:val="1"/>
        </w:numPr>
        <w:spacing w:lineRule="exact" w:line="288" w:before="0" w:after="60"/>
        <w:rPr/>
      </w:pPr>
      <w:r>
        <w:rPr>
          <w:rFonts w:eastAsia="Cambria" w:cs="Cambria"/>
          <w:b w:val="false"/>
          <w:bCs w:val="false"/>
          <w:i w:val="false"/>
          <w:iCs w:val="false"/>
          <w:sz w:val="22"/>
          <w:szCs w:val="22"/>
        </w:rPr>
        <w:t>Trage die Nummer deines Einwanderungsanwalts bei dir und lege für Behördenbriefe (Nachforderungen, Steuerbescheide, Ladungen) eine Fristenliste an. Nicht zu antworten kann ein Verfahren beenden.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außerhalb der Dienstzeiten unter +1 202 298 4000 erreichbar.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ein, damit das Auswärtige Amt dich bei Krisen erreicht.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(Schweigen, Anwalt, Durchsuchungsschutz) gelten für alle im 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treffen Nichtstaatsbürger härter, weil der Aufenthalt mitentschieden wird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Pflichtverteidiger im Strafverfahren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Zivilprozesse sind teuer: jede Seite zahlt ihre Anwälte selbst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günstiger Weg zum Recht, meist ohne Anwalt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plus 50 Staaten: Waffen, Cannabis und Streitwertgrenzen unterscheiden sich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Einheitlicher Notruf 911, Warnungen aufs Handy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Krankenwagen und Katastrophenschäden können teuer werden, Hochwasser und Erdbeben sind extra zu versichern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und Kredit-Freeze schützen gut vor Missbrauch</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ist häufig, Überweisungen lassen sich kaum zurückholen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Vertretungen helfen bei Festnahme und Notlage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 und Mitführpflichten lassen wenig Spielraum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unter i94.cbp.dhs.gov herunterladen, auf dem Handy speichern und ausdrucken; Green Card im Original bei dir 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AR-11 einreichen und die Bestätigung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eines Einwanderungsanwalts im Handy und in der Brieftasche 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Führerscheinantrag nicht als Wähler registrieren lassen und nie „Staatsbürger“ ankreuzen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 und Waffen meiden; als Visum-Inhaber keine Waffe leihen, halten oder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der Verkehrskontrolle und den Anwaltssatz mit Familie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Kredit-Freeze bei Equifax, Experian und TransUnion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den Eltern in Deutschland ein Codewort gegen Schockanrufe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Wetterwarnungen (Wireless Emergency Alerts) aktivieren, Notvorrat und Familienplan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Flut- und Erdbebenversicherung prüfen; Wartefrist von 30 Tagen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Notdienstnummer der Botschaft (+1 202 298 4000) speichern und dich in die Krisenvorsorgeliste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Söhnen mit Green Card ab 18 Selective Service prüfen (sss.gov)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Registrierungspflicht und Mitführen von Dokumenten (</w:t>
      </w:r>
      <w:hyperlink r:id="rId381">
        <w:r>
          <w:rPr>
            <w:rStyle w:val="ListLabel113"/>
            <w:rFonts w:eastAsia="Cambria" w:cs="Cambria"/>
            <w:b w:val="false"/>
            <w:bCs w:val="false"/>
            <w:i w:val="false"/>
            <w:iCs w:val="false"/>
            <w:color w:val="0563C1"/>
            <w:sz w:val="22"/>
            <w:szCs w:val="22"/>
            <w:u w:val="single"/>
          </w:rPr>
          <w:t>uscis.gov/alienregistration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Adressänderung Form AR-11 (</w:t>
      </w:r>
      <w:hyperlink r:id="rId382">
        <w:r>
          <w:rPr>
            <w:rStyle w:val="ListLabel113"/>
            <w:rFonts w:eastAsia="Cambria" w:cs="Cambria"/>
            <w:b w:val="false"/>
            <w:bCs w:val="false"/>
            <w:i w:val="false"/>
            <w:iCs w:val="false"/>
            <w:color w:val="0563C1"/>
            <w:sz w:val="22"/>
            <w:szCs w:val="22"/>
            <w:u w:val="single"/>
          </w:rPr>
          <w:t>uscis.gov/ar-11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Selective Service System — Registrierung (</w:t>
      </w:r>
      <w:hyperlink r:id="rId383">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 18 U.S.C. § 922, Waffen und Nichteinwanderer (</w:t>
      </w:r>
      <w:hyperlink r:id="rId384">
        <w:r>
          <w:rPr>
            <w:rStyle w:val="ListLabel113"/>
            <w:rFonts w:eastAsia="Cambria" w:cs="Cambria"/>
            <w:b w:val="false"/>
            <w:bCs w:val="false"/>
            <w:i w:val="false"/>
            <w:iCs w:val="false"/>
            <w:color w:val="0563C1"/>
            <w:sz w:val="22"/>
            <w:szCs w:val="22"/>
            <w:u w:val="single"/>
          </w:rPr>
          <w:t>law.cornell.edu/uscode/text/18/922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Movement Advancement Project — Rechtslage für LGBTQ+ je Bundesstaat (</w:t>
      </w:r>
      <w:hyperlink r:id="rId385">
        <w:r>
          <w:rPr>
            <w:rStyle w:val="ListLabel113"/>
            <w:rFonts w:eastAsia="Cambria" w:cs="Cambria"/>
            <w:b w:val="false"/>
            <w:bCs w:val="false"/>
            <w:i w:val="false"/>
            <w:iCs w:val="false"/>
            <w:color w:val="0563C1"/>
            <w:sz w:val="22"/>
            <w:szCs w:val="22"/>
            <w:u w:val="single"/>
          </w:rPr>
          <w:t>mapresearch.org/equality-maps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DEA — Stand der Cannabis-Umstufung (</w:t>
      </w:r>
      <w:hyperlink r:id="rId38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Betrug melden und Identitätsdiebstahl (</w:t>
      </w:r>
      <w:hyperlink r:id="rId387">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 xml:space="preserve">, </w:t>
      </w:r>
      <w:hyperlink r:id="rId388">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Ready.gov und Wetterdienst — Katastrophenvorsorge und Warnungen (</w:t>
      </w:r>
      <w:hyperlink r:id="rId389">
        <w:r>
          <w:rPr>
            <w:rStyle w:val="ListLabel113"/>
            <w:rFonts w:eastAsia="Cambria" w:cs="Cambria"/>
            <w:b w:val="false"/>
            <w:bCs w:val="false"/>
            <w:i w:val="false"/>
            <w:iCs w:val="false"/>
            <w:color w:val="0563C1"/>
            <w:sz w:val="22"/>
            <w:szCs w:val="22"/>
            <w:u w:val="single"/>
          </w:rPr>
          <w:t>ready.gov</w:t>
        </w:r>
      </w:hyperlink>
      <w:r>
        <w:rPr>
          <w:rFonts w:eastAsia="Cambria" w:cs="Cambria"/>
          <w:b w:val="false"/>
          <w:bCs w:val="false"/>
          <w:i w:val="false"/>
          <w:iCs w:val="false"/>
          <w:sz w:val="22"/>
          <w:szCs w:val="22"/>
        </w:rPr>
        <w:t xml:space="preserve">, </w:t>
      </w:r>
      <w:hyperlink r:id="rId390">
        <w:r>
          <w:rPr>
            <w:rStyle w:val="ListLabel113"/>
            <w:rFonts w:eastAsia="Cambria" w:cs="Cambria"/>
            <w:b w:val="false"/>
            <w:bCs w:val="false"/>
            <w:i w:val="false"/>
            <w:iCs w:val="false"/>
            <w:color w:val="0563C1"/>
            <w:sz w:val="22"/>
            <w:szCs w:val="22"/>
            <w:u w:val="single"/>
          </w:rPr>
          <w:t>weather.gov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Hilfe für Deutsche in Notfällen (</w:t>
      </w:r>
      <w:hyperlink r:id="rId391">
        <w:r>
          <w:rPr>
            <w:rStyle w:val="ListLabel113"/>
            <w:rFonts w:eastAsia="Cambria" w:cs="Cambria"/>
            <w:b w:val="false"/>
            <w:bCs w:val="false"/>
            <w:i w:val="false"/>
            <w:iCs w:val="false"/>
            <w:color w:val="0563C1"/>
            <w:sz w:val="22"/>
            <w:szCs w:val="22"/>
            <w:u w:val="single"/>
          </w:rPr>
          <w:t>germany.info/us-de/service/hilfe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ACLU — Rechte beim Filmen von Polizeieinsätzen (</w:t>
      </w:r>
      <w:hyperlink r:id="rId392">
        <w:r>
          <w:rPr>
            <w:rStyle w:val="ListLabel113"/>
            <w:rFonts w:eastAsia="Cambria" w:cs="Cambria"/>
            <w:b w:val="false"/>
            <w:bCs w:val="false"/>
            <w:i w:val="false"/>
            <w:iCs w:val="false"/>
            <w:color w:val="0563C1"/>
            <w:sz w:val="22"/>
            <w:szCs w:val="22"/>
            <w:u w:val="single"/>
          </w:rPr>
          <w:t>aclu.org/know-your-rights/photographers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9" w:name="__RefHeading___Toc56526_3457424410"/>
      <w:bookmarkStart w:id="100" w:name="k41"/>
      <w:bookmarkEnd w:id="99"/>
      <w:r>
        <w:rPr>
          <w:rFonts w:eastAsia="Amazon Ember" w:cs="Amazon Ember" w:ascii="Amazon Ember" w:hAnsi="Amazon Ember"/>
          <w:b/>
          <w:bCs/>
          <w:color w:val="0000FF"/>
          <w:sz w:val="36"/>
          <w:szCs w:val="36"/>
        </w:rPr>
        <w:t>Kapitel 41: Von der Green Card zur Staatsbürgerschaft: Der Doppelpass</w:t>
      </w:r>
      <w:bookmarkEnd w:id="10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frühestens nach fünf Jahren Green Card (drei bei Ehe mit einem US-Bürger); Jahre mit H-1B zählen nicht. Die Gebühr beträgt 760 $ (Papier) oder 710 $ (online), die Bearbeitung dauert derzeit etwa 8–17,5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Neu seit Oktober 2025 und August 2026: ein schwererer Staatskundetest (</w:t>
            </w:r>
            <w:r>
              <w:rPr>
                <w:rFonts w:eastAsia="Cambria" w:cs="Cambria"/>
                <w:b w:val="false"/>
                <w:bCs w:val="false"/>
                <w:i/>
                <w:iCs/>
                <w:sz w:val="20"/>
                <w:szCs w:val="20"/>
              </w:rPr>
              <w:t>Civics Test</w:t>
            </w:r>
            <w:r>
              <w:rPr>
                <w:rFonts w:eastAsia="Cambria" w:cs="Cambria"/>
                <w:b w:val="false"/>
                <w:bCs w:val="false"/>
                <w:i w:val="false"/>
                <w:iCs w:val="false"/>
                <w:sz w:val="20"/>
                <w:szCs w:val="20"/>
              </w:rPr>
              <w:t>, 128 Fragen) und Nachbarschaftsermittlungen (</w:t>
            </w:r>
            <w:r>
              <w:rPr>
                <w:rFonts w:eastAsia="Cambria" w:cs="Cambria"/>
                <w:b w:val="false"/>
                <w:bCs w:val="false"/>
                <w:i/>
                <w:iCs/>
                <w:sz w:val="20"/>
                <w:szCs w:val="20"/>
              </w:rPr>
              <w:t>Neighborhood Investigations</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erlaubt den Doppelpass seit dem 27. Juni 2024: Du behältst die deutsche Staatsangehörigkeit ohne Genehmigung.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Preis: lebenslange US-Steuerpflicht, auch in Deutschland. Der Verzicht kostet seit dem 13. April 2026 nur noch 450 $, kann aber die Exit Tax auslösen.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unter 18 mit Green Card werden automatisch US-Bürger, in den USA geborene sind es von Geburt. Deutsche sind sie zugleich, wenn ein Elternteil Deutscher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In die USA reist du mit dem US-Pass, nach Deutschland mit dem deutschen.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Voraussetzungen: Wann du den Antrag stellen darfst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w:t>
      </w:r>
      <w:r>
        <w:rPr>
          <w:rFonts w:eastAsia="Cambria" w:cs="Cambria"/>
          <w:b w:val="false"/>
          <w:bCs w:val="false"/>
          <w:i/>
          <w:iCs/>
          <w:sz w:val="22"/>
          <w:szCs w:val="22"/>
        </w:rPr>
        <w:t>Naturalization</w:t>
      </w:r>
      <w:r>
        <w:rPr>
          <w:rFonts w:eastAsia="Cambria" w:cs="Cambria"/>
          <w:b w:val="false"/>
          <w:bCs w:val="false"/>
          <w:i w:val="false"/>
          <w:iCs w:val="false"/>
          <w:sz w:val="22"/>
          <w:szCs w:val="22"/>
        </w:rP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rFonts w:eastAsia="Cambria" w:cs="Cambria"/>
          <w:b w:val="false"/>
          <w:bCs w:val="false"/>
          <w:i/>
          <w:iCs/>
          <w:sz w:val="22"/>
          <w:szCs w:val="22"/>
        </w:rPr>
        <w:t>Lawful Permanent Resident</w:t>
      </w:r>
      <w:r>
        <w:rPr>
          <w:rFonts w:eastAsia="Cambria" w:cs="Cambria"/>
          <w:b w:val="false"/>
          <w:bCs w:val="false"/>
          <w:i w:val="false"/>
          <w:iCs w:val="false"/>
          <w:sz w:val="22"/>
          <w:szCs w:val="22"/>
        </w:rPr>
        <w:t xml:space="preserve">, LPR) wirst; das Datum steht auf der Karte als </w:t>
      </w:r>
      <w:r>
        <w:rPr>
          <w:rFonts w:eastAsia="Cambria" w:cs="Cambria"/>
          <w:b w:val="false"/>
          <w:bCs w:val="false"/>
          <w:i/>
          <w:iCs/>
          <w:sz w:val="22"/>
          <w:szCs w:val="22"/>
        </w:rPr>
        <w:t>Resident Since</w:t>
      </w:r>
      <w:r>
        <w:rPr>
          <w:rFonts w:eastAsia="Cambria" w:cs="Cambria"/>
          <w:b w:val="false"/>
          <w:bCs w:val="false"/>
          <w:i w:val="false"/>
          <w:iCs w:val="false"/>
          <w:sz w:val="22"/>
          <w:szCs w:val="22"/>
        </w:rPr>
        <w:t>. Jahre in H-1B, L-1 oder F-1 zählen nicht mit. Dauert der Weg zur Green Card drei bis fünf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liegt der US-Pass daher frühestens nach etwa acht bis elf Jahren in Reichweite (eigene Schätzung, inklusive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Kriterien im Überblick (Stand September 2026):</w:t>
      </w:r>
    </w:p>
    <w:p>
      <w:pPr>
        <w:pStyle w:val="ListParagraph"/>
        <w:numPr>
          <w:ilvl w:val="0"/>
          <w:numId w:val="1"/>
        </w:numPr>
        <w:spacing w:lineRule="exact" w:line="288" w:before="0" w:after="60"/>
        <w:rPr/>
      </w:pPr>
      <w:r>
        <w:rPr>
          <w:rFonts w:eastAsia="Cambria" w:cs="Cambria"/>
          <w:b/>
          <w:bCs/>
          <w:i w:val="false"/>
          <w:iCs w:val="false"/>
          <w:sz w:val="22"/>
          <w:szCs w:val="22"/>
        </w:rPr>
        <w:t>Aufenthalt:</w:t>
      </w:r>
      <w:r>
        <w:rPr>
          <w:rFonts w:eastAsia="Cambria" w:cs="Cambria"/>
          <w:b w:val="false"/>
          <w:bCs w:val="false"/>
          <w:i w:val="false"/>
          <w:iCs w:val="false"/>
          <w:sz w:val="22"/>
          <w:szCs w:val="22"/>
        </w:rPr>
        <w:t xml:space="preserve"> mindestens 18 Jahre alt und fünf Jahre Green Card. Nur drei Jahre gelten, wenn du seit drei Jahren mit einem US-Bürger verheiratet bist und mit ihm zusammenlebst. Den Antrag (Form N-400) darfst du frühestens 90 Tage vor Ablauf dieser Frist stellen.</w:t>
      </w:r>
    </w:p>
    <w:p>
      <w:pPr>
        <w:pStyle w:val="ListParagraph"/>
        <w:numPr>
          <w:ilvl w:val="0"/>
          <w:numId w:val="1"/>
        </w:numPr>
        <w:spacing w:lineRule="exact" w:line="288" w:before="0" w:after="60"/>
        <w:rPr/>
      </w:pPr>
      <w:r>
        <w:rPr>
          <w:rFonts w:eastAsia="Cambria" w:cs="Cambria"/>
          <w:b/>
          <w:bCs/>
          <w:i w:val="false"/>
          <w:iCs w:val="false"/>
          <w:sz w:val="22"/>
          <w:szCs w:val="22"/>
        </w:rPr>
        <w:t>Anwesenheit:</w:t>
      </w:r>
      <w:r>
        <w:rPr>
          <w:rFonts w:eastAsia="Cambria" w:cs="Cambria"/>
          <w:b w:val="false"/>
          <w:bCs w:val="false"/>
          <w:i w:val="false"/>
          <w:iCs w:val="false"/>
          <w:sz w:val="22"/>
          <w:szCs w:val="22"/>
        </w:rPr>
        <w:t xml:space="preserve"> mindestens 30 der 60 Monate physisch in den USA (auf dem Drei-Jahres-Weg 18 von 36), dazu drei Monate in dem Bundesstaat oder Bezirk der Einwanderungsbehörde USCIS, in dem du den Antrag stellst.</w:t>
      </w:r>
    </w:p>
    <w:p>
      <w:pPr>
        <w:pStyle w:val="ListParagraph"/>
        <w:numPr>
          <w:ilvl w:val="0"/>
          <w:numId w:val="1"/>
        </w:numPr>
        <w:spacing w:lineRule="exact" w:line="288" w:before="0" w:after="60"/>
        <w:rPr/>
      </w:pPr>
      <w:r>
        <w:rPr>
          <w:rFonts w:eastAsia="Cambria" w:cs="Cambria"/>
          <w:b/>
          <w:bCs/>
          <w:i w:val="false"/>
          <w:iCs w:val="false"/>
          <w:sz w:val="22"/>
          <w:szCs w:val="22"/>
        </w:rPr>
        <w:t>Ununterbrochener Aufenthalt:</w:t>
      </w:r>
      <w:r>
        <w:rPr>
          <w:rFonts w:eastAsia="Cambria" w:cs="Cambria"/>
          <w:b w:val="false"/>
          <w:bCs w:val="false"/>
          <w:i w:val="false"/>
          <w:iCs w:val="false"/>
          <w:sz w:val="22"/>
          <w:szCs w:val="22"/>
        </w:rPr>
        <w:t xml:space="preserve">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pPr>
        <w:pStyle w:val="ListParagraph"/>
        <w:numPr>
          <w:ilvl w:val="0"/>
          <w:numId w:val="1"/>
        </w:numPr>
        <w:spacing w:lineRule="exact" w:line="288" w:before="0" w:after="60"/>
        <w:rPr/>
      </w:pPr>
      <w:r>
        <w:rPr>
          <w:rFonts w:eastAsia="Cambria" w:cs="Cambria"/>
          <w:b/>
          <w:bCs/>
          <w:i w:val="false"/>
          <w:iCs w:val="false"/>
          <w:sz w:val="22"/>
          <w:szCs w:val="22"/>
        </w:rPr>
        <w:t>Englisch und Staatskunde:</w:t>
      </w:r>
      <w:r>
        <w:rPr>
          <w:rFonts w:eastAsia="Cambria" w:cs="Cambria"/>
          <w:b w:val="false"/>
          <w:bCs w:val="false"/>
          <w:i w:val="false"/>
          <w:iCs w:val="false"/>
          <w:sz w:val="22"/>
          <w:szCs w:val="22"/>
        </w:rPr>
        <w:t xml:space="preserv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in der Regel einen Wiederholungstermin.</w:t>
      </w:r>
    </w:p>
    <w:p>
      <w:pPr>
        <w:pStyle w:val="ListParagraph"/>
        <w:numPr>
          <w:ilvl w:val="0"/>
          <w:numId w:val="1"/>
        </w:numPr>
        <w:spacing w:lineRule="exact" w:line="288" w:before="0" w:after="60"/>
        <w:rPr/>
      </w:pPr>
      <w:r>
        <w:rPr>
          <w:rFonts w:eastAsia="Cambria" w:cs="Cambria"/>
          <w:b/>
          <w:bCs/>
          <w:i w:val="false"/>
          <w:iCs w:val="false"/>
          <w:sz w:val="22"/>
          <w:szCs w:val="22"/>
        </w:rPr>
        <w:t>Charakterliche Eignung (</w:t>
      </w:r>
      <w:r>
        <w:rPr>
          <w:rFonts w:eastAsia="Cambria" w:cs="Cambria"/>
          <w:b/>
          <w:bCs/>
          <w:i/>
          <w:iCs/>
          <w:sz w:val="22"/>
          <w:szCs w:val="22"/>
        </w:rPr>
        <w:t>Good Moral Character</w:t>
      </w:r>
      <w:r>
        <w:rPr>
          <w:rFonts w:eastAsia="Cambria" w:cs="Cambria"/>
          <w:b/>
          <w:bCs/>
          <w:i w:val="false"/>
          <w:iCs w:val="false"/>
          <w:sz w:val="22"/>
          <w:szCs w:val="22"/>
        </w:rPr>
        <w:t>):</w:t>
      </w:r>
      <w:r>
        <w:rPr>
          <w:rFonts w:eastAsia="Cambria" w:cs="Cambria"/>
          <w:b w:val="false"/>
          <w:bCs w:val="false"/>
          <w:i w:val="false"/>
          <w:iCs w:val="false"/>
          <w:sz w:val="22"/>
          <w:szCs w:val="22"/>
        </w:rP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Verfassungstreue und Eid:</w:t>
      </w:r>
      <w:r>
        <w:rPr>
          <w:rFonts w:eastAsia="Cambria" w:cs="Cambria"/>
          <w:b w:val="false"/>
          <w:bCs w:val="false"/>
          <w:i w:val="false"/>
          <w:iCs w:val="false"/>
          <w:sz w:val="22"/>
          <w:szCs w:val="22"/>
        </w:rPr>
        <w:t xml:space="preserve"> Du bekennst dich zur Verfassung und legst am Ende einen Eid ab.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Neu seit dem 25. August 2026:</w:t>
      </w:r>
      <w:r>
        <w:rPr>
          <w:rFonts w:eastAsia="Cambria" w:cs="Cambria"/>
          <w:b w:val="false"/>
          <w:bCs w:val="false"/>
          <w:i w:val="false"/>
          <w:iCs w:val="false"/>
          <w:sz w:val="22"/>
          <w:szCs w:val="22"/>
        </w:rPr>
        <w:t xml:space="preserve"> Mit dem Policy Alert PA-2026-10 hat USCIS die seit 1991 übliche Praxis beendet, generell auf solche Ermittlungen zu verzichten, und führt wieder persönliche Ermittlungen im Umfeld der Antragsteller durch (</w:t>
      </w:r>
      <w:r>
        <w:rPr>
          <w:rFonts w:eastAsia="Cambria" w:cs="Cambria"/>
          <w:b w:val="false"/>
          <w:bCs w:val="false"/>
          <w:i/>
          <w:iCs/>
          <w:sz w:val="22"/>
          <w:szCs w:val="22"/>
        </w:rPr>
        <w:t>Neighborhood Investigations</w:t>
      </w:r>
      <w:r>
        <w:rPr>
          <w:rFonts w:eastAsia="Cambria" w:cs="Cambria"/>
          <w:b w:val="false"/>
          <w:bCs w:val="false"/>
          <w:i w:val="false"/>
          <w:iCs w:val="false"/>
          <w:sz w:val="22"/>
          <w:szCs w:val="22"/>
        </w:rPr>
        <w:t>, § 335(a) des Einwanderungsgesetzes INA). Sie gelten auch für laufende Anträge und finden laut Kanzleien meist vor dem Interview statt; im Einzelfall kann USCIS weiterhin darauf verzichten. Du darfst Leumundsschreiben einreichen, am besten von US-Bürgern außerhalb deiner Familie; USCIS berücksichtigt sie bei dieser Entscheidung. Praktisch heißt das: Deine Angaben zu Adressen und Arbeitgebern müssen lückenlos und überprüfbar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Führe ab dem ersten Tag der Green Card ein Reiseprotokoll mit allen Ein- und Ausreisedaten und bewahre alle Steuerbescheide auf; beides fragt USCIS ab. Wer sich in den USA als Nichteinwanderer (</w:t>
            </w:r>
            <w:r>
              <w:rPr>
                <w:rFonts w:eastAsia="Cambria" w:cs="Cambria"/>
                <w:b w:val="false"/>
                <w:bCs w:val="false"/>
                <w:i/>
                <w:iCs/>
                <w:sz w:val="20"/>
                <w:szCs w:val="20"/>
              </w:rPr>
              <w:t>Nonresident</w:t>
            </w:r>
            <w:r>
              <w:rPr>
                <w:rFonts w:eastAsia="Cambria" w:cs="Cambria"/>
                <w:b w:val="false"/>
                <w:bCs w:val="false"/>
                <w:i w:val="false"/>
                <w:iCs w:val="false"/>
                <w:sz w:val="20"/>
                <w:szCs w:val="20"/>
              </w:rPr>
              <w:t>) besteuern lässt, riskiert außerdem, dass dies als Aufgabe der Green Card gewertet wird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Kosten und 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vom Entschluss bis zum Pass hat sechs Schritte:</w:t>
      </w:r>
    </w:p>
    <w:p>
      <w:pPr>
        <w:pStyle w:val="ListParagraph"/>
        <w:numPr>
          <w:ilvl w:val="0"/>
          <w:numId w:val="224"/>
        </w:numPr>
        <w:spacing w:lineRule="exact" w:line="288" w:before="0" w:after="60"/>
        <w:rPr/>
      </w:pPr>
      <w:r>
        <w:rPr>
          <w:rFonts w:eastAsia="Cambria" w:cs="Cambria"/>
          <w:b/>
          <w:bCs/>
          <w:i w:val="false"/>
          <w:iCs w:val="false"/>
          <w:sz w:val="22"/>
          <w:szCs w:val="22"/>
        </w:rPr>
        <w:t>Unterlagen sammeln:</w:t>
      </w:r>
      <w:r>
        <w:rPr>
          <w:rFonts w:eastAsia="Cambria" w:cs="Cambria"/>
          <w:b w:val="false"/>
          <w:bCs w:val="false"/>
          <w:i w:val="false"/>
          <w:iCs w:val="false"/>
          <w:sz w:val="22"/>
          <w:szCs w:val="22"/>
        </w:rPr>
        <w:t xml:space="preserve"> Green Card, Reiseprotokoll der letzten fünf Jahre, Steuerbescheide, Liste aller Adressen und Arbeitgeber, bei Festnahmen die Gerichtsakten.</w:t>
      </w:r>
    </w:p>
    <w:p>
      <w:pPr>
        <w:pStyle w:val="ListParagraph"/>
        <w:numPr>
          <w:ilvl w:val="0"/>
          <w:numId w:val="225"/>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Form N-400 (</w:t>
      </w:r>
      <w:r>
        <w:rPr>
          <w:rFonts w:eastAsia="Cambria" w:cs="Cambria"/>
          <w:b w:val="false"/>
          <w:bCs w:val="false"/>
          <w:i/>
          <w:iCs/>
          <w:sz w:val="22"/>
          <w:szCs w:val="22"/>
        </w:rPr>
        <w:t>Application for Naturalization</w:t>
      </w:r>
      <w:r>
        <w:rPr>
          <w:rFonts w:eastAsia="Cambria" w:cs="Cambria"/>
          <w:b w:val="false"/>
          <w:bCs w:val="false"/>
          <w:i w:val="false"/>
          <w:iCs w:val="false"/>
          <w:sz w:val="22"/>
          <w:szCs w:val="22"/>
        </w:rPr>
        <w:t>) online im USCIS-Konto oder auf Papier.</w:t>
      </w:r>
    </w:p>
    <w:p>
      <w:pPr>
        <w:pStyle w:val="ListParagraph"/>
        <w:numPr>
          <w:ilvl w:val="0"/>
          <w:numId w:val="226"/>
        </w:numPr>
        <w:spacing w:lineRule="exact" w:line="288" w:before="0" w:after="60"/>
        <w:rPr/>
      </w:pPr>
      <w:r>
        <w:rPr>
          <w:rFonts w:eastAsia="Cambria" w:cs="Cambria"/>
          <w:b/>
          <w:bCs/>
          <w:i w:val="false"/>
          <w:iCs w:val="false"/>
          <w:sz w:val="22"/>
          <w:szCs w:val="22"/>
        </w:rPr>
        <w:t>Biometrie-Termin:</w:t>
      </w:r>
      <w:r>
        <w:rPr>
          <w:rFonts w:eastAsia="Cambria" w:cs="Cambria"/>
          <w:b w:val="false"/>
          <w:bCs w:val="false"/>
          <w:i w:val="false"/>
          <w:iCs w:val="false"/>
          <w:sz w:val="22"/>
          <w:szCs w:val="22"/>
        </w:rPr>
        <w:t xml:space="preserve"> Fingerabdrücke und Foto.</w:t>
      </w:r>
    </w:p>
    <w:p>
      <w:pPr>
        <w:pStyle w:val="ListParagraph"/>
        <w:numPr>
          <w:ilvl w:val="0"/>
          <w:numId w:val="227"/>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beim örtlichen USCIS-Büro (</w:t>
      </w:r>
      <w:r>
        <w:rPr>
          <w:rFonts w:eastAsia="Cambria" w:cs="Cambria"/>
          <w:b w:val="false"/>
          <w:bCs w:val="false"/>
          <w:i/>
          <w:iCs/>
          <w:sz w:val="22"/>
          <w:szCs w:val="22"/>
        </w:rPr>
        <w:t>Field Office</w:t>
      </w:r>
      <w:r>
        <w:rPr>
          <w:rFonts w:eastAsia="Cambria" w:cs="Cambria"/>
          <w:b w:val="false"/>
          <w:bCs w:val="false"/>
          <w:i w:val="false"/>
          <w:iCs w:val="false"/>
          <w:sz w:val="22"/>
          <w:szCs w:val="22"/>
        </w:rPr>
        <w:t>): Fragen zum Antrag, Englisch- und Staatskundetest.</w:t>
      </w:r>
    </w:p>
    <w:p>
      <w:pPr>
        <w:pStyle w:val="ListParagraph"/>
        <w:numPr>
          <w:ilvl w:val="0"/>
          <w:numId w:val="228"/>
        </w:numPr>
        <w:spacing w:lineRule="exact" w:line="288" w:before="0" w:after="60"/>
        <w:rPr/>
      </w:pPr>
      <w:r>
        <w:rPr>
          <w:rFonts w:eastAsia="Cambria" w:cs="Cambria"/>
          <w:b/>
          <w:bCs/>
          <w:i w:val="false"/>
          <w:iCs w:val="false"/>
          <w:sz w:val="22"/>
          <w:szCs w:val="22"/>
        </w:rPr>
        <w:t>Entscheidung und Eid:</w:t>
      </w:r>
      <w:r>
        <w:rPr>
          <w:rFonts w:eastAsia="Cambria" w:cs="Cambria"/>
          <w:b w:val="false"/>
          <w:bCs w:val="false"/>
          <w:i w:val="false"/>
          <w:iCs w:val="false"/>
          <w:sz w:val="22"/>
          <w:szCs w:val="22"/>
        </w:rPr>
        <w:t xml:space="preserve"> Nach der Genehmigung legst du bei der Vereidigung (</w:t>
      </w:r>
      <w:r>
        <w:rPr>
          <w:rFonts w:eastAsia="Cambria" w:cs="Cambria"/>
          <w:b w:val="false"/>
          <w:bCs w:val="false"/>
          <w:i/>
          <w:iCs/>
          <w:sz w:val="22"/>
          <w:szCs w:val="22"/>
        </w:rPr>
        <w:t>Oath Ceremony</w:t>
      </w:r>
      <w:r>
        <w:rPr>
          <w:rFonts w:eastAsia="Cambria" w:cs="Cambria"/>
          <w:b w:val="false"/>
          <w:bCs w:val="false"/>
          <w:i w:val="false"/>
          <w:iCs w:val="false"/>
          <w:sz w:val="22"/>
          <w:szCs w:val="22"/>
        </w:rPr>
        <w:t>) den Eid ab – oft in einem Saal mit hundert anderen Antragstellern aus ebenso vielen Ländern – und erhältst die Einbürgerungsurkunde (</w:t>
      </w:r>
      <w:r>
        <w:rPr>
          <w:rFonts w:eastAsia="Cambria" w:cs="Cambria"/>
          <w:b w:val="false"/>
          <w:bCs w:val="false"/>
          <w:i/>
          <w:iCs/>
          <w:sz w:val="22"/>
          <w:szCs w:val="22"/>
        </w:rPr>
        <w:t>Certificate of Naturalization</w:t>
      </w:r>
      <w:r>
        <w:rPr>
          <w:rFonts w:eastAsia="Cambria" w:cs="Cambria"/>
          <w:b w:val="false"/>
          <w:bCs w:val="false"/>
          <w:i w:val="false"/>
          <w:iCs w:val="false"/>
          <w:sz w:val="22"/>
          <w:szCs w:val="22"/>
        </w:rPr>
        <w:t>). Erst mit dem Eid bist du US-Bürger.</w:t>
      </w:r>
    </w:p>
    <w:p>
      <w:pPr>
        <w:pStyle w:val="ListParagraph"/>
        <w:numPr>
          <w:ilvl w:val="0"/>
          <w:numId w:val="229"/>
        </w:numPr>
        <w:spacing w:lineRule="exact" w:line="288" w:before="0" w:after="60"/>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US-Pass beantragen (Formular DS-11, Gebühr auf travel.state.gov), die Sozialversicherungsbehörde SSA informieren, dich zum Wählen registrieren.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N-400 kostet 760 $ auf Papier und 710 $ online (USCIS-Gebührenblatt G-1055, Ausgabe vom 9. September 2026); die Zusatzgebühren des Gesetzes H.R. 1 fallen hier nicht an. Bei einem Haushaltseinkommen bis 400 % der </w:t>
      </w:r>
      <w:r>
        <w:rPr>
          <w:rFonts w:eastAsia="Cambria" w:cs="Cambria"/>
          <w:b w:val="false"/>
          <w:bCs w:val="false"/>
          <w:i/>
          <w:iCs/>
          <w:sz w:val="22"/>
          <w:szCs w:val="22"/>
        </w:rPr>
        <w:t>Federal Poverty Guidelines</w:t>
      </w:r>
      <w:r>
        <w:rPr>
          <w:rFonts w:eastAsia="Cambria" w:cs="Cambria"/>
          <w:b w:val="false"/>
          <w:bCs w:val="false"/>
          <w:i w:val="false"/>
          <w:iCs w:val="false"/>
          <w:sz w:val="22"/>
          <w:szCs w:val="22"/>
        </w:rP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Die Bearbeitung dauert im September 2026 je nach Field Office etwa 8–17,5 Monate (Auswertungen von Aggregatoren); die Zeit deines Büros zeigt egov.uscis.gov/processing-times.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Online zahlst du 50 $ weniger als auf Papier. Prüfe vor dem Absenden, ob dir die ermäßigte Gebühr von 380 $ oder eine Gebührenbefreiung zusteht.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Staatsangehörigkeit: Was Deutschland und die USA sagen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verlangen nicht, dass du deine bisherige Staatsangehörigkeit aufgibst. Der Einbürgerungseid enthält zwar eine Formel, mit der du der Treue zu jedem anderen Staat entsagst – sie klingt endgültiger, als sie gemeint ist. Durchgesetzt wird sie nicht als Verlust der deutschen Staatsangehörigkeit: Das Außenministerium (State Department) erkennt Doppelstaatlichkeit an, ohne sie zu fördern.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den USA einbürgern ließ, ohne vorher eine Beibehaltungsgenehmigung zu erhalten, hat die deutsche Staatsangehörigkeit damals verloren, und dieser Verlust bleibt wirksam. Ein Wiedererwerb ist über § 13 StAG möglich; kläre ihn mit dem Generalkonsulat oder dem Bundesverwaltungsamt. Das betrifft vor allem Verwandte, die früher ausgewandert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und Staatsbürgerschaft im Vergleich</w:t>
      </w:r>
    </w:p>
    <w:tbl>
      <w:tblPr>
        <w:tblW w:w="6480" w:type="dxa"/>
        <w:jc w:val="left"/>
        <w:tblInd w:w="0" w:type="dxa"/>
        <w:tblLayout w:type="fixed"/>
        <w:tblCellMar>
          <w:top w:w="50" w:type="dxa"/>
          <w:left w:w="80" w:type="dxa"/>
          <w:bottom w:w="50" w:type="dxa"/>
          <w:right w:w="80" w:type="dxa"/>
        </w:tblCellMar>
      </w:tblPr>
      <w:tblGrid>
        <w:gridCol w:w="1638"/>
        <w:gridCol w:w="2216"/>
        <w:gridCol w:w="2626"/>
      </w:tblGrid>
      <w:tr>
        <w:trPr>
          <w:tblHeader w:val="true"/>
          <w:cantSplit w:val="true"/>
        </w:trPr>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c>
          <w:tcPr>
            <w:tcW w:w="26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US-Staatsbürgerschaft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aber verlierbar (Aufgabe, lange Abwesenheit)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 Verlust praktisch nur durch Verzicht oder Betrug bei der Einbürgerung</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6 Monate: Prüfung bei Einreise; ab 1 Jahr Wiedereinreisegenehmigung (</w:t>
            </w:r>
            <w:r>
              <w:rPr>
                <w:rFonts w:eastAsia="Cambria" w:cs="Cambria"/>
                <w:b w:val="false"/>
                <w:bCs w:val="false"/>
                <w:i/>
                <w:iCs/>
                <w:sz w:val="18"/>
                <w:szCs w:val="18"/>
              </w:rPr>
              <w:t>Reentry Permit</w:t>
            </w:r>
            <w:r>
              <w:rPr>
                <w:rFonts w:eastAsia="Cambria" w:cs="Cambria"/>
                <w:b w:val="false"/>
                <w:bCs w:val="false"/>
                <w:i w:val="false"/>
                <w:iCs w:val="false"/>
                <w:sz w:val="18"/>
                <w:szCs w:val="18"/>
              </w:rPr>
              <w:t>, 630 $) nötig</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unbegrenzt möglich</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in Bund, Bundesstaat und Kommune</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Berufe</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auch Stellen mit Staatsbürgerschaftserfordernis (viele Bundesjobs)</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solange du LPR bist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lebenslang, auch im Ausland</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Adressmeldung (AR-11), Karte mitführen, Wehrerfassung (</w:t>
            </w:r>
            <w:r>
              <w:rPr>
                <w:rFonts w:eastAsia="Cambria" w:cs="Cambria"/>
                <w:b w:val="false"/>
                <w:bCs w:val="false"/>
                <w:i/>
                <w:iCs/>
                <w:sz w:val="18"/>
                <w:szCs w:val="18"/>
              </w:rPr>
              <w:t>Selective Service</w:t>
            </w:r>
            <w:r>
              <w:rPr>
                <w:rFonts w:eastAsia="Cambria" w:cs="Cambria"/>
                <w:b w:val="false"/>
                <w:bCs w:val="false"/>
                <w:i w:val="false"/>
                <w:iCs w:val="false"/>
                <w:sz w:val="18"/>
                <w:szCs w:val="18"/>
              </w:rPr>
              <w:t>) für Männer 18–25</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Geschworenendienst (</w:t>
            </w:r>
            <w:r>
              <w:rPr>
                <w:rFonts w:eastAsia="Cambria" w:cs="Cambria"/>
                <w:b w:val="false"/>
                <w:bCs w:val="false"/>
                <w:i/>
                <w:iCs/>
                <w:sz w:val="18"/>
                <w:szCs w:val="18"/>
              </w:rPr>
              <w:t>Jury Duty</w:t>
            </w:r>
            <w:r>
              <w:rPr>
                <w:rFonts w:eastAsia="Cambria" w:cs="Cambria"/>
                <w:b w:val="false"/>
                <w:bCs w:val="false"/>
                <w:i w:val="false"/>
                <w:iCs w:val="false"/>
                <w:sz w:val="18"/>
                <w:szCs w:val="18"/>
              </w:rPr>
              <w: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plus Green Card</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 für Ein- und Ausreise USA</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Erneuerung alle 10 Jahre: 465 $ / 415 $ (I-90)</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760 $ / 710 $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größte praktische Unterschied betrifft die Familie. Als Bürger holst du Ehepartner, unverheiratete Kinder unter 21 und Eltern (ab deinem 21. Geburtstag) ohne Quote nach (</w:t>
      </w:r>
      <w:r>
        <w:rPr>
          <w:rFonts w:eastAsia="Cambria" w:cs="Cambria"/>
          <w:b w:val="false"/>
          <w:bCs w:val="false"/>
          <w:i/>
          <w:iCs/>
          <w:sz w:val="22"/>
          <w:szCs w:val="22"/>
        </w:rPr>
        <w:t>Immediate Relatives</w:t>
      </w:r>
      <w:r>
        <w:rPr>
          <w:rFonts w:eastAsia="Cambria" w:cs="Cambria"/>
          <w:b w:val="false"/>
          <w:bCs w:val="false"/>
          <w:i w:val="false"/>
          <w:iCs w:val="false"/>
          <w:sz w:val="22"/>
          <w:szCs w:val="22"/>
        </w:rPr>
        <w:t>). Geschwister (Kategorie F4) warten laut Visa Bulletin vom September 2026 auf den Stichtag 22. Oktober 2011, also rund 15 Jahre. Green-Card-Inhaber dürfen nur Ehepartner und unverheiratete Kinder nachholen (Kategorien F2A und F2B).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ist der einzige Status, den Jahre im Ausland dir nicht nehmen. Zugleich ist sie der einzige, aus dem du dich nur gegen Gebühr und nach einer Steuerprüfung wieder verabschieden kannst.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Rechnung dahinter: Steuern, Verzicht und Exit Tax</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US-Bürger gibst du lebenslang jedes Jahr eine US-Steuererklärung über dein weltweites Einkommen ab, auch wenn du in Deutschland lebst und arbeitest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Staatsbürgerschaft nur durch förmlichen Verzicht (</w:t>
      </w:r>
      <w:r>
        <w:rPr>
          <w:rFonts w:eastAsia="Cambria" w:cs="Cambria"/>
          <w:b w:val="false"/>
          <w:bCs w:val="false"/>
          <w:i/>
          <w:iCs/>
          <w:sz w:val="22"/>
          <w:szCs w:val="22"/>
        </w:rPr>
        <w:t>Renunciation</w:t>
      </w:r>
      <w:r>
        <w:rPr>
          <w:rFonts w:eastAsia="Cambria" w:cs="Cambria"/>
          <w:b w:val="false"/>
          <w:bCs w:val="false"/>
          <w:i w:val="false"/>
          <w:iCs w:val="false"/>
          <w:sz w:val="22"/>
          <w:szCs w:val="22"/>
        </w:rPr>
        <w:t xml:space="preserve">). Er erfolgt persönlich vor einem US-Konsularbeamten außerhalb der USA und endet mit der Verlustbescheinigung </w:t>
      </w:r>
      <w:r>
        <w:rPr>
          <w:rFonts w:eastAsia="Cambria" w:cs="Cambria"/>
          <w:b w:val="false"/>
          <w:bCs w:val="false"/>
          <w:i/>
          <w:iCs/>
          <w:sz w:val="22"/>
          <w:szCs w:val="22"/>
        </w:rPr>
        <w:t>Certificate of Loss of Nationality</w:t>
      </w:r>
      <w:r>
        <w:rPr>
          <w:rFonts w:eastAsia="Cambria" w:cs="Cambria"/>
          <w:b w:val="false"/>
          <w:bCs w:val="false"/>
          <w:i w:val="false"/>
          <w:iCs w:val="false"/>
          <w:sz w:val="22"/>
          <w:szCs w:val="22"/>
        </w:rPr>
        <w:t>. Die Gebühr beträgt seit dem 13. April 2026 nur noch 450 $ (vorher 2.350 $).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Teuer wird der Ausstieg nicht durch die Gebühr, sondern durch die Exit Tax (§ 877A des Internal Revenue Code). Betroffen ist, wer die Staatsbürgerschaft aufgibt oder als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8 der letzten 15 Steuerjahre) den Status beendet und dabei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Dafür genügt einer von drei Tests (Werte 2026):</w:t>
      </w:r>
    </w:p>
    <w:p>
      <w:pPr>
        <w:pStyle w:val="ListParagraph"/>
        <w:numPr>
          <w:ilvl w:val="0"/>
          <w:numId w:val="1"/>
        </w:numPr>
        <w:spacing w:lineRule="exact" w:line="288" w:before="0" w:after="60"/>
        <w:rPr/>
      </w:pPr>
      <w:r>
        <w:rPr>
          <w:rFonts w:eastAsia="Cambria" w:cs="Cambria"/>
          <w:b w:val="false"/>
          <w:bCs w:val="false"/>
          <w:i w:val="false"/>
          <w:iCs w:val="false"/>
          <w:sz w:val="22"/>
          <w:szCs w:val="22"/>
        </w:rPr>
        <w:t>Die durchschnittliche Einkommensteuer der letzten fünf Jahre liegt über 211.000 $.</w:t>
      </w:r>
    </w:p>
    <w:p>
      <w:pPr>
        <w:pStyle w:val="ListParagraph"/>
        <w:numPr>
          <w:ilvl w:val="0"/>
          <w:numId w:val="1"/>
        </w:numPr>
        <w:spacing w:lineRule="exact" w:line="288" w:before="0" w:after="60"/>
        <w:rPr/>
      </w:pPr>
      <w:r>
        <w:rPr>
          <w:rFonts w:eastAsia="Cambria" w:cs="Cambria"/>
          <w:b w:val="false"/>
          <w:bCs w:val="false"/>
          <w:i w:val="false"/>
          <w:iCs w:val="false"/>
          <w:sz w:val="22"/>
          <w:szCs w:val="22"/>
        </w:rPr>
        <w:t>Das Nettovermögen beträgt mindestens 2 Mio. $.</w:t>
      </w:r>
    </w:p>
    <w:p>
      <w:pPr>
        <w:pStyle w:val="ListParagraph"/>
        <w:numPr>
          <w:ilvl w:val="0"/>
          <w:numId w:val="1"/>
        </w:numPr>
        <w:spacing w:lineRule="exact" w:line="288" w:before="0" w:after="60"/>
        <w:rPr/>
      </w:pPr>
      <w:r>
        <w:rPr>
          <w:rFonts w:eastAsia="Cambria" w:cs="Cambria"/>
          <w:b w:val="false"/>
          <w:bCs w:val="false"/>
          <w:i w:val="false"/>
          <w:iCs w:val="false"/>
          <w:sz w:val="22"/>
          <w:szCs w:val="22"/>
        </w:rPr>
        <w:t>Du kannst nicht nachweisen, dass du in den fünf Vorjahren steuerlich korrekt warst (Form 8854).</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Exit Tax, Verzicht und Einbürgerung hängen vom Einzelfall ab. Lass dich vor dem Antrag von einem Einwanderungsanwalt und einer auf US-Auslandsfälle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Wer wann welchen Pass hat</w:t>
      </w:r>
    </w:p>
    <w:p>
      <w:pPr>
        <w:pStyle w:val="Normal"/>
        <w:keepNext w:val="false"/>
        <w:keepLines w:val="false"/>
        <w:spacing w:lineRule="exact" w:line="288" w:before="0" w:after="140"/>
        <w:jc w:val="left"/>
        <w:rPr/>
      </w:pPr>
      <w:r>
        <w:rPr>
          <w:rFonts w:eastAsia="Cambria" w:cs="Cambria"/>
          <w:b/>
          <w:bCs/>
          <w:i w:val="false"/>
          <w:iCs w:val="false"/>
          <w:sz w:val="22"/>
          <w:szCs w:val="22"/>
        </w:rPr>
        <w:t>Geburt in den USA.</w:t>
      </w:r>
      <w:r>
        <w:rPr>
          <w:rFonts w:eastAsia="Cambria" w:cs="Cambria"/>
          <w:b w:val="false"/>
          <w:bCs w:val="false"/>
          <w:i w:val="false"/>
          <w:iCs w:val="false"/>
          <w:sz w:val="22"/>
          <w:szCs w:val="22"/>
        </w:rPr>
        <w:t xml:space="preserve"> Kinder, die in den USA zur Welt kommen, sind US-Bürger von Geburt (14. Zusatzartikel), auch wenn die Eltern nur H-1B-, L-1-, E-2- oder F-1-Status haben. Der Oberste Gerichtshof hat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(Nr. 25-365) die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14160 (einen Präsidentenerlass), die das ändern sollte, für verfassungswidrig erklärt. Zwei neue Erlasse vom 6. August 2026 richten sich nach Angaben von Kanzleien gegen eng gefasste Gruppen (etwa Geburtstourismus) und erfassen Kinder von Eltern mit Arbeitsvisum oder Green Card nicht; Klagen laufen. Ein Bundesgericht in Maryland (</w:t>
      </w:r>
      <w:r>
        <w:rPr>
          <w:rFonts w:eastAsia="Cambria" w:cs="Cambria"/>
          <w:b w:val="false"/>
          <w:bCs w:val="false"/>
          <w:i/>
          <w:iCs/>
          <w:sz w:val="22"/>
          <w:szCs w:val="22"/>
        </w:rPr>
        <w:t>Casa Inc. v. Trump</w:t>
      </w:r>
      <w:r>
        <w:rPr>
          <w:rFonts w:eastAsia="Cambria" w:cs="Cambria"/>
          <w:b w:val="false"/>
          <w:bCs w:val="false"/>
          <w:i w:val="false"/>
          <w:iCs w:val="false"/>
          <w:sz w:val="22"/>
          <w:szCs w:val="22"/>
        </w:rPr>
        <w:t>) hat am 2. September 2026 eine einstweilige Verfügung erlassen, die die Durchsetzung des ersten der beiden Erlasse (Executive Order 14418) gegen die im ursprünglichen Verfahren geschützte Klägergruppe vorerst untersagt; die Regierung hat Berufung angekündigt. Die Einzelheiten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Die deutsche Seite.</w:t>
      </w:r>
      <w:r>
        <w:rPr>
          <w:rFonts w:eastAsia="Cambria" w:cs="Cambria"/>
          <w:b w:val="false"/>
          <w:bCs w:val="false"/>
          <w:i w:val="false"/>
          <w:iCs w:val="false"/>
          <w:sz w:val="22"/>
          <w:szCs w:val="22"/>
        </w:rPr>
        <w:t xml:space="preserve"> Ein Kind mit einem deutschen Elternteil ist von Geburt deutsch (§ 4 Abs. 1 StAG), auch bei Geburt in den USA. Den Nachweis holst du über die Beurkundung der Auslandsgeburt (§ 36 Personenstandsgesetz), in der Regel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pPr>
        <w:pStyle w:val="Normal"/>
        <w:keepNext w:val="false"/>
        <w:keepLines w:val="false"/>
        <w:spacing w:lineRule="exact" w:line="288" w:before="0" w:after="140"/>
        <w:jc w:val="left"/>
        <w:rPr/>
      </w:pPr>
      <w:r>
        <w:rPr>
          <w:rFonts w:eastAsia="Cambria" w:cs="Cambria"/>
          <w:b/>
          <w:bCs/>
          <w:i w:val="false"/>
          <w:iCs w:val="false"/>
          <w:sz w:val="22"/>
          <w:szCs w:val="22"/>
        </w:rPr>
        <w:t>Der Generationenschnitt</w:t>
      </w:r>
      <w:r>
        <w:rPr>
          <w:rFonts w:eastAsia="Cambria" w:cs="Cambria"/>
          <w:b w:val="false"/>
          <w:bCs w:val="false"/>
          <w:i w:val="false"/>
          <w:iCs w:val="false"/>
          <w:sz w:val="22"/>
          <w:szCs w:val="22"/>
        </w:rPr>
        <w:t xml:space="preserve"> (§ 4 Abs. 4 StAG) trifft erst die nächste Generation. Ist der deutsche Elternteil nach dem 31. Dezember 1999 im Ausland geboren und lebt dort, wird ein im Ausland 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pPr>
        <w:pStyle w:val="Normal"/>
        <w:keepNext w:val="false"/>
        <w:keepLines w:val="false"/>
        <w:spacing w:lineRule="exact" w:line="288" w:before="0" w:after="140"/>
        <w:jc w:val="left"/>
        <w:rPr/>
      </w:pPr>
      <w:r>
        <w:rPr>
          <w:rFonts w:eastAsia="Cambria" w:cs="Cambria"/>
          <w:b/>
          <w:bCs/>
          <w:i w:val="false"/>
          <w:iCs w:val="false"/>
          <w:sz w:val="22"/>
          <w:szCs w:val="22"/>
        </w:rPr>
        <w:t>Kinder mit Green Card und Kinder im Ausland.</w:t>
      </w:r>
      <w:r>
        <w:rPr>
          <w:rFonts w:eastAsia="Cambria" w:cs="Cambria"/>
          <w:b w:val="false"/>
          <w:bCs w:val="false"/>
          <w:i w:val="false"/>
          <w:iCs w:val="false"/>
          <w:sz w:val="22"/>
          <w:szCs w:val="22"/>
        </w:rPr>
        <w:t xml:space="preserve"> Nach dem </w:t>
      </w:r>
      <w:r>
        <w:rPr>
          <w:rFonts w:eastAsia="Cambria" w:cs="Cambria"/>
          <w:b w:val="false"/>
          <w:bCs w:val="false"/>
          <w:i/>
          <w:iCs/>
          <w:sz w:val="22"/>
          <w:szCs w:val="22"/>
        </w:rPr>
        <w:t>Child Citizenship Act</w:t>
      </w:r>
      <w:r>
        <w:rPr>
          <w:rFonts w:eastAsia="Cambria" w:cs="Cambria"/>
          <w:b w:val="false"/>
          <w:bCs w:val="false"/>
          <w:i w:val="false"/>
          <w:iCs w:val="false"/>
          <w:sz w:val="22"/>
          <w:szCs w:val="22"/>
        </w:rPr>
        <w:t xml:space="preserve">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xml:space="preserve"> (CRBA, konsularischer Geburtsbericht).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Kinder, die automatisch Bürger geworden sind, ist die Bescheinigung N-600 (1.385 $ auf Papier, 1.335 $ online) nicht immer nötig: Ein US-Pass belegt die Staatsbürgerschaft ebenfalls.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zehn Jahre nach dem Umzug nach Michigan. Markus (48) und Anna (46) haben seit fünf Jahren und drei Monaten die Green Card und stellen die N-400 online: 2 × 710 $. Lena (19), die sich kaum noch an das Haus bei Stuttgart erinnert, muss ihren eigenen Antrag stellen, denn das Gesetz bürgert nur Kinder unter 18 automatisch ein: weitere 710 $. Jonas (15) wird mit der Vereidigung seiner Eltern von selbst US-Bürger; die Familie beantragt für ihn einen US-Pass statt der N-600. Die drei Anträge kosten zusammen 2.130 $ (Gebühren 2026). Die Brandts behalten ihre deutschen Pässe. Anna beantragt vor jeder Bundestagswahl Briefwahl bei ihrer früheren Gemeinde bei Stuttgart. Eine Rückkehr planen sie nicht; Markus hatte die Exit-Tax-Werte vor dem Antrag mit einer Steuerberaterin durchgerechnet.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Wählen: in den USA und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dem Eid darfst du in den USA bei Bundes-, Landes- und Kommunalwahlen wählen; die Registrierung regelt jeder Bundesstaat. Vorher ist das Wählen für Nichtstaatsbürger verboten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Dein deutsches Wahlrecht verlierst du durch die 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Welchen Pass benutzt du wann?</w:t>
      </w:r>
    </w:p>
    <w:tbl>
      <w:tblPr>
        <w:tblW w:w="6480" w:type="dxa"/>
        <w:jc w:val="left"/>
        <w:tblInd w:w="0" w:type="dxa"/>
        <w:tblLayout w:type="fixed"/>
        <w:tblCellMar>
          <w:top w:w="50" w:type="dxa"/>
          <w:left w:w="80" w:type="dxa"/>
          <w:bottom w:w="50" w:type="dxa"/>
          <w:right w:w="80" w:type="dxa"/>
        </w:tblCellMar>
      </w:tblPr>
      <w:tblGrid>
        <w:gridCol w:w="1748"/>
        <w:gridCol w:w="2272"/>
        <w:gridCol w:w="2460"/>
      </w:tblGrid>
      <w:tr>
        <w:trPr>
          <w:tblHeader w:val="true"/>
          <w:cantSplit w:val="true"/>
        </w:trPr>
        <w:tc>
          <w:tcPr>
            <w:tcW w:w="17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2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w:t>
            </w:r>
          </w:p>
        </w:tc>
        <w:tc>
          <w:tcPr>
            <w:tcW w:w="24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und Ausreise USA</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 für US-Bürger (8 U.S.C. § 1185(b)); Airlines prüfen es</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nach Deutschland und Schengen</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oder Personalausweis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Deutscher brauchst du weder Visum noch Reisegenehmigung</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Drittländer</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Einreiseregeln beider Pässe prüfen</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Visumfreiheit und Gebühren unterscheiden sich</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 vor Ort</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des jeweiligen Staates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Meldeamt, Rente, US-Führerschein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die USA mit dem US-Pass, nach Deutschland mit dem deutschen. Halte beide 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Denaturalisierung: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ist nicht in jedem Fall endgültig. Ein Bundesgericht kann sie in einem Zivilverfahren aufheben (</w:t>
      </w:r>
      <w:r>
        <w:rPr>
          <w:rFonts w:eastAsia="Cambria" w:cs="Cambria"/>
          <w:b w:val="false"/>
          <w:bCs w:val="false"/>
          <w:i/>
          <w:iCs/>
          <w:sz w:val="22"/>
          <w:szCs w:val="22"/>
        </w:rPr>
        <w:t>Denaturalization</w:t>
      </w:r>
      <w:r>
        <w:rPr>
          <w:rFonts w:eastAsia="Cambria" w:cs="Cambria"/>
          <w:b w:val="false"/>
          <w:bCs w:val="false"/>
          <w:i w:val="false"/>
          <w:iCs w:val="false"/>
          <w:sz w:val="22"/>
          <w:szCs w:val="22"/>
        </w:rPr>
        <w:t>,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64"/>
        <w:gridCol w:w="3615"/>
      </w:tblGrid>
      <w:tr>
        <w:trPr>
          <w:tblHeader w:val="true"/>
          <w:cantSplit w:val="true"/>
        </w:trPr>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 gesichert, keine Abwesenheitsrechnerei mehr</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US-Steuerpflicht lebenslang, auch aus Deutschland</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Wahlrecht in den USA</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Ausstieg kostet 450 $ Gebühr, Formalitäten und ggf. Exit Tax</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I-90 alle zehn Jahre, keine Reentry Permits</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Strengere Prüfung: Civics Test, Nachbarschaftsermittlungen, 8–17,5 Monate Wartezeit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Geschwister nachholen (mit Wartezeit)</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Geschworenendienst und Selective Service für Männer</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werden automatisch Bürger, Pass für die ganze Familie</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Entzug möglich bei Betrug im Verfahren (selten, aber priorisiert)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bleibt erhalten (seit 27. Juni 2024)</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Pässe, zwei Verwaltungen, zwei Fristenkalender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Beantworte vor dem Antrag drei Fragen. Erstens: Wo willst du in zehn Jahren leben? Bleibst du sicher, überwiegen Wahlrecht und gesicherter Aufenthalt; ist eine Rückkehr denkbar, rechne vorher Steuerpflicht und Exit Tax durch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Zweitens: Wie oft und wie lange bist du in Deutschland? Mit dem US-Pass entfallen alle Abwesenheitsregeln. Drittens: Ist deine Akte sauber, also Reisedaten, Steuererklärungen, Adressen und mögliche Vorfälle? Wenn nicht, sprich vor dem Antrag mit einem Einwanderungsanwalt.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Datum </w:t>
            </w:r>
            <w:r>
              <w:rPr>
                <w:rFonts w:eastAsia="Cambria" w:cs="Cambria"/>
                <w:b w:val="false"/>
                <w:bCs w:val="false"/>
                <w:i/>
                <w:iCs/>
                <w:sz w:val="20"/>
                <w:szCs w:val="20"/>
              </w:rPr>
              <w:t>Resident Since</w:t>
            </w:r>
            <w:r>
              <w:rPr>
                <w:rFonts w:eastAsia="Cambria" w:cs="Cambria"/>
                <w:b w:val="false"/>
                <w:bCs w:val="false"/>
                <w:i w:val="false"/>
                <w:iCs w:val="false"/>
                <w:sz w:val="20"/>
                <w:szCs w:val="20"/>
              </w:rPr>
              <w:t xml:space="preserve"> auf der Green Card notieren und den frühesten Antragstermin berechnen (90 Tage vor Ablauf der Frist).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Ein- und Ausreisen führen; Abwesenheiten über sechs Monate markieren.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der letzten fünf Jahre lückenlos ablegen; nie als Nichteinwanderer erklären.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Festnahmen, Anzeigen oder Verkehrsdelikte vor dem Antrag mit einem Einwanderungsanwalt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128 Fragen des Staatskundetests von uscis.gov/citizenship lernen und Englisch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Leumundsschreiben von US-Bürgern außerhalb der Familie sammeln (Nachbarschaftsermittlung).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möglicher Rückkehr vorab mit einer Steuerfachperson die Exit-Tax-Werte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Geburten im Ausland innerhalb eines Jahres beim deutschen Konsulat zur Beurkundung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und US-Pass sowie die Pässe der Kinder rechtzeitig auf Gültigkeit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Bundestagswahl den Antrag auf Eintragung ins Wählerverzeichnis stellen (spätestens 21 Tage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Einbürgerung, N-400, Staatskundetest, Gebühren (</w:t>
      </w:r>
      <w:hyperlink r:id="rId393">
        <w:r>
          <w:rPr>
            <w:rStyle w:val="ListLabel113"/>
            <w:rFonts w:eastAsia="Cambria" w:cs="Cambria"/>
            <w:b w:val="false"/>
            <w:bCs w:val="false"/>
            <w:i w:val="false"/>
            <w:iCs w:val="false"/>
            <w:color w:val="0563C1"/>
            <w:sz w:val="22"/>
            <w:szCs w:val="22"/>
            <w:u w:val="single"/>
          </w:rPr>
          <w:t>uscis.gov/n-400</w:t>
        </w:r>
      </w:hyperlink>
      <w:r>
        <w:rPr>
          <w:rFonts w:eastAsia="Cambria" w:cs="Cambria"/>
          <w:b w:val="false"/>
          <w:bCs w:val="false"/>
          <w:i w:val="false"/>
          <w:iCs w:val="false"/>
          <w:sz w:val="22"/>
          <w:szCs w:val="22"/>
        </w:rPr>
        <w:t xml:space="preserve">, </w:t>
      </w:r>
      <w:hyperlink r:id="rId394">
        <w:r>
          <w:rPr>
            <w:rStyle w:val="ListLabel113"/>
            <w:rFonts w:eastAsia="Cambria" w:cs="Cambria"/>
            <w:b w:val="false"/>
            <w:bCs w:val="false"/>
            <w:i w:val="false"/>
            <w:iCs w:val="false"/>
            <w:color w:val="0563C1"/>
            <w:sz w:val="22"/>
            <w:szCs w:val="22"/>
            <w:u w:val="single"/>
          </w:rPr>
          <w:t>uscis.gov/citizenship</w:t>
        </w:r>
      </w:hyperlink>
      <w:r>
        <w:rPr>
          <w:rFonts w:eastAsia="Cambria" w:cs="Cambria"/>
          <w:b w:val="false"/>
          <w:bCs w:val="false"/>
          <w:i w:val="false"/>
          <w:iCs w:val="false"/>
          <w:sz w:val="22"/>
          <w:szCs w:val="22"/>
        </w:rPr>
        <w:t xml:space="preserve">, </w:t>
      </w:r>
      <w:hyperlink r:id="rId395">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Bearbeitungszeiten (</w:t>
      </w:r>
      <w:hyperlink r:id="rId396">
        <w:r>
          <w:rPr>
            <w:rStyle w:val="ListLabel113"/>
            <w:rFonts w:eastAsia="Cambria" w:cs="Cambria"/>
            <w:b w:val="false"/>
            <w:bCs w:val="false"/>
            <w:i w:val="false"/>
            <w:iCs w:val="false"/>
            <w:color w:val="0563C1"/>
            <w:sz w:val="22"/>
            <w:szCs w:val="22"/>
            <w:u w:val="single"/>
          </w:rPr>
          <w:t>egov.uscis.gov/processing-times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Verzicht auf die US-Staatsbürgerschaft, Geburt im Ausland (</w:t>
      </w:r>
      <w:hyperlink r:id="rId397">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398">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Mehrstaatigkeit und Beibehaltung (</w:t>
      </w:r>
      <w:hyperlink r:id="rId399">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 Staatsangehörigkeit, Geburtsbeurkundung, Wahlen (</w:t>
      </w:r>
      <w:hyperlink r:id="rId400">
        <w:r>
          <w:rPr>
            <w:rStyle w:val="ListLabel113"/>
            <w:rFonts w:eastAsia="Cambria" w:cs="Cambria"/>
            <w:b w:val="false"/>
            <w:bCs w:val="false"/>
            <w:i w:val="false"/>
            <w:iCs w:val="false"/>
            <w:color w:val="0563C1"/>
            <w:sz w:val="22"/>
            <w:szCs w:val="22"/>
            <w:u w:val="single"/>
          </w:rPr>
          <w:t>germany.info/us-en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Bundeswahlleiterin — Wählen aus dem Ausland (</w:t>
      </w:r>
      <w:hyperlink r:id="rId401">
        <w:r>
          <w:rPr>
            <w:rStyle w:val="ListLabel113"/>
            <w:rFonts w:eastAsia="Cambria" w:cs="Cambria"/>
            <w:b w:val="false"/>
            <w:bCs w:val="false"/>
            <w:i w:val="false"/>
            <w:iCs w:val="false"/>
            <w:color w:val="0563C1"/>
            <w:sz w:val="22"/>
            <w:szCs w:val="22"/>
            <w:u w:val="single"/>
          </w:rPr>
          <w:t>bundeswahlleiterin.de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Oberster Gerichtshof — Trump v. Barbara (</w:t>
      </w:r>
      <w:hyperlink r:id="rId402">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1" w:name="__RefHeading___Toc56528_3457424410"/>
      <w:bookmarkStart w:id="102" w:name="k42"/>
      <w:bookmarkEnd w:id="101"/>
      <w:r>
        <w:rPr>
          <w:rFonts w:eastAsia="Amazon Ember" w:cs="Amazon Ember" w:ascii="Amazon Ember" w:hAnsi="Amazon Ember"/>
          <w:b/>
          <w:bCs/>
          <w:color w:val="0000FF"/>
          <w:sz w:val="36"/>
          <w:szCs w:val="36"/>
        </w:rPr>
        <w:t>Kapitel 42: Plan B: Die Rückkehr nach Deutschland</w:t>
      </w:r>
      <w:bookmarkEnd w:id="102"/>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Irgendwann am Küchentisch in Phoenix, Seattle oder Detroit fällt der Satz zum ersten Mal offen aus: „Sollen wir zurück?“ Mal ist der Auslöser ein Stellenabbau, mal ein pflegebedürftiger Elternteil in Deutschland, mal einfach das leise Gefühl, dass dieses Leben nie ganz das eigene geworden ist. Wer sich diese Frage stellt, braucht keinen Plan für ein Scheitern, sondern einen Umzugsplan – und der ist an einigen Stellen komplizierter als der erste, weil zwei Steuersysteme, zwei Sozialversicherungen und oft auch zwei Kinder-Lebensläufe zusammenlaufen.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Rückkehr ist normal: Verträge enden, Firmen bauen ab, Familien verändern sich. Sie ist kein Beleg dafür, dass die Auswanderung falsch war.</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letzte US-Steuererklärung und der Umgang mit der Green Card brauchen drei bis sechs Monate Vorlauf.</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Green Card acht Jahre oder länger hatte, muss die Exit Tax prüfen (lassen); bei kürzerer Zeit betrifft sie dich in aller Regel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Wohnungssuche und Bankkonto ohne aktuelle Schufa-Historie sind die am meisten unterschätzten Themen der Rückkehr.</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umgekehrte Kulturschock trifft viele härter als erwartet: Man rechnet nicht damit, sich in der eigenen Heimat fremd zu fühlen.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eine Rückkehr kein Scheitern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Signale erkennen und die Entscheidung treffen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Typische Auslöser: ein </w:t>
      </w:r>
      <w:r>
        <w:rPr>
          <w:rFonts w:eastAsia="Cambria" w:cs="Cambria"/>
          <w:b w:val="false"/>
          <w:bCs w:val="false"/>
          <w:i/>
          <w:iCs/>
          <w:sz w:val="22"/>
          <w:szCs w:val="22"/>
        </w:rPr>
        <w:t>Layoff</w:t>
      </w:r>
      <w:r>
        <w:rPr>
          <w:rFonts w:eastAsia="Cambria" w:cs="Cambria"/>
          <w:b w:val="false"/>
          <w:bCs w:val="false"/>
          <w:i w:val="false"/>
          <w:iCs w:val="false"/>
          <w:sz w:val="22"/>
          <w:szCs w:val="22"/>
        </w:rPr>
        <w:t xml:space="preserve"> (Stellenabbau) ohne neue Sponsoring-Option binnen der 60-Tage-Frist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H-1B-Verlängerungsantrag, der abgelehnt wird, ein Green-Card-Verfahren, das sich um Jahre verzögert, eine Scheidung oder Trennung, finanzielle Rechnungen, die in den USA nicht mehr aufgehen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familiäre Gründe, die keinen Zahlenbeweis brauchen. Sprich die Entscheidung offen mit Partner und Kindern durch, bevor Fristen dich treiben.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Triff die Grundsatzentscheidung nicht unter dem Druck einer laufenden Frist. Wer erst nach der Kündigung anfängt, Krankenversicherung, Steuern und Green-Card-Status zu klären, zahlt fast immer mehr und hat weniger Auswahl.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Zeitplan: von sechs Monaten bis zur Ankunft</w:t>
      </w:r>
    </w:p>
    <w:tbl>
      <w:tblPr>
        <w:tblW w:w="6480" w:type="dxa"/>
        <w:jc w:val="left"/>
        <w:tblInd w:w="0" w:type="dxa"/>
        <w:tblLayout w:type="fixed"/>
        <w:tblCellMar>
          <w:top w:w="50" w:type="dxa"/>
          <w:left w:w="80" w:type="dxa"/>
          <w:bottom w:w="50" w:type="dxa"/>
          <w:right w:w="80" w:type="dxa"/>
        </w:tblCellMar>
      </w:tblPr>
      <w:tblGrid>
        <w:gridCol w:w="1292"/>
        <w:gridCol w:w="2831"/>
        <w:gridCol w:w="2357"/>
      </w:tblGrid>
      <w:tr>
        <w:trPr>
          <w:tblHeader w:val="true"/>
          <w:cantSplit w:val="true"/>
        </w:trPr>
        <w:tc>
          <w:tcPr>
            <w:tcW w:w="12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28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mit Familie treffen, Zeitpunkt am deutschen Schuljahr ausrichten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Schulwechsel im August/September ist deutlich leichter als mitten im Halbjahr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GKV-/PKV-Anwartschaft prüfen und ggf. abschließen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die Rückkehr ohne neue Gesundheitsprüfung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 informieren, Green-Card-Weg entscheiden (I-407 oder Reentry Permit)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 für Antrag und Biometrie</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Haus/Wohnung und Auto in den USA zum Verkauf anbieten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als Resident ist steuerlich meist einfacher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Schule/Kita in Deutschland kontaktieren, Zeugnisse übersetzen lassen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Einstufung und Platzvergabe brauchen Vorlauf</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T–2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Umzugsfirma buchen, Übersiedlungsgut-Liste beginnen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Zollfreiheit setzt Nachweise voraus</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Monat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US-Konten, Verträge, Mietvertrag kündigen; SCHUFA-Auskunft in Deutschland anfordern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laufen unabhängig vom Flugdatum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Ankunft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GKV/PKV aktivieren, Bankkonto reaktivieren, Kinder einschulen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Fristen beginnen mit dem Einzug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Folgejahr</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US-Steuererklärung einreichen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15. April, mit Verlängerung 15. Oktober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der Weg zurück in GKV oder PKV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Ohne Anwartschaft komme man nach Jahren in den USA nicht mehr in die gesetzliche Kasse zurück. Für die meisten Angestellten stimmt das nicht. Wer vor der Auswanderung zuletzt gesetzlich versichert war, seinen Wohnsitz wieder in Deutschland hat und keinen anderen Anspruch auf Absicherung im Krankheitsfall besitzt, wird automatisch wieder pflichtversichert – die </w:t>
      </w:r>
      <w:r>
        <w:rPr>
          <w:rFonts w:eastAsia="Cambria" w:cs="Cambria"/>
          <w:b w:val="false"/>
          <w:bCs w:val="false"/>
          <w:i/>
          <w:iCs/>
          <w:sz w:val="22"/>
          <w:szCs w:val="22"/>
        </w:rPr>
        <w:t>Auffangversicherung</w:t>
      </w:r>
      <w:r>
        <w:rPr>
          <w:rFonts w:eastAsia="Cambria" w:cs="Cambria"/>
          <w:b w:val="false"/>
          <w:bCs w:val="false"/>
          <w:i w:val="false"/>
          <w:iCs w:val="false"/>
          <w:sz w:val="22"/>
          <w:szCs w:val="22"/>
        </w:rPr>
        <w:t xml:space="preserve"> nach § 5 Abs. 1 Nr. 13 SGB V. Eine Anwartschaft brauchst du dafür nicht; die Pflichtmitgliedschaft beginnt am ersten Tag ohne Absicherung im Ausland. Das ist der häufigste Fall für Angestellte, die aus den USA zurückkehren.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Gruppen fallen aus dieser einfachen Regel heraus. </w:t>
      </w:r>
      <w:r>
        <w:rPr>
          <w:rFonts w:eastAsia="Cambria" w:cs="Cambria"/>
          <w:b/>
          <w:bCs/>
          <w:i w:val="false"/>
          <w:iCs w:val="false"/>
          <w:sz w:val="22"/>
          <w:szCs w:val="22"/>
        </w:rPr>
        <w:t>Erstens:</w:t>
      </w:r>
      <w:r>
        <w:rPr>
          <w:rFonts w:eastAsia="Cambria" w:cs="Cambria"/>
          <w:b w:val="false"/>
          <w:bCs w:val="false"/>
          <w:i w:val="false"/>
          <w:iCs w:val="false"/>
          <w:sz w:val="22"/>
          <w:szCs w:val="22"/>
        </w:rPr>
        <w:t xml:space="preserve"> Wer als Angestellter über der Versicherungspflichtgrenze (Jahresarbeitsentgeltgrenze, 2026: 77.400 €/Jahr) verdient, oder wer hauptberuflich selbständig wird, kommt nicht über Nr. 13 in die GKV, sondern höchstens über eine freiwillige Mitgliedschaft (§ 9 Abs. 1 SGB V) – die setzt in der Regel eine Vorversicherungszeit in den letzten Jahren voraus, die reine US-Jahre nicht erfüllen. </w:t>
      </w:r>
      <w:r>
        <w:rPr>
          <w:rFonts w:eastAsia="Cambria" w:cs="Cambria"/>
          <w:b/>
          <w:bCs/>
          <w:i w:val="false"/>
          <w:iCs w:val="false"/>
          <w:sz w:val="22"/>
          <w:szCs w:val="22"/>
        </w:rPr>
        <w:t>Zweitens:</w:t>
      </w:r>
      <w:r>
        <w:rPr>
          <w:rFonts w:eastAsia="Cambria" w:cs="Cambria"/>
          <w:b w:val="false"/>
          <w:bCs w:val="false"/>
          <w:i w:val="false"/>
          <w:iCs w:val="false"/>
          <w:sz w:val="22"/>
          <w:szCs w:val="22"/>
        </w:rPr>
        <w:t xml:space="preserve"> die 55+-Falle. Wer nach dem 55. Geburtstag erstmals wieder versicherungspflichtig würde und in den letzten fünf Jahren nicht gesetzlich versichert war, gilt nach § 6 Abs. 3a SGB V als versicherungsfrei – die GKV-Rückkehr ist dann in der Regel ausgeschlossen. </w:t>
      </w:r>
      <w:r>
        <w:rPr>
          <w:rFonts w:eastAsia="Cambria" w:cs="Cambria"/>
          <w:b/>
          <w:bCs/>
          <w:i w:val="false"/>
          <w:iCs w:val="false"/>
          <w:sz w:val="22"/>
          <w:szCs w:val="22"/>
        </w:rPr>
        <w:t>Drittens:</w:t>
      </w:r>
      <w:r>
        <w:rPr>
          <w:rFonts w:eastAsia="Cambria" w:cs="Cambria"/>
          <w:b w:val="false"/>
          <w:bCs w:val="false"/>
          <w:i w:val="false"/>
          <w:iCs w:val="false"/>
          <w:sz w:val="22"/>
          <w:szCs w:val="22"/>
        </w:rPr>
        <w:t xml:space="preserve"> Wer zuletzt privat versichert war, hat keinen Anspruch auf Nr. 13; mit Wohnsitz in Deutschland besteht aber wieder eine Pflicht zur Krankheitskostenversicherung (§ 193 Abs. 3 VVG), notfalls im </w:t>
      </w:r>
      <w:r>
        <w:rPr>
          <w:rFonts w:eastAsia="Cambria" w:cs="Cambria"/>
          <w:b/>
          <w:bCs/>
          <w:i w:val="false"/>
          <w:iCs w:val="false"/>
          <w:sz w:val="22"/>
          <w:szCs w:val="22"/>
        </w:rPr>
        <w:t>Basistarif</w:t>
      </w:r>
      <w:r>
        <w:rPr>
          <w:rFonts w:eastAsia="Cambria" w:cs="Cambria"/>
          <w:b w:val="false"/>
          <w:bCs w:val="false"/>
          <w:i w:val="false"/>
          <w:iCs w:val="false"/>
          <w:sz w:val="22"/>
          <w:szCs w:val="22"/>
        </w:rPr>
        <w:t xml:space="preserve"> mit Aufnahmezwang und einem Höchstbeitrag von rund 1.017 €/Monat (2026, ohne Pflegeversicherung).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Meldest du dich später als einen Monat nach der Rückkehr bei einer privaten Krankenversicherung an, kostet jeder weitere Monat ohne Vertrag einen zusätzlichen Monatsbeitrag als Zuschlag, ab dem sechsten Monat ein Sechstel je Monat. Wer über der Versicherungspflichtgrenze verdient, selbständig ist oder mit 55 oder älter zurückkehrt, sollte die Krankenversicherung vor dem Abflug in die USA klären, nicht erst bei der Rückkehr.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Anwartschaftsversicherung, die du vor der Auswanderung bei deiner Kasse abschließt, sichert dir Rückkehr ohne neue Gesundheitsprüfung – bei der PKV üblicherweise für 5–10 % (kleine Anwartschaft) oder 20–45 % (große Anwartschaft, erhält zusätzlich das Eintrittsalter) des vollen Beitrags. Ob und zu welchen Kosten deine gesetzliche Kasse eine Anwartschaft anbietet, ist Kassensache; frag konkret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beim Verlassen: die letzte Erklärung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Jahr des Wegzugs stellst du meist eine geteilte Erklärung (</w:t>
      </w:r>
      <w:r>
        <w:rPr>
          <w:rFonts w:eastAsia="Cambria" w:cs="Cambria"/>
          <w:b w:val="false"/>
          <w:bCs w:val="false"/>
          <w:i/>
          <w:iCs/>
          <w:sz w:val="22"/>
          <w:szCs w:val="22"/>
        </w:rPr>
        <w:t>Dual-Status Return</w:t>
      </w:r>
      <w:r>
        <w:rPr>
          <w:rFonts w:eastAsia="Cambria" w:cs="Cambria"/>
          <w:b w:val="false"/>
          <w:bCs w:val="false"/>
          <w:i w:val="false"/>
          <w:iCs w:val="false"/>
          <w:sz w:val="22"/>
          <w:szCs w:val="22"/>
        </w:rPr>
        <w:t>):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außerhalb der USA und auf Antrag (Form 4868) bis 15.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H-1B- oder L-1-Rückkehrer und für Green-Card-Inhaber mit wenigen Jahren Aufenthalt endet die Steuerpflicht damit. Anders bei einem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acht der letzten fünfzehn Steuerjahre): Wer das erfüllt, muss beim Verlassen prüfen, ob er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 etwa bei einer durchschnittlichen Einkommensteuer der letzten fünf Jahre über 211.000 $, einem Nettovermögen ab 2 Mio. $ oder fehlendem Nachweis der Steuertreue (Form 8854). Die Mechanik der Exit Tax – fiktiver Verkauf des Vermögens, Freibetrag 910.000 $ (2026) – steht ausführlich in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sie betrifft nur diese Langzeit-Fälle, nicht die Mehrheit der Rückkehrer.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deutschen Seite entfällt eine bereits ausgelöste Wegzugsteuer für Unternehmensanteile (§ 6 AStG, betrifft Gründer und Gesellschafter mit mindestens 1 % Beteiligung) rückwirkend, wenn du innerhalb von sieben Jahren nach dem Wegzug wieder unbeschränkt steuerpflichtig in Deutschland wirst und die Anteile in der Zwischenzeit weder verkauft noch übertragen hast; eine Verlängerung um bis zu fünf weitere Jahre ist bei glaubhafter Rückkehrabsicht möglich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als deutscher Staatsangehöriger zurückkehrt, ist ohnehin bis zu fünf Jahre nach dem ursprünglichen Wegzug weiter unbeschränkt erbschaftsteuerpflichtig gewesen (§ 2 ErbStG) – mit der Rückkehr stellt sich diese Frage ab sofort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und, bei der Green-Card-Frage, mit einem Einwanderungsanwalt.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aufgeben oder Wiedereinreisegenehmigung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musst dich vor der Ausreise entscheiden, wie du mit der Green Card umgehst. </w:t>
      </w:r>
      <w:r>
        <w:rPr>
          <w:rFonts w:eastAsia="Cambria" w:cs="Cambria"/>
          <w:b/>
          <w:bCs/>
          <w:i w:val="false"/>
          <w:iCs w:val="false"/>
          <w:sz w:val="22"/>
          <w:szCs w:val="22"/>
        </w:rPr>
        <w:t>Endgültig aufgeben</w:t>
      </w:r>
      <w:r>
        <w:rPr>
          <w:rFonts w:eastAsia="Cambria" w:cs="Cambria"/>
          <w:b w:val="false"/>
          <w:bCs w:val="false"/>
          <w:i w:val="false"/>
          <w:iCs w:val="false"/>
          <w:sz w:val="22"/>
          <w:szCs w:val="22"/>
        </w:rPr>
        <w:t xml:space="preserve"> kannst du sie über Form I-407, kostenlos und freiwillig; damit endet die Aufenthaltsberechtigung und, steuerlich, die Behandlung als US-Resident. </w:t>
      </w:r>
      <w:r>
        <w:rPr>
          <w:rFonts w:eastAsia="Cambria" w:cs="Cambria"/>
          <w:b/>
          <w:bCs/>
          <w:i w:val="false"/>
          <w:iCs w:val="false"/>
          <w:sz w:val="22"/>
          <w:szCs w:val="22"/>
        </w:rPr>
        <w:t>Offenhalten</w:t>
      </w:r>
      <w:r>
        <w:rPr>
          <w:rFonts w:eastAsia="Cambria" w:cs="Cambria"/>
          <w:b w:val="false"/>
          <w:bCs w:val="false"/>
          <w:i w:val="false"/>
          <w:iCs w:val="false"/>
          <w:sz w:val="22"/>
          <w:szCs w:val="22"/>
        </w:rPr>
        <w:t xml:space="preserve"> kannst du die Option über eine Wiedereinreisegenehmigung (</w:t>
      </w:r>
      <w:r>
        <w:rPr>
          <w:rFonts w:eastAsia="Cambria" w:cs="Cambria"/>
          <w:b w:val="false"/>
          <w:bCs w:val="false"/>
          <w:i/>
          <w:iCs/>
          <w:sz w:val="22"/>
          <w:szCs w:val="22"/>
        </w:rPr>
        <w:t>Reentry Permit</w:t>
      </w:r>
      <w:r>
        <w:rPr>
          <w:rFonts w:eastAsia="Cambria" w:cs="Cambria"/>
          <w:b w:val="false"/>
          <w:bCs w:val="false"/>
          <w:i w:val="false"/>
          <w:iCs w:val="false"/>
          <w:sz w:val="22"/>
          <w:szCs w:val="22"/>
        </w:rPr>
        <w:t>, Form I-131, 630 $, gültig bis zu zwei Jahre); sie musst du in den USA mit Biometrie beantragen, bevor du abreist. Der Haken: Solange du die Green Card behältst, bleibst du weltweit US-steuerpflichtig und meldepflichtig (FBAR, Form 8938), auch wenn du in Deutschland lebst und arbeitest – die Wiedereinreisegenehmigung schützt nur vor dem Vorwurf, den Wohnsitz endgültig verlegt zu haben, nicht vor der Steuerpflicht.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Kapitel </w:t>
            </w:r>
            <w:hyperlink w:anchor="k41">
              <w:r>
                <w:rPr>
                  <w:rStyle w:val="ListLabel114"/>
                  <w:rFonts w:eastAsia="Cambria" w:cs="Cambria"/>
                  <w:b w:val="false"/>
                  <w:bCs w:val="false"/>
                  <w:i w:val="false"/>
                  <w:iCs w:val="false"/>
                  <w:sz w:val="20"/>
                  <w:szCs w:val="20"/>
                </w:rPr>
                <w:t>41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401(k), IRA und Depots: mitnehmen oder auflösen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401(k)- oder IRA-Konto musst du wegen der Auswanderung nicht auflösen; es bleibt bestehen und wächst steuerbegünstigt weiter. Eine vorzeitige Auszahlung vor 59½ Jahren löst zusätzlich zur regulären Einkommensteuer eine Strafsteuer von rund 10 % aus – ein sofortiger Komplettausstieg ist damit fast immer die teuerste Option. Sinnvoller ist meist, das Geld bis zum Ruhestand liegen zu lassen oder ein 401(k) in eine IRA zu übertragen, die sich aus dem Ausland einfacher verwalten lässt. Sobald du keinen US-Steuerresidenzstatus mehr hast, sieht das Doppelbesteuerungsabkommen private Renten und Auszahlungen aus Altersvorsorgeplänen (Art. 18 Abs. 1–2) als nur im Wohnsitzstaat – also in Deutschland – besteuerbar vor; das befreit dich in der Praxis nicht automatisch von der US-Vorabsteuer und braucht die richtigen Formulare gegenüber der depotführenden Bank. Kläre die Auszahlungsstrategie und ihre deutsche Besteuerung vor dem Abflug mit einer grenzüberschreitend erfahrenen Steuerfachperson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 Auto und der Umzug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Eigenheim oder Auto in den USA verkaufst du am einfachsten, solange du noch als Resident giltst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Verkaufst du erst nach der Ausreise als Nichtresident, behält die Titelgesellschaft beim Verkauf nach US-Steuerrecht (FIRPTA) einen Teil des Verkaufspreises als Vorauszahlung auf die Steuer ein – regulär 15 % des Kaufpreises, bei selbstgenutzten Immobilien bis 1 Mio. $ ermäßigt auf 10 %, bis 300.000 $ oft ganz befreit; die tatsächliche Steuer errechnet erst die Erklärung, zu viel Einbehaltenes kommt zurück. Ein Auto lässt sich ohne US-Adresse kaum versichern oder ummelden; der Verkauf vor dem Abflug ist fast immer die praktikablere Lösung als der teure und wegen abweichender Normen aufwendige Transport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Umzugsgut kannst du als Übersiedlungsgut (der Zollbegriff für das Umzugsgut von Rückkehrern) zollfrei nach Deutschland einführen, wenn du mindestens zwölf Monate deinen gewöhnlichen Aufenthalt im Ausland hattest und die Gegenstände mindestens sechs Monate in deinem Besitz und Gebrauch waren; neue, unbenutzte Waren zählen nicht dazu. Die Befreiung beantragst du formlos beim zuständigen Hauptzollamt, vor oder bei der Einfuhr; innerhalb von zwölf Monaten nach dem Umzug kannst du weitere Sachen nachführen, darfst die zollfrei eingeführten Gegenstände in dieser Zeit aber nicht verkaufen, verleihen oder vermieten. Logistik und Kosten des Transports stehen 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Einreise deines Haustiers nach den Regeln der EU in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zurück im deutschen Schulsystem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gilt für jedes Kind mit Wohnsitz in Deutschland unabhängig von der Staatsangehörigkeit, beginnt je nach Bundesland mit einem Stichtag um den 30. Juni oder 30. September und dauert neun bis zehn Jahre Vollzeit; Hausunterricht ist – anders als in vielen US-Bundesstaaten – grundsätzlich nicht erlaubt. Die Schule stuft nach Lebensalter und Zeugnissen ein; die Grade-Klasse-Tabelle aus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funktioniert auch rückwärts. Jüngere Kinder wechseln meist unkompliziert, oft mit etwas Nachholbedarf im geschriebenen Deutsch nach Jahren in einer englischsprachigen Schule. Teenager in der Oberstufe haben es schwerer: Lücken in der Kursfolge, und ein reines </w:t>
      </w:r>
      <w:r>
        <w:rPr>
          <w:rFonts w:eastAsia="Cambria" w:cs="Cambria"/>
          <w:b w:val="false"/>
          <w:bCs w:val="false"/>
          <w:i/>
          <w:iCs/>
          <w:sz w:val="22"/>
          <w:szCs w:val="22"/>
        </w:rPr>
        <w:t>High School Diploma</w:t>
      </w:r>
      <w:r>
        <w:rPr>
          <w:rFonts w:eastAsia="Cambria" w:cs="Cambria"/>
          <w:b w:val="false"/>
          <w:bCs w:val="false"/>
          <w:i w:val="false"/>
          <w:iCs w:val="false"/>
          <w:sz w:val="22"/>
          <w:szCs w:val="22"/>
        </w:rPr>
        <w:t xml:space="preserve"> (der amerikanische Schulabschluss) reicht für die direkte Zulassung an einer deutschen Hochschule häufig nicht aus. Wege dorthin sind ein Studienkolleg (zwei Semester plus Feststellungsprüfung), die Anerkennung von ein bis zwei Jahren US-College oder eine Einzelfallbewertung durch die Zentralstelle für ausländisches Bildungswesen (anabin/ZAB).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den Umzug, wenn möglich, auf den Beginn des deutschen Schuljahres im August oder September. Ein Wechsel mitten im Halbjahr kostet Kinder mehr als jede andere Einzelmaßnahme in diesem Kapitel.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Kindergeld (259 €/Kind/Monat) lebt mit dem deutschen Wohnsitz automatisch wieder auf; beantrage es neu, sobald du angemeldet bist. Sprachförderung für Kinder, die stärker Englisch als Deutsch geprägt sind, und der Umgang mit zwei Sprachen allgemein stehen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Rentenansprüche: was bleibt und was zusammengerechnet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Rentenanwartschaften bleiben durch die Jahre im Ausland unberührt; jedes Land berechnet seine Rente weiterhin nur aus den eigenen Beitragszeiten, eine gemeinsame Rente gibt es nicht. Das deutsch-amerikanische Sozialversicherungsabkommen (seit 1. Dezember 1979) deckt ausschließlich die Rentenversicherung ab und rechnet deutsche und US-Zeiten für die Mindestversicherungszeit zusammen – in Deutschland fünf Jahre. Freiwillige Beiträge zur deutschen Rentenversicherung sind für Deutsche jederzeit möglich, auch rückwirkend bis zum 31. März des Folgejahres, und schließen Lücken oder erhalten den Schutz bei Erwerbsminderung. Melde der Deutschen Rentenversicherung deine neue Anschrift und Rückkehr einige Monate vorher; zum Rentenbeginn stellst du getrennte Anträge bei der DRV und der amerikanischen Social Security Administration. Beide Renten werden weltweit gezahlt – die US-Rente erreicht dich also auch in Deutschland ungekürzt für reine US-Zeiten.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und Bank ohne Schufa-Historie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Jahren im Ausland ist deine Schufa-Akte oft dünn oder veraltet – für Vermieter wirkt das mitunter genauso misstrauisch wie ein negativer Eintrag: Deutschland vergisst nicht gern, aber es vergisst, wer lange nicht da war. Verlangt werden meist eine aktuelle Schufa-Bonitätsauskunft, die letzten drei Gehaltsabrechnungen und der Personalausweis. Fordere deine eigene Schufa-Auskunft schon vor der Rückkehr online an, biete Nachweise über Ersparnisse oder den neuen Arbeitsvertrag an, prüfe eine Bürgschaft oder eine höhere Kaution, und überbrücke die Suche notfalls mit einer möblierten Zwischenmiete. Beim Bankkonto ist es einfacher, wenn du dein altes deutsches Konto vor der Auswanderung behalten hast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Du musst es nur reaktivieren, das TAN-Verfahren auf die App statt auf eine SMS an deine alte deutsche Nummer umstellen und die Adresse aktualisieren. Wurde das Konto geschlossen, hast du nach dem Zahlungskontengesetz Anspruch auf ein einfaches Basiskonto, unabhängig von der Schufa-Historie – allerdings mit eingeschränktem Leistungsumfang.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umgekehrte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unterschätzen, wie fremd sich die eigene Heimat anfühlen kann. Freunde sind weitergezogen, Ämter arbeiten anders als erinnert, manches, was in den USA selbstverständlich war – späte Öffnungszeiten, große Wohnungen, ein bestimmter Umgangston bei der Arbeit –, fehlt plötzlich. Sonntagabends steht man vor dem verschlossenen Supermarkt und braucht einen Moment, um sich zu erinnern, dass das hier ganz normal ist. Kinder, die einen Großteil ihrer bewussten Kindheit in den USA verbracht haben, empfinden Deutschland womöglich fremder als sie einst die USA empfanden. Die Phasen ähneln dem ursprünglichen Kulturschock, treffen viele aber unvorbereiteter, weil niemand erwartet, sich zu Hause anpassen zu müssen. Mentale Gesundheit, Heimweh und der Umgang mit Kulturschock allgemein stehen ausführlich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Pendeln oder zwei Wohnsitze?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Familien versuchen eine Übergangslösung: Ein Elternteil arbeitet noch einige Monate in den USA weiter, während der Rest der Familie schon in Deutschland ist, oder man behält für eine Weile beide Wohnungen. Das kann rund um einen Schuljahreswechsel sinnvoll sein, hat aber eine steuerliche Falle: Wer in Deutschland eine Wohnung behält, „die er beibehalten und benutzen wird“, ist damit wieder unbeschränkt steuerpflichtig in Deutschland (§ 8 AO) – unabhängig davon, wo der Lebensmittelpunkt gerade liegt (die Zweitwohnsitz-Falle, im Detail 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Kranken- und Sozialversicherung verheddern sich bei zwei Wohnsitzen ähnlich. In der Praxis funktioniert ein Doppelmodell meist nur für wenige Monate als bewusste Brücke, nicht als Dauerlösung; kläre die Steuerlage in beiden Ländern schriftlich, bevor du sie beginnst.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sechs Jahren im Großraum Detroit, als Markus’ deutsche Muttergesellschaft ihm eine Position bei Stuttgart anbietet. Anna hat die Green Card, Markus ist noch im Prozess; sie entscheiden sich, seine Green Card über I-407 aufzugeben, statt eine Wiedereinreisegenehmigung zu beantragen. Lena (inzwischen 15) reagiert zunächst wütend auf den Abschied von ihren Freundinnen – „Ich habe hier mein ganzes Leben“, sagt sie beim Abendessen –, findet sich aber leichter zurecht, als die Familie befürchtet hatte; für die Oberstufe klärt die Schule die Einstufung anhand ihrer US-Zeugnisse. Jonas (11) wechselt unkompliziert aufs Gymnasium. Weil Anna vor der Ausreise eine kleine PKV-Anwartschaft abgeschlossen hatte, sind beide ab dem Einzugstag wieder abgesichert. Das Haus in Michigan verkaufen sie noch vor dem Wegzug.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Sprache, Familie und Freunde wieder erreichbar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Karrierepfad lassen sich selten 1:1 übertragen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 und Kündigungsschutz wieder verfügbar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GKV-Rückkehr kann an Versicherungspflichtgrenze oder 55+-Regel scheitern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Aufgabe der Green Card entfällt die jährliche US-Steuererklärung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langer Green-Card-Zeit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wachsen mit deutschem Schulabschluss und beiden Sprachen auf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Umgekehrter Kulturschock, Wohnungssuche ohne aktuelle Schufa</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Rentenanwartschaften in beiden Ländern bleiben erhalten</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von Haus und Auto in den USA unter Zeitdruck</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mit der Familie treffen, Zeitpunkt am deutschen Schuljahr ausrichten.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GKV-/PKV-Anwartschaft mindestens sechs Monate vor der Rückkehr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über die Rückkehr informieren,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Green Card treffen: Form I-407 (endgültig) oder Reentry Permit (Option offenhalten).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US-Steuererklärung mit einer grenzüberschreitend erfahrenen Steuerfachperson planen; bei Green Card ab acht Jahren die Exit Tax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Strategie für 401(k)/IRA festlegen: liegen lassen, übertragen oder auszahlen.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Haus/Wohnung und Auto in den USA rechtzeitig verkaufen oder Vermietung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Übersiedlungsgut-Liste für den Zoll vorbereiten, Besitz und Nutzung von mindestens sechs Monaten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Schule oder Kita in Deutschland kontaktieren, Zeugnisse übersetzen lassen, Einstufung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Schufa-Bonitätsauskunft frühzeitig anfordern, deutsches Bankkonto reaktivieren.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Anmeldung beim Einwohnermeldeamt binnen zwei Wochen nach dem Einzug erledigen.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Kindergeld neu beantragen, sobald du gemeldet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aufgeben, Form I-407 (</w:t>
      </w:r>
      <w:hyperlink r:id="rId403">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Wiedereinreisegenehmigung, Form I-131 (</w:t>
      </w:r>
      <w:hyperlink r:id="rId404">
        <w:r>
          <w:rPr>
            <w:rStyle w:val="ListLabel113"/>
            <w:rFonts w:eastAsia="Cambria" w:cs="Cambria"/>
            <w:b w:val="false"/>
            <w:bCs w:val="false"/>
            <w:i w:val="false"/>
            <w:iCs w:val="false"/>
            <w:color w:val="0563C1"/>
            <w:sz w:val="22"/>
            <w:szCs w:val="22"/>
            <w:u w:val="single"/>
          </w:rPr>
          <w:t>uscis.gov/i-131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405">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FIRPTA Withholding (</w:t>
      </w:r>
      <w:hyperlink r:id="rId406">
        <w:r>
          <w:rPr>
            <w:rStyle w:val="ListLabel113"/>
            <w:rFonts w:eastAsia="Cambria" w:cs="Cambria"/>
            <w:b w:val="false"/>
            <w:bCs w:val="false"/>
            <w:i w:val="false"/>
            <w:iCs w:val="false"/>
            <w:color w:val="0563C1"/>
            <w:sz w:val="22"/>
            <w:szCs w:val="22"/>
            <w:u w:val="single"/>
          </w:rPr>
          <w:t>irs.gov/individuals/international-taxpayers/firpta-withholding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SGB V, §§ 5, 6, 9 (</w:t>
      </w:r>
      <w:hyperlink r:id="rId407">
        <w:r>
          <w:rPr>
            <w:rStyle w:val="ListLabel113"/>
            <w:rFonts w:eastAsia="Cambria" w:cs="Cambria"/>
            <w:b w:val="false"/>
            <w:bCs w:val="false"/>
            <w:i w:val="false"/>
            <w:iCs w:val="false"/>
            <w:color w:val="0563C1"/>
            <w:sz w:val="22"/>
            <w:szCs w:val="22"/>
            <w:u w:val="single"/>
          </w:rPr>
          <w:t>gesetze-im-internet.de/sgb_5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Arbeit und Rente in Deutschland und den USA (</w:t>
      </w:r>
      <w:hyperlink r:id="rId40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online – Übersiedlungsgut (</w:t>
      </w:r>
      <w:hyperlink r:id="rId409">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New York – Anerkennung US-amerikanischer Abschlüsse (</w:t>
      </w:r>
      <w:hyperlink r:id="rId410">
        <w:r>
          <w:rPr>
            <w:rStyle w:val="ListLabel113"/>
            <w:rFonts w:eastAsia="Cambria" w:cs="Cambria"/>
            <w:b w:val="false"/>
            <w:bCs w:val="false"/>
            <w:i w:val="false"/>
            <w:iCs w:val="false"/>
            <w:color w:val="0563C1"/>
            <w:sz w:val="22"/>
            <w:szCs w:val="22"/>
            <w:u w:val="single"/>
          </w:rPr>
          <w:t>daad.org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Versicherungspflichtgrenze und die GKV-Beitragssätze (jährlich neu), die Exit-Tax-Schwellenwerte (211.000 $ und 910.000 $ für 2026, jährlich angepasst), die FIRPTA-Sätze und die Gebühren für I-407 und I-131. Prüfe vor jedem Schritt die offiziellen Seiten und sprich frühzeitig mit einer Steuerfachperson in beiden Ländern.</w:t>
            </w:r>
          </w:p>
        </w:tc>
      </w:tr>
    </w:tbl>
    <w:p>
      <w:pPr>
        <w:sectPr>
          <w:footerReference w:type="even" r:id="rId411"/>
          <w:footerReference w:type="default" r:id="rId412"/>
          <w:footerReference w:type="first" r:id="rId41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03" w:name="__RefHeading___Toc56530_3457424410"/>
      <w:bookmarkEnd w:id="103"/>
      <w:r>
        <w:rPr>
          <w:rFonts w:eastAsia="Amazon Ember" w:cs="Amazon Ember" w:ascii="Amazon Ember" w:hAnsi="Amazon Ember"/>
          <w:b/>
          <w:bCs/>
          <w:color w:val="0000FF"/>
        </w:rPr>
        <w:t>TEIL AUSTRALIEN — Fern, aber gut geregelt</w:t>
      </w:r>
    </w:p>
    <w:p>
      <w:pPr>
        <w:sectPr>
          <w:footerReference w:type="even" r:id="rId414"/>
          <w:footerReference w:type="default" r:id="rId415"/>
          <w:footerReference w:type="first" r:id="rId41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Australien lockt mit Sonne, einer klar strukturierten Einwanderungslogik und einer Sprache, die du schon kannst – und stellt dich zugleich vor die größte Distanz zu Deutschland unter allen vier Ländern dieses Buches. Dieser Teil begleitet Familie Reinhardt und Nina Voss durch Einwanderungswege, Alltag und die Frage, ob 16.000 Kilometer für dich zu weit sind oder genau richtig.</w:t>
      </w:r>
      <w:r>
        <w:br w:type="page"/>
      </w:r>
    </w:p>
    <w:p>
      <w:pPr>
        <w:pStyle w:val="Heading2"/>
        <w:keepNext w:val="true"/>
        <w:spacing w:lineRule="exact" w:line="340" w:before="0" w:after="300"/>
        <w:jc w:val="center"/>
        <w:rPr/>
      </w:pPr>
      <w:bookmarkStart w:id="104" w:name="__RefHeading___Toc56532_3457424410"/>
      <w:bookmarkStart w:id="105" w:name="tau01"/>
      <w:bookmarkEnd w:id="104"/>
      <w:r>
        <w:rPr>
          <w:rFonts w:eastAsia="Amazon Ember" w:cs="Amazon Ember" w:ascii="Amazon Ember" w:hAnsi="Amazon Ember"/>
          <w:b/>
          <w:bCs/>
          <w:color w:val="0000FF"/>
          <w:sz w:val="36"/>
          <w:szCs w:val="36"/>
        </w:rPr>
        <w:t>Australien: Die ehrliche Bilanz</w:t>
      </w:r>
      <w:bookmarkEnd w:id="1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Reinhardts in Köln liegt ein Ausdruck der SkillSelect-Punktetabelle, daneben die Kontoauszüge der letzten sechs Monate. Thomas, 41, Bauingenieur, hat seinen Punktestand ausgerechnet: 85 Punkte, komfortabel über dem gesetzlichen Minimum. Sandra, 39, Krankenpflegerin, hat parallel recherchiert, was ein Umzug nach Melbourne für die Steuerlast bedeutet – und ist auf eine Zahl gestoßen, die sie zweimal nachrechnen ließ: Der Anteil, den Steuern und Abgaben vom Einkommen wegnehmen, liegt in Australien spürbar niedriger als in Deutschland. Bevor daraus eine Entscheidung wird, verdient diese Zahl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Auf einen Durchschnittsverdiener entfallen in Australien rund 29,6 % der Arbeitskosten an Steuern und Abgaben, in Deutschland rund 49,3 % – ein struktureller Vorteil, der aber geringere Sozialleistungen mit einpreist.</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deckt die öffentliche Grundversorgung, aber Deutschland gehört nicht zu den elf Ländern mit einem Gegenseitigkeitsabkommen für Gesundheitsversorgung: Bis zum Daueraufenthaltstitel brauchst du private Zusatzversicherung.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Melbourne und Sydney liegen bei den Lebenshaltungskosten in ähnlichen Regionen wie München, mit spürbaren Unterschieden bei Miete und Gesundheitskosten.</w:t>
            </w:r>
          </w:p>
          <w:p>
            <w:pPr>
              <w:pStyle w:val="ListParagraph"/>
              <w:numPr>
                <w:ilvl w:val="0"/>
                <w:numId w:val="1"/>
              </w:numPr>
              <w:spacing w:lineRule="exact" w:line="264" w:before="0" w:after="50"/>
              <w:rPr/>
            </w:pPr>
            <w:r>
              <w:rPr>
                <w:rFonts w:eastAsia="Cambria" w:cs="Cambria"/>
                <w:b w:val="false"/>
                <w:bCs w:val="false"/>
                <w:i w:val="false"/>
                <w:iCs w:val="false"/>
                <w:sz w:val="20"/>
                <w:szCs w:val="20"/>
              </w:rPr>
              <w:t>Superannuation ersetzt die gesetzliche Rente nur teilweise: 12 % vom Arbeitgeber, aber wer als befristeter Visuminhaber wieder auswandert, zahlt beim Auszahlen bis zu 65 % Steuern auf das Ersparte.</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 Skilled-Visum schlägt allein an Behördengebühren mit rund 6.135 AUD pro Hauptantragsteller zu Buche, dazu kommen Tests, Gutachten und oft ein Migrationsberater.</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Auswanderer die Nähe zur Familie: Zwischen Deutschland und Australien gibt es keinen Direktflug und fast 20 Stunden Reisezeit.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was am Ende übrig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Zahl, die die meisten vergleichen, ist das Bruttogehalt – und die ist fast immer beeindruckend höher als in Deutschland. Die zweite Zahl, die eigentlich zählt, ist das, was nach Steuern und Abgaben übrig bleibt, und hier lohnt der Blick auf den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2024 in Australien bei 29,6 %, in Deutschland bei 49,3 % (2025) –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im australischen Finanzjahr 2026–27 (1. Juli 2026 bis 30. Juni 2027) ein Stufentarif: 0 % bis 18.200 AUD, 15 % von 18.201 bis 45.000 AUD, 30 % von 45.001 bis 135.000 AUD, 37 % von 135.001 bis 190.000 AUD und 45 % darüber.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hebt die faktische Steuerfreigrenze für die meisten auf rund 22.867 AUD. Dazu kommt 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von pauschal 2,0 % des zu versteuernden Einkommens, die den öffentlichen Gesundheitsdienst mitfinanziert.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Sätze gelten nur, sobald du steuerlich als „Resident“ giltst. Wer diesen Status noch nicht hat – etwa in den ersten Monaten nach der Einreise oder mit einem befristeten Visum ohne gefestigten Wohnsitz –, zahlt als „Foreign Resident“ ohne jeden Steuerfreibetrag: 30 % ab dem ersten Dollar bis 135.000 AUD, danach dieselben oberen Stufen. Wer zusätzlich ohne vorgelegte Steuernummer (</w:t>
            </w:r>
            <w:r>
              <w:rPr>
                <w:rFonts w:eastAsia="Cambria" w:cs="Cambria"/>
                <w:b w:val="false"/>
                <w:bCs w:val="false"/>
                <w:i/>
                <w:iCs/>
                <w:sz w:val="20"/>
                <w:szCs w:val="20"/>
              </w:rPr>
              <w:t>Tax File Number</w:t>
            </w:r>
            <w:r>
              <w:rPr>
                <w:rFonts w:eastAsia="Cambria" w:cs="Cambria"/>
                <w:b w:val="false"/>
                <w:bCs w:val="false"/>
                <w:i w:val="false"/>
                <w:iCs w:val="false"/>
                <w:sz w:val="20"/>
                <w:szCs w:val="20"/>
              </w:rPr>
              <w:t>, TFN) arbeitet, riskiert eine Vorsteuer von 47 % auf den gesamten Lohn – zu viel gezahlte Beträge kommen erst mit der nächsten Steuererklärung zurück.</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Besserverdiener sollten außerdem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 ein Zuschlag für Besserverdiener ohne private Krankenhausversicherung) im Blick behalten: Wer ohne private Absicherung mehr als 105.000 AUD (Singles) beziehungsweise 210.000 AUD (Familien) verdient, zahlt obendrauf 1,0 bis 1,5 % Aufschlag. Da die meisten befristeten Visa ohnehin eine private Zusatzversicherung verlangen (siehe unten), betrifft das vor allem Personen mit unbefristetem Aufenthaltstitel, die bewusst auf eine private Versicherung verzichten.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Steuernummer (TFN), sobald du in Australien angekommen bist – sie ist kostenlos, aber ohne sie behält jeder Arbeitgeber pauschal 47 % vom Lohn ein. Gerade in den ersten, schon teuren Wochen macht das einen spürbaren Unterschied für die Liquidität.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Sydney und Melbourne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liegt Sydney bei 75,1 Punkten (Miete 65,6), Melbourne bei 70,8 (Miete 56,9) – zum Vergleich München 76,1 (Miete 62,4) und Berlin 70,0 (Miete 54,9). Im Länderdurchschnitt liegt Australien insgesamt bei 71,4 (Miete 53,9), Deutschland bei 68,0 (Miete 47,0). Kurz gesagt: Wer aus München oder Hamburg kommt, erlebt in Sydney oder Melbourne keinen Kaufkraftschock – die Städte liegen in einer ähnlichen Liga, mit tendenziell etwas höheren Mieten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sagen nichts über die Verteilung innerhalb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Medicare, die Lücke und private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einem EU-Land kommt, hat automatisch Zugang zum australischen Gesundheitssystem, ähnlich wie innerhalb der EU über die Europäische Krankenversicherungskarte. Tatsächlich unterhält Australien </w:t>
      </w:r>
      <w:r>
        <w:rPr>
          <w:rFonts w:eastAsia="Cambria" w:cs="Cambria"/>
          <w:b w:val="false"/>
          <w:bCs w:val="false"/>
          <w:i/>
          <w:iCs/>
          <w:sz w:val="22"/>
          <w:szCs w:val="22"/>
        </w:rPr>
        <w:t>Reciprocal Health Care Agreements</w:t>
      </w:r>
      <w:r>
        <w:rPr>
          <w:rFonts w:eastAsia="Cambria" w:cs="Cambria"/>
          <w:b w:val="false"/>
          <w:bCs w:val="false"/>
          <w:i w:val="false"/>
          <w:iCs w:val="false"/>
          <w:sz w:val="22"/>
          <w:szCs w:val="22"/>
        </w:rPr>
        <w:t xml:space="preserve"> (Gegenseitigkeitsabkommen für Gesundheitsversorgung) mit nur elf Ländern – darunter Großbritannien, Irland, die Niederlande, Belgien und Italien. Deutschland gehört nicht dazu. Wer mit einem befristeten Visum einreist – Working Holiday, Studium, arbeitgebergesponsertes Arbeitsvisum –, hat deshalb keinen Zugang zu Medicare und muss sich privat absichern, bis ein Daueraufenthaltstitel vorliegt.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befristeten Visa ist eine private Zusatzversicherung ohnehin Pflicht: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für Arbeits- und andere befristete Visa kostet je nach Anbieter und Deckungsumfang etwa 80 bis 150 AUD im Monat für eine Einzelperson, </w:t>
      </w:r>
      <w:r>
        <w:rPr>
          <w:rFonts w:eastAsia="Cambria" w:cs="Cambria"/>
          <w:b w:val="false"/>
          <w:bCs w:val="false"/>
          <w:i/>
          <w:iCs/>
          <w:sz w:val="22"/>
          <w:szCs w:val="22"/>
        </w:rPr>
        <w:t>Overseas Student Health Cover</w:t>
      </w:r>
      <w:r>
        <w:rPr>
          <w:rFonts w:eastAsia="Cambria" w:cs="Cambria"/>
          <w:b w:val="false"/>
          <w:bCs w:val="false"/>
          <w:i w:val="false"/>
          <w:iCs w:val="false"/>
          <w:sz w:val="22"/>
          <w:szCs w:val="22"/>
        </w:rPr>
        <w:t xml:space="preserve"> (OSHC) für das Studienvisum etwa 500 bis 700 AUD im Jahr. Wer dagegen direkt mit einem permanenten Visum wie dem Skilled Independent (189) einreist, ist von Ankunft an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und damit sofort Medicare-berechtigt – ein Unterschied, der bei der Wahl des Einwanderungswegs mitentscheiden sollte (mehr dazu im </w:t>
      </w:r>
      <w:hyperlink w:anchor="tau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kennt keine umlagefinanzierte gesetzliche Rentenversicherung nach deutschem Vorbild. Stattdessen zahlt der Arbeitgeber verpflichtend in einen individuellen Altersvorsorgefonds ein, die </w:t>
      </w:r>
      <w:r>
        <w:rPr>
          <w:rFonts w:eastAsia="Cambria" w:cs="Cambria"/>
          <w:b w:val="false"/>
          <w:bCs w:val="false"/>
          <w:i/>
          <w:iCs/>
          <w:sz w:val="22"/>
          <w:szCs w:val="22"/>
        </w:rPr>
        <w:t>Superannuation</w:t>
      </w:r>
      <w:r>
        <w:rPr>
          <w:rFonts w:eastAsia="Cambria" w:cs="Cambria"/>
          <w:b w:val="false"/>
          <w:bCs w:val="false"/>
          <w:i w:val="false"/>
          <w:iCs w:val="false"/>
          <w:sz w:val="22"/>
          <w:szCs w:val="22"/>
        </w:rPr>
        <w:t>: seit dem 1. Juli 2025 sind das 12,0 % des regulären Arbeitsentgelts, die letzte gesetzlich vorgesehene Erhöhungsstufe. Ab dem 1. Juli 2026 gilt zusätzlich „Payday Super“: Der Arbeitgeber muss den Beitrag zeitgleich mit dem Gehalt überweisen statt, wie bisher üblich, gesammelt pro Quartal. Regulären Zugriff auf das Guthaben gibt es erst ab 60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Australien als befristeter Visuminhaber – etwa nach einem Working-Holiday-Aufenthalt – dauerhaft wieder verlässt, kann sich das angesparte Superannuation-Guthaben als </w:t>
            </w:r>
            <w:r>
              <w:rPr>
                <w:rFonts w:eastAsia="Cambria" w:cs="Cambria"/>
                <w:b w:val="false"/>
                <w:bCs w:val="false"/>
                <w:i/>
                <w:iCs/>
                <w:sz w:val="20"/>
                <w:szCs w:val="20"/>
              </w:rPr>
              <w:t>Departing Australia Superannuation Payment</w:t>
            </w:r>
            <w:r>
              <w:rPr>
                <w:rFonts w:eastAsia="Cambria" w:cs="Cambria"/>
                <w:b w:val="false"/>
                <w:bCs w:val="false"/>
                <w:i w:val="false"/>
                <w:iCs w:val="false"/>
                <w:sz w:val="20"/>
                <w:szCs w:val="20"/>
              </w:rPr>
              <w:t xml:space="preserve"> (DASP) auszahlen lassen. Der Steuerabzug darauf ist happig: 65 % für alle, deren Guthaben auch nur teilweise aus einer Working-Holiday-Beschäftigung stammt, 35 % für die meisten anderen befristeten Aufenthaltstitel. Von zwölf eingezahlten Prozent bleibt danach oft nur noch gut ein Drittel übrig – eine Zahl, die in kaum einem Auswanderer-Forum in der gebotenen Deutlichkeit steht.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 wer sich für Australien entscheidet, tauscht ein Stück kollektiver Absicherung gegen ein eigenes, aber auch stärker marktabhängiges Polster.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oft ein kostenpflichtiger Sprachtest und, je nach Beruf, eine Kompetenzbewertung durch eine anerkannte Fachstelle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etwa Engineers Australia oder den Australian Computer Society) – deren Gebühren und Fristen von Berufsverband zu Berufsverband stark schwanken. Für eine vierköpfige Familie kommen so leicht mehrere Zehntausend AUD zusammen, bevor überhaupt ein Flug gebucht ist. Details zu den einzelnen Wegen, ihren Fristen und Kosten stehen im </w:t>
      </w:r>
      <w:hyperlink w:anchor="tau02">
        <w:r>
          <w:rPr>
            <w:rStyle w:val="ListLabel113"/>
            <w:rFonts w:eastAsia="Cambria" w:cs="Cambria"/>
            <w:b w:val="false"/>
            <w:bCs w:val="false"/>
            <w:i w:val="false"/>
            <w:iCs w:val="false"/>
            <w:color w:val="0563C1"/>
            <w:sz w:val="22"/>
            <w:szCs w:val="22"/>
            <w:u w:val="single"/>
          </w:rPr>
          <w:t>nächsten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rechnete vor der Entscheidung zweimal nach. Thomas’ Punktestand von 85 lag komfortabel über dem gesetzlichen Minimum von 65 – realistisch für einen Bauingenieur mit einigen Jahren Berufserfahrung und solidem Englisch. An Antragsgebühren, Gesundheitschecks und Führungszeugnissen für die ganze Familie kamen dennoch über 10.000 AUD zusammen, bevor die erste Gehaltsabrechnung in Melbourne überhaupt existierte. Auf der Habenseite stand: Als Inhaber eines permanenten Visums waren Thomas, Sandra, Emil und Clara ab dem Tag der Einreise bei Medicare angemeldet – die monatelange Versicherungslücke, die viele befristete Visa-Inhaber überbrücken müssen, blieb ihnen erspart.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AUD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 sodass ein spontaner Sonntagsanruf bei den Eltern schnell zur Kalenderfrage wird. In Australien lebten 2021 rund 107.940 in Deutschland geborene Personen, eine überschaubare, über den Kontinent verteilte Community. Wer stark auf schnelle, spontane Familienbesuche angewiesen ist, sollte diesen Punkt genauso ernst nehmen wie die Steuertabelle.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 nicht trotz, sondern gerade wegen der Working-Holiday-Option, die einen risikoarmen ersten Schritt erlaubt, bevor die große Entscheidung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27, aus Hamburg, kam mit einem Working-Holiday-Visum (für deutsche Staatsangehörige Subclass 417) nach Sydney – ohne Punktetest, ohne Arbeitgeber, ohne Skills Assessment. Die Ernüchterung kam mit der ersten Gehaltsabrechnung: Als Inhaberin eines Working-Holiday-Visums zahlte sie von Anfang an 15 % Steuern auf jeden verdienten Dollar, ganz ohne Steuerfreibetrag – ein Detail, das in den einschlägigen Reiseblogs gern unterschlagen wird. Erst als sie über einen Arbeitgeber ein Skilled-Visum in Aussicht hatte, änderte sich die Rechnung spürbar: geringere Steuerlast, aber auch die Bindung an einen Sponsor.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grundsätzlich verschlossen, sodass nur noch der Arbeitgeberweg bleibt (mehr dazu im nächsten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in Deutschland (rund 29,6 % vs. 49,3 %)</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Vorabkosten von mehreren Tausend AUD schon vor dem ersten Gehalt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und Sydney bei Lebenshaltungskosten nahe an München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und Gesundheitskosten regional sehr unterschiedlich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sofort bei permanentem Visum, gute Grundversorgung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Gegenseitigkeitsabkommen: private Zusatzversicherung bis zur PR nötig</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wächst arbeitgeberfinanziert und portabel mit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vorzeitiger Ausreise bis zu 65 % Steuer auf das Ersparte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Planbares Punktesystem statt Losverfahren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kein punktebasierter Weg mehr möglich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Einbahnstraße: Working Holiday als risikoarmer erster Schritt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Stunden Reisezeit und keine Direktflüge nach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Steuerstaffel oben ein, ziehe Medicare Levy und, falls nötig, private Krankenversicherung ab, und vergleiche das Ergebnis mit deiner heutigen deutschen Gehaltsabrechnung – nicht mit dem Bruttogehalt. Kläre parallel, ob dein Beruf überhaupt für den Punktetest infrage kommt und wie viele Punkte realistisch erreichbar sind; das </w:t>
      </w:r>
      <w:hyperlink w:anchor="tau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Und plane die Vorlaufkosten – Antrag, Gesundheitscheck, Skills Assessment,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australische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Beruf für einen Punktetest-Weg (189/190/491) infrage kommt oder ob nur der Arbeitgeberweg bleibt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Antrag, Gesundheitsuntersuchung, Skills Assessment und Führungszeugnisse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wie lange eine private Zusatzversicherung bis zum Medicare-Zugang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die Superannuation im Fall einer späteren Rückkehr nach Deutschland zu bewerten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Visa-Gebühren und Bearbeitungszeiten (</w:t>
      </w:r>
      <w:hyperlink r:id="rId41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Einkommensteuersätze und Medicare Levy (</w:t>
      </w:r>
      <w:hyperlink r:id="rId418">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Services Australia — Medicare und Reciprocal Health Care Agreements (</w:t>
      </w:r>
      <w:hyperlink r:id="rId419">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Superannuation und Departing Australia Superannuation Payment (</w:t>
      </w:r>
      <w:hyperlink r:id="rId420">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421">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422">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6" w:name="__RefHeading___Toc56534_3457424410"/>
      <w:bookmarkStart w:id="107" w:name="tau02"/>
      <w:bookmarkEnd w:id="106"/>
      <w:r>
        <w:rPr>
          <w:rFonts w:eastAsia="Amazon Ember" w:cs="Amazon Ember" w:ascii="Amazon Ember" w:hAnsi="Amazon Ember"/>
          <w:b/>
          <w:bCs/>
          <w:color w:val="0000FF"/>
          <w:sz w:val="36"/>
          <w:szCs w:val="36"/>
        </w:rPr>
        <w:t>Australien: Wege der Einwanderung</w:t>
      </w:r>
      <w:bookmarkEnd w:id="1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Visa-Übersicht des australischen Department of Home Affairs aufruft, findet dort keine einzelne Eingangstür, sondern ein ganzes Haus mit Nebeneingängen: Subclass 189, 190, 491, 482, 186, 417, 500 – jede Nummer mit eigenen Voraussetzungen, eigenen Fristen, eigenem Preis. Thomas und Sandra Reinhardt aus Köln fanden ihren Weg über den Punktetest; Nina Voss aus Hamburg kam zunächst mit einem Jahr Arbeits- und Reiseerlaubnis ins Land, ganz ohne Punkte. Beide leben heute in Australien –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öffnet sich für Deutsche vor allem über zwei Prinzipien: das Punktesystem (unabhängig oder mit Nominierung) und das Arbeitgeber-Sponsoring. Familien-, Investoren- und Ruhestandswege spielen zahlenmäßig eine kleinere Rolle und stehen im </w:t>
            </w:r>
            <w:hyperlink w:anchor="tau03">
              <w:r>
                <w:rPr>
                  <w:rStyle w:val="ListLabel116"/>
                  <w:rFonts w:eastAsia="Cambria" w:cs="Cambria"/>
                  <w:b w:val="false"/>
                  <w:bCs w:val="false"/>
                  <w:i w:val="false"/>
                  <w:iCs w:val="false"/>
                  <w:color w:val="0563C1"/>
                  <w:sz w:val="20"/>
                  <w:szCs w:val="20"/>
                  <w:u w:val="single"/>
                </w:rPr>
                <w:t>nächsten Kapitel dieses Teils</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punktebasierte Visa greifen auf dieselbe Logik zurück: Subclass 189 (unabhängig, dauerhaft), 190 (mit Bundesstaat-Nominierung, dauerhaft) und 491 (mit Regional-Bindung, zunächst befristet).</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Arbeitgeber-Sponsoring (Subclass 482, mit Weiterweg über 186) braucht keinen einzigen Punkt – dafür einen Job und ein Unternehmen, das dich sponsert.</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(417) und Studienvisum (500) sind selbst keine Daueraufenthaltswege, aber für viele der Seiteneingang, über den sich die anderen Türen erst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Ab 45 Jahren ist der Punktetest komplett verschlossen; für diese Altersgruppe bleibt praktisch nur das Arbeitgeber-Sponsoring.</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Alter, Beruf, Englischniveau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der Beruf entscheidet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Einwanderungsprogramm für 2026–27 sieht 185.000 permanente Plätze vor. Der weitaus größte Teil, 132.240 Plätze, entfällt auf den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(den Fachkräfte-Strom), nur 52.460 auf den </w:t>
      </w:r>
      <w:r>
        <w:rPr>
          <w:rFonts w:eastAsia="Cambria" w:cs="Cambria"/>
          <w:b w:val="false"/>
          <w:bCs w:val="false"/>
          <w:i/>
          <w:iCs/>
          <w:sz w:val="22"/>
          <w:szCs w:val="22"/>
        </w:rPr>
        <w:t>Family Stream</w:t>
      </w:r>
      <w:r>
        <w:rPr>
          <w:rFonts w:eastAsia="Cambria" w:cs="Cambria"/>
          <w:b w:val="false"/>
          <w:bCs w:val="false"/>
          <w:i w:val="false"/>
          <w:iCs w:val="false"/>
          <w:sz w:val="22"/>
          <w:szCs w:val="22"/>
        </w:rPr>
        <w:t xml:space="preserve"> (den Familiennachzug) und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Innerhalb des Skill Stream führen zwei Prinzipien zum Ziel. Beim </w:t>
      </w:r>
      <w:r>
        <w:rPr>
          <w:rFonts w:eastAsia="Cambria" w:cs="Cambria"/>
          <w:b/>
          <w:bCs/>
          <w:i w:val="false"/>
          <w:iCs w:val="false"/>
          <w:sz w:val="22"/>
          <w:szCs w:val="22"/>
        </w:rPr>
        <w:t>Punktesystem</w:t>
      </w:r>
      <w:r>
        <w:rPr>
          <w:rFonts w:eastAsia="Cambria" w:cs="Cambria"/>
          <w:b w:val="false"/>
          <w:bCs w:val="false"/>
          <w:i w:val="false"/>
          <w:iCs w:val="false"/>
          <w:sz w:val="22"/>
          <w:szCs w:val="22"/>
        </w:rPr>
        <w:t xml:space="preserv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GSM, die allgemeine Facharbeitereinwanderung) bewirbst du dich selbst, ohne dass vorher ein Arbeitgeber zusagen muss – du brauchst nur einen Beruf auf der passenden Liste, eine bestandene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und genug Punkte. 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drei punktebasierten Wege: 189, 190, 491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drei laufen über dieselbe Plattform, </w:t>
      </w:r>
      <w:r>
        <w:rPr>
          <w:rFonts w:eastAsia="Cambria" w:cs="Cambria"/>
          <w:b w:val="false"/>
          <w:bCs w:val="false"/>
          <w:i/>
          <w:iCs/>
          <w:sz w:val="22"/>
          <w:szCs w:val="22"/>
        </w:rPr>
        <w:t>SkillSelect</w:t>
      </w:r>
      <w:r>
        <w:rPr>
          <w:rFonts w:eastAsia="Cambria" w:cs="Cambria"/>
          <w:b w:val="false"/>
          <w:bCs w:val="false"/>
          <w:i w:val="false"/>
          <w:iCs w:val="false"/>
          <w:sz w:val="22"/>
          <w:szCs w:val="22"/>
        </w:rPr>
        <w:t>, und dieselbe Punktetabelle – unterscheiden sich aber erheblich in Bindung und Freiheit:</w:t>
      </w:r>
    </w:p>
    <w:p>
      <w:pPr>
        <w:pStyle w:val="ListParagraph"/>
        <w:numPr>
          <w:ilvl w:val="0"/>
          <w:numId w:val="1"/>
        </w:numPr>
        <w:spacing w:lineRule="exact" w:line="288" w:before="0" w:after="60"/>
        <w:rPr/>
      </w:pPr>
      <w:r>
        <w:rPr>
          <w:rFonts w:eastAsia="Cambria" w:cs="Cambria"/>
          <w:b/>
          <w:bCs/>
          <w:i w:val="false"/>
          <w:iCs w:val="false"/>
          <w:sz w:val="22"/>
          <w:szCs w:val="22"/>
        </w:rPr>
        <w:t>Subclass 189 (Skilled Independent)</w:t>
      </w:r>
      <w:r>
        <w:rPr>
          <w:rFonts w:eastAsia="Cambria" w:cs="Cambria"/>
          <w:b w:val="false"/>
          <w:bCs w:val="false"/>
          <w:i w:val="false"/>
          <w:iCs w:val="false"/>
          <w:sz w:val="22"/>
          <w:szCs w:val="22"/>
        </w:rP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pPr>
        <w:pStyle w:val="ListParagraph"/>
        <w:numPr>
          <w:ilvl w:val="0"/>
          <w:numId w:val="1"/>
        </w:numPr>
        <w:spacing w:lineRule="exact" w:line="288" w:before="0" w:after="60"/>
        <w:rPr/>
      </w:pPr>
      <w:r>
        <w:rPr>
          <w:rFonts w:eastAsia="Cambria" w:cs="Cambria"/>
          <w:b/>
          <w:bCs/>
          <w:i w:val="false"/>
          <w:iCs w:val="false"/>
          <w:sz w:val="22"/>
          <w:szCs w:val="22"/>
        </w:rPr>
        <w:t>Subclass 190 (Skilled Nominated)</w:t>
      </w:r>
      <w:r>
        <w:rPr>
          <w:rFonts w:eastAsia="Cambria" w:cs="Cambria"/>
          <w:b w:val="false"/>
          <w:bCs w:val="false"/>
          <w:i w:val="false"/>
          <w:iCs w:val="false"/>
          <w:sz w:val="22"/>
          <w:szCs w:val="22"/>
        </w:rPr>
        <w:t xml:space="preserve"> entspricht 189, verlangt aber zusätzlich eine Nominierung durch einen Bundesstaat oder ein Territorium. Die bringt 5 Bonuspunkte und senkt oft den nötigen Cut-off – dafür verpflichtest du dich meist, mindestens zwei Jahre im nominierenden Bundesstaat zu leben.</w:t>
      </w:r>
    </w:p>
    <w:p>
      <w:pPr>
        <w:pStyle w:val="ListParagraph"/>
        <w:numPr>
          <w:ilvl w:val="0"/>
          <w:numId w:val="1"/>
        </w:numPr>
        <w:spacing w:lineRule="exact" w:line="288" w:before="0" w:after="60"/>
        <w:rPr/>
      </w:pPr>
      <w:r>
        <w:rPr>
          <w:rFonts w:eastAsia="Cambria" w:cs="Cambria"/>
          <w:b/>
          <w:bCs/>
          <w:i w:val="false"/>
          <w:iCs w:val="false"/>
          <w:sz w:val="22"/>
          <w:szCs w:val="22"/>
        </w:rPr>
        <w:t>Subclass 491 (Skilled Work Regional)</w:t>
      </w:r>
      <w:r>
        <w:rPr>
          <w:rFonts w:eastAsia="Cambria" w:cs="Cambria"/>
          <w:b w:val="false"/>
          <w:bCs w:val="false"/>
          <w:i w:val="false"/>
          <w:iCs w:val="false"/>
          <w:sz w:val="22"/>
          <w:szCs w:val="22"/>
        </w:rPr>
        <w:t xml:space="preserve">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außerhalb der großen Metropolregionen). Nach drei Jahren Aufenthalt und Arbeit dort öffnet sich der Weg zur Daueraufenthaltserlaubnis über Subclass 191. Die Nominierungsplätze sind allerdings knapp: 2025–26 standen bundesweit nur 7.500 zur Verfügung, merklich weniger als im Vorjahr.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sich die Punktzahl für jeden dieser drei Wege im Einzelnen berechnet und wie das Bewerbungsverfahren über SkillSelect abläuft, zeigt das </w:t>
      </w:r>
      <w:hyperlink w:anchor="tau03">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prüfte vor der Entscheidung alle drei punktebasierten Wege parallel. Thomas, Bauingenieur, erreichte mit seinem Punktestand komfortabel die Schwelle für Subclass 189 – den unabhängigen Weg ohne Wohnsitzauflage. Eine Nominierung durch Victoria (Subclass 190) hätte zwar zusätzliche Punkte gebracht, aber auch die Pflicht, zwei Jahre am zugewiesenen Ort zu bleiben; Subclass 491 schied aus, weil die Familie gezielt eine Großstadt wollte, keine Regional-Area. Am Ende war 189 nicht nur der punktemäßig erreichbare, sondern auch der Weg mit den wenigsten Auflagen – eine Kombination, die längst nicht jedem Bewerber offensteht.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Punktetest-Grundprinzip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bewertet nicht deinen Charakter, sondern vier zählbare Größen: Alter, Englischniveau, Bildungsabschluss und Berufserfahrung, dazu Zusatzpunkte etwa für eine Nominierung oder einen australischen Studienabschluss. Die gesetzliche Mindestpunktzahl liegt bei 65 – wer weniger erreicht, kann sich gar nicht erst bewerben. Praktisch reicht das Minimum aber selten: Bei gefragten Berufen wie Softwareentwicklung oder Buchhaltung lagen die Cut-offs in den SkillSelect-Runden 2026 meist zwischen 80 und 100 Punkten.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Faktoren wiegen besonders schwer. Das Alter bringt in der Spanne von 25 bis 32 Jahren die volle Punktzahl; ab 45 Jahren ist der Punktetest-Weg komplett verschlossen, unabhängig von Abschluss oder Erfahrung. Und das Englischniveau: Ein sehr gutes Testergebnis (</w:t>
      </w:r>
      <w:r>
        <w:rPr>
          <w:rFonts w:eastAsia="Cambria" w:cs="Cambria"/>
          <w:b w:val="false"/>
          <w:bCs w:val="false"/>
          <w:i/>
          <w:iCs/>
          <w:sz w:val="22"/>
          <w:szCs w:val="22"/>
        </w:rPr>
        <w:t>Superior</w:t>
      </w:r>
      <w:r>
        <w:rPr>
          <w:rFonts w:eastAsia="Cambria" w:cs="Cambria"/>
          <w:b w:val="false"/>
          <w:bCs w:val="false"/>
          <w:i w:val="false"/>
          <w:iCs w:val="false"/>
          <w:sz w:val="22"/>
          <w:szCs w:val="22"/>
        </w:rPr>
        <w:t>, vergleichbar IELTS 8 in jeder Kategorie) bringt doppelt so viele Punkte wie ein gutes (</w:t>
      </w:r>
      <w:r>
        <w:rPr>
          <w:rFonts w:eastAsia="Cambria" w:cs="Cambria"/>
          <w:b w:val="false"/>
          <w:bCs w:val="false"/>
          <w:i/>
          <w:iCs/>
          <w:sz w:val="22"/>
          <w:szCs w:val="22"/>
        </w:rPr>
        <w:t>Proficient</w:t>
      </w:r>
      <w:r>
        <w:rPr>
          <w:rFonts w:eastAsia="Cambria" w:cs="Cambria"/>
          <w:b w:val="false"/>
          <w:bCs w:val="false"/>
          <w:i w:val="false"/>
          <w:iCs w:val="false"/>
          <w:sz w:val="22"/>
          <w:szCs w:val="22"/>
        </w:rPr>
        <w:t>, IELTS 7) – oft mehr, als ein weiteres Berufsjahr einbringt. Wer seine Punktzahl grob überschlagen will, sollte deshalb zuerst hier ansetzen, nicht beim Studienabschluss.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Punktetest ist kein Ja-Nein-Filter, sondern eine laufende Rangliste. 65 Punkte öffnen die Tür zum Wartesaal, nicht zur Einladung. Die genaue Tabelle und eine realistische Selbsteinschätzung zeigt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kurz SID) ist das befristete Arbeitsvisum dafür, gültig bis zu vier Jahre, mit einer Mindestlohnschwelle: Im Hauptstrom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muss das Gehalt ab 1. Juli 2026 mindestens 79.423 AUD im Jahr erreichen oder den marktüblichen Lohn für die Position, je nachdem, welcher Wert höher ist. Die Antragsgebühr liegt bei 4.015 AUD für die Hauptperson; dazu kommt eine jährliche Abgabe des Arbeitgebers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eine Ausbildungsabgabe für australische Arbeitskräfte), die dieser nicht auf dich abwälzen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Dieser Übergang heißt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sowie einen dritten Strom für branchenspezifische Arbeitsmarktabkommen. Der große Vorteil des gesamten Arbeitgeberwegs: kein Punktetest, keine Altersgrenze wie beim Punktesystem. Der Preis dafür ist die Bindung –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und Skills Assessment: der eigentliche Flaschenhals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Weg in diesem Kapitel – ob Punktetest oder Arbeitgeber-Sponsoring – steht und fällt mit derselben Frage: Steht dein Beruf auf der richtigen Liste, und erkennt eine zuständige Fachstelle deine Qualifikation an? Seit dem 1. Juli 2025 gilt für Subclass 482 (Core-Skills-Strom) und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neue, 456 Berufe umfassende Liste). Für die punktebasierten Visa 189, 190 und 491 berufen sich mehrere Migrationskanzleien übereinstimmend auf die älteren Listen (MLTSSL und Varianten) – eine unabhängige Bestätigung direkt bei Home Affairs war zum Verfassungszeitpunkt dieses Kapitels nicht zu bekommen. Bürokratie liebt offenbar neue Abkürzungen, auch dort, wo niemand ganz genau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jede Listen-Feinheit ist die praktische Konsequenz: Die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durch die zuständige Berufsorganisation – etwa Engineers Australia für Ingenieurberufe, den Australian Computer Society für IT, VETASSESS für viele weitere Berufe oder ANMAC für Pflegeberufe – dauert oft Monate und ist damit für die meisten Bewerber der eigentliche Engpass, nicht das anschließende Visumverfahren. Wer sie erst beginnt, wenn Punktzahl oder Jobangebot schon feststehen, verliert wertvolle Zeit.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das Skills Assessment parallel zum Sprachtest, sobald du dich ernsthaft mit Australien befasst – unabhängig davon, für welchen der Wege in diesem Kapitel du dich am Ende entscheidest. Die Gebühr ist überschaubar gegenüber der Zeit, die eine verspätete Antragstellung kostet.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(die befristete Arbeits- und Reiseerlaubnis für junge Erwachsene) ist für sich genommen kein Weg zum Daueraufenthalt – aber für viele Deutsche der günstigste Einstieg, um das Land, den Arbeitsmarkt und den eigenen Berufswert überhaupt erst kennenzulernen. Für deutsche Staatsangehörige ist ausschließlich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w:t>
      </w:r>
      <w:r>
        <w:rPr>
          <w:rFonts w:eastAsia="Cambria" w:cs="Cambria"/>
          <w:b w:val="false"/>
          <w:bCs w:val="false"/>
          <w:i/>
          <w:iCs/>
          <w:sz w:val="22"/>
          <w:szCs w:val="22"/>
        </w:rPr>
        <w:t>specified work</w:t>
      </w:r>
      <w:r>
        <w:rPr>
          <w:rFonts w:eastAsia="Cambria" w:cs="Cambria"/>
          <w:b w:val="false"/>
          <w:bCs w:val="false"/>
          <w:i w:val="false"/>
          <w:iCs w:val="false"/>
          <w:sz w:val="22"/>
          <w:szCs w:val="22"/>
        </w:rPr>
        <w:t>, etwa in Landwirtschaft oder Bergbau in festgelegten Gebieten) – seit einer Ankündigung vom September 2026 berechtigt das allerdings nur noch zur Teilnahme an einem Losverfahren, garantiert das zweite Jahr also nicht mehr automatisch. Die Gebühr liegt bei 840 AUD für den Erstantrag, 1.000 AUD für jeden weiteren.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passiert: ein Netzwerk, ein Probejob, im besten Fall ein Arbeitgeber, der bereit ist, anschließend zu sponsern. Wer das Working-Holiday-Jahr nur als verlängerten Urlaub versteht, verschenkt genau diese Chance.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alleinstehend, reiste mit dem Working-Holiday-Visum nach Sydney, ohne Punktetest, ohne Skills Assessment, ohne festen Plan über das erste Jahr hinaus. Erst als eine Agentur ihr nach anderthalb Jahren ein Sponsoring über Subclass 482 anbot, änderte sich ihr Status grundlegend – vom befristeten Reisevisum zum planbaren Arbeitsweg mit Aussicht auf Subclass 186. Für eine Alleinstehende ohne Kind vor Ort blieb ohnehin nur der berufliche Weg; Familien- und Ruhestandswege, wie sie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 xml:space="preserve"> beschreibt, setzen ganz andere Voraussetzungen voraus.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der langsame, aber planbare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Studienvisum (Subclass 500) führt nicht direkt zum Daueraufenthalt, öffnet aber zwei Türen zugleich: einen anerkannten australischen Abschluss, der im Punktetest zusätzliche Punkte bringt, und oft den ersten Kontakt zu einem künftigen Arbeitgeber während eines Praktikums oder Werkstudentenjobs. Voraussetzung ist unter anderem der </w:t>
      </w:r>
      <w:r>
        <w:rPr>
          <w:rFonts w:eastAsia="Cambria" w:cs="Cambria"/>
          <w:b w:val="false"/>
          <w:bCs w:val="false"/>
          <w:i/>
          <w:iCs/>
          <w:sz w:val="22"/>
          <w:szCs w:val="22"/>
        </w:rPr>
        <w:t>Genuine-Student</w:t>
      </w:r>
      <w:r>
        <w:rPr>
          <w:rFonts w:eastAsia="Cambria" w:cs="Cambria"/>
          <w:b w:val="false"/>
          <w:bCs w:val="false"/>
          <w:i w:val="false"/>
          <w:iCs w:val="false"/>
          <w:sz w:val="22"/>
          <w:szCs w:val="22"/>
        </w:rPr>
        <w: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Abschluss steht für viele ein weiterer Zwischenschritt an: das Temporary Graduate Visa (Subclass 485), das befristetes Arbeiten in Australien erlaubt und Zeit verschafft,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immer dieselben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automatisch anerkannt, ähnlich wie innerhalb der EU. Tatsächlich verlangt fast jeder berufliche Weg eine eigene, oft kostenpflichtige Skills Assessment durch eine australische Fachstelle – ein deutsches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65 wird mit einer realistischen Erfolgschance verwechselt; in Wahrheit liegen die Cut-offs bei gefragten Berufen deutlich darüber.</w:t>
      </w:r>
    </w:p>
    <w:p>
      <w:pPr>
        <w:pStyle w:val="ListParagraph"/>
        <w:numPr>
          <w:ilvl w:val="0"/>
          <w:numId w:val="1"/>
        </w:numPr>
        <w:spacing w:lineRule="exact" w:line="288" w:before="0" w:after="60"/>
        <w:rPr/>
      </w:pPr>
      <w:r>
        <w:rPr>
          <w:rFonts w:eastAsia="Cambria" w:cs="Cambria"/>
          <w:b w:val="false"/>
          <w:bCs w:val="false"/>
          <w:i w:val="false"/>
          <w:iCs w:val="false"/>
          <w:sz w:val="22"/>
          <w:szCs w:val="22"/>
        </w:rPr>
        <w:t>Die Altersgrenze von 45 Jahren für den Punktetest wird erst spät im Prozess entdeckt, oft nachdem schon Zeit und Geld in eine Skills Assessment geflossen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und Studium werden als eigenständige Einwanderungswege missverstanden, obwohl sie das Gesetz nur als befristete, nicht dauerhafte Aufenthaltstitel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Online-Rechner nur die Behördenbearbeitung zeigen, nicht die Monate für Sprachtest, Skills Assessment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 eine Realität, die sich nicht wegdiskutieren lässt, aber immerhin klar benennen lässt.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2868"/>
        <w:gridCol w:w="3611"/>
      </w:tblGrid>
      <w:tr>
        <w:trPr>
          <w:tblHeader w:val="true"/>
          <w:cantSplit w:val="true"/>
        </w:trPr>
        <w:tc>
          <w:tcPr>
            <w:tcW w:w="28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6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bis 39 Jahre, Mangelberuf, guter Punktestand erwartbar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(unabhängig)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knapp unter dem Cut-off, Bereitschaft zu zwei Jahren Bindung</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(mit Bundesstaat)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Bereitschaft, außerhalb der Großstädte zu leben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 (regional, Vorstufe zu 191)</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eines australischen Arbeitgebers liegt vor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später ggf. 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oder punktebasiert nicht ausreichend</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noch Arbeitgeber-Sponsoring (482/186)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35 Jahre, noch unentschlossen, will erst reinschnuppern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(500) als Zwischenschritt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Kind mit Aufenthaltstitel in Australien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au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fast jeden Weg ist ein Beruf auf einer Liste Voraussetzung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Punktetest ist transparent und selbst überschlagbar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und Cut-offs ändern sich mehrfach im Jahr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bindet dich für Jahre an einen einzelnen Betrieb</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erlaubt einen risikoarmen ersten Schritt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eröffnet zusätzliche Punkte und Kontakte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ist die teuerste Variante ohne Jobgarantie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Stream bietet einen Weg unabhängig vom eigenen Beruf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Familienwege gelten oft jahrzehntelange Wartezeiten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Alter, Beruf, Englischniveau, vorhandenes oder fehlendes Jobangebot. Prüfe, ob dein Beruf überhaupt auf einer der einschlägigen Listen steht –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Beruf mit den aktuell gültigen Berufslisten abgeglichen (je nach Visum unterschiedlich)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Alter in die Punktetabelle eingeordnet und geprüft, ob der Punktetest-Weg überhaupt offensteht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Englischniveau realistisch eingeschätzt, ggf. Testtermin für IELTS oder einen gleichwertigen Test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australischen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unter 35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au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Home Affairs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Übersicht aller Visa-Optionen (</w:t>
      </w:r>
      <w:hyperlink r:id="rId423">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und Einladungsrunden (</w:t>
      </w:r>
      <w:hyperlink r:id="rId424">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Working Holiday Visa, Subclass 417 (</w:t>
      </w:r>
      <w:hyperlink r:id="rId425">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work-holiday-417)</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Student Visa, Subclass 500 (</w:t>
      </w:r>
      <w:hyperlink r:id="rId42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student-visa-500)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27">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Migration Program, Planungsniveau 2026–27 (</w:t>
      </w:r>
      <w:hyperlink r:id="rId42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Cut-off-Werte jeder SkillSelect-Runde, die Berufslisten, die Lohnschwellen für Subclass 482, die Working-Holiday-Regeln (Altersgrenze, Losverfahren für das zweite Jahr seit September 2026) und alle genannten Gebühren. Prüfe vor jeder Entscheidung die aktuellen Werte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8" w:name="__RefHeading___Toc56536_3457424410"/>
      <w:bookmarkStart w:id="109" w:name="tau03"/>
      <w:bookmarkEnd w:id="108"/>
      <w:r>
        <w:rPr>
          <w:rFonts w:eastAsia="Amazon Ember" w:cs="Amazon Ember" w:ascii="Amazon Ember" w:hAnsi="Amazon Ember"/>
          <w:b/>
          <w:bCs/>
          <w:color w:val="0000FF"/>
          <w:sz w:val="36"/>
          <w:szCs w:val="36"/>
        </w:rPr>
        <w:t>Australien: Der Arbeitsweg im Detail</w:t>
      </w:r>
      <w:bookmarkEnd w:id="1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Thomas Reinhardt sitzt am Küchentisch in Köln, vor sich die Punktetabelle des australischen Department of Home Affairs, und addiert: Alter, Englischtest, Studienabschluss, Berufsjahre. Am Ende steht eine Zahl über der gesetzlichen Mindestpunktzahl – und trotzdem fühlt sie sich nicht wie eine Zusage an. Wer sich durch das australische Einwanderungssystem rechnet, lernt schnell die erste Lektion: 65 Punkte sind die Eintrittskarte zum Wartesaal, nicht die Einladung selbst. Dieses Kapitel zeigt, wie der Punktetest wirklich funktioniert, wie das Verfahren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Bewerbungen sortiert, wann ein Arbeitgeber die Abkürzung ist – und was für deutsche Fachkräfte 2026 realistisch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Wege führen über den Beruf nach Australien: der unabhängige Punktetest (Subclass 189), der Punktetest mit Nominierung durch einen Bundesstaat (Subclass 190) und das Arbeitgeber-Sponsoring (Subclass 482, mit Weiterweg zur Daueraufenthaltserlaubnis über Subclass 186).</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gesetzliche Mindestpunktzahl liegt bei 65. Eingeladen werden bei gefragten Berufen praktisch aber meist erst Bewerber mit 80 bis 95 oder mehr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Alter, Englischniveau, Berufserfahrung und Bildungsabschluss bestimmen die Punktzahl. Ab 45 Jahren ist der Punktetest-Weg komplett verschlossen.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Verfahren läuft über die Plattform </w:t>
            </w:r>
            <w:r>
              <w:rPr>
                <w:rFonts w:eastAsia="Cambria" w:cs="Cambria"/>
                <w:b w:val="false"/>
                <w:bCs w:val="false"/>
                <w:i/>
                <w:iCs/>
                <w:sz w:val="20"/>
                <w:szCs w:val="20"/>
              </w:rPr>
              <w:t>SkillSelect</w:t>
            </w:r>
            <w:r>
              <w:rPr>
                <w:rFonts w:eastAsia="Cambria" w:cs="Cambria"/>
                <w:b w:val="false"/>
                <w:bCs w:val="false"/>
                <w:i w:val="false"/>
                <w:iCs w:val="false"/>
                <w:sz w:val="20"/>
                <w:szCs w:val="20"/>
              </w:rPr>
              <w:t>: erst eine Interessenbekundung einreichen, dann warten, dann – vielleicht – eingeladen werden. Erst danach folgt der eigentliche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Arbeitgeber bleibt Subclass 482 verschlossen; mit Arbeitgeber entfällt der Punktetest komplett, dafür bindet dich der Job für mehrere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 Berufsliste für welches Visum gilt, ist nicht in jeder Quelle eindeutig. Prüfe das vor jeder Kündigung in Deutschland direkt bei Home Affairs oder deiner Bewertungsstelle.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Wege, ein Ziel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australische Einwanderungsprogramm für 2026–27 sieht insgesamt 185.000 permanente Plätze vor, gut 132.000 davon im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(dem Fachkräfte-Strom) – also weit mehr als für den Familiennachzug. Innerhalb dieses Stroms führen für deutsche Fachkräfte im Kern zwei Prinzipien zum Ziel: das Punktesystem und das Arbeitgeber-Sponsoring.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General Skilled Migration</w:t>
      </w:r>
      <w:r>
        <w:rPr>
          <w:rFonts w:eastAsia="Cambria" w:cs="Cambria"/>
          <w:b w:val="false"/>
          <w:bCs w:val="false"/>
          <w:i w:val="false"/>
          <w:iCs w:val="false"/>
          <w:sz w:val="22"/>
          <w:szCs w:val="22"/>
        </w:rPr>
        <w:t xml:space="preserve">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Qualifikationsprüfung durch eine zuständige Berufsorganisation) und die Mindestpunktzahl.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Rolle des Sponsors, ähnlich wie ein Arbeitgeber in Deutschland eine Blaue Karte EU beantragt.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kurz SID) ist das befristete Arbeitsvisum, Subclass 186 der direkte oder daraus folgende Weg zur Daueraufenthaltserlaubnis. Ohne Job kein Antrag – dafür kein Punktetest.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Punktetest bewertet dich als Person; das Arbeitgeber-Sponsoring bewertet die Stelle. Beide Wege prüfen am Ende denselben Kern: Steht dein Beruf auf einer Liste, und ist deine Qualifikation dafür anerkannt?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Punktetest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gilt für die Subclasses 189, 190 und 491 gleichermaßen. Die gesetzliche Mindestpunktzahl ist 65 – wer weniger erreicht, kann keine Interessenbekundung abgeben. Die wichtigsten Kategorien:</w:t>
      </w:r>
    </w:p>
    <w:tbl>
      <w:tblPr>
        <w:tblW w:w="6480" w:type="dxa"/>
        <w:jc w:val="left"/>
        <w:tblInd w:w="0" w:type="dxa"/>
        <w:tblLayout w:type="fixed"/>
        <w:tblCellMar>
          <w:top w:w="50" w:type="dxa"/>
          <w:left w:w="80" w:type="dxa"/>
          <w:bottom w:w="50" w:type="dxa"/>
          <w:right w:w="80" w:type="dxa"/>
        </w:tblCellMar>
      </w:tblPr>
      <w:tblGrid>
        <w:gridCol w:w="2160"/>
        <w:gridCol w:w="2926"/>
        <w:gridCol w:w="1394"/>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Ausprägung</w:t>
            </w:r>
          </w:p>
        </w:tc>
        <w:tc>
          <w:tcPr>
            <w:tcW w:w="1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Punkte</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25–32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18–24 oder 33–39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40–44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(nicht mehr zulässig)</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Superior“ (IELTS ≥ 8 je Band oder gleichwertig)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Proficient“ (IELTS ≥ 7 je Band)</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Competent“ (IELTS ≥ 6 je Band, Mindestvoraussetzung)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In- und Ausland zusammengerechnet, gedeckelt</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Bachelor oder Master (gleichrangig)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Hinzu kommen Zusatzpunkte, etwa für eine Nominierung durch einen Bundesstaat (bei Subclass 190: 5 Punkte), einen australischen Studienabschluss oder eine qualifizierte Partnerin oder einen qualifizierten Partner – die genaue Höhe hängt vom Einzelfall ab und ändert sich gelegentlich, prüfe sie vor der eigenen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Ab 45 Jahren ist der Punktetest-Weg endgültig verschlossen, unabhängig von Abschluss oder Erfahrung. Wer diese Altersgrenze schon im Blick hat, sollte frühzeitig auf das Arbeitgeber-Sponsoring ausweichen, das keine feste Altersobergrenze im gleichen Sinn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 oft mehr, als ein weiteres Berufsjahr einbringt.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teuren Migrationsberater beauftragst, lohnt sich ein zweiter Anlauf beim Englischtest (IELTS, PTE oder gleichwertig). Die Gebühr liegt bei einigen Hundert Dollar, der Punktegewinn kann über Einladung oder Nicht-Einladung entscheiden.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SkillSelect: von der Interessenbekundung zur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gesamte GSM-Verfahren läuft über eine Online-Plattform namens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Der erste Schritt ist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die Interessenbekundung): ein Online-Profil mit Beruf, Punkten, Sprachtest und Skills-Assessment-Ergebnis. Eine EOI ist noch kein Antrag – sie kostet nichts, bindet dich zu nichts und garantiert nichts. Sie reiht dich nur in einen Pool ein, aus dem Home Affairs in regelmäßigen Runden Kandidaten einlädt, beginnend bei den höchsten Punktzahlen und, innerhalb gleicher Punktzahl, nach Eintragungsdatum.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zum Beispiel gezielt nach Melbourne will, bewirbt sich parallel oder alternativ um eine Nominierung durch Victoria – mit der Auflage, anschließend mindestens zwei Jahre dort zu leben.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(Stand September 2026) bei etwa sieben Monaten, 90 % bei acht Monaten. Bei Subclass 190 ist die Spanne größer: fünf Monate für die Hälfte, bis zu 17 Monate für 90 % der Fälle.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189 – unabhängig, aber nicht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Subclass 189 (</w:t>
      </w:r>
      <w:r>
        <w:rPr>
          <w:rFonts w:eastAsia="Cambria" w:cs="Cambria"/>
          <w:b w:val="false"/>
          <w:bCs w:val="false"/>
          <w:i/>
          <w:iCs/>
          <w:sz w:val="22"/>
          <w:szCs w:val="22"/>
        </w:rPr>
        <w:t>Skilled Independent</w:t>
      </w:r>
      <w:r>
        <w:rPr>
          <w:rFonts w:eastAsia="Cambria" w:cs="Cambria"/>
          <w:b w:val="false"/>
          <w:bCs w:val="false"/>
          <w:i w:val="false"/>
          <w:iCs w:val="false"/>
          <w:sz w:val="22"/>
          <w:szCs w:val="22"/>
        </w:rPr>
        <w:t>) ist der Weg ganz ohne Sponsor: kein Arbeitgeber, kein Bundesstaat, freie Wohnortwahl in ganz Australien. Genau deshalb ist er der begehrteste und zugleich der am härtesten umkämpfte GSM-Weg. Die Antragsgebühr liegt bei rund 6.135 AUD für die Hauptantragstellerin oder den Hauptantragsteller (Stand nach der Gebührenrunde vom 1. Juli 2026), zuzüglich anteiliger Gebühren für mitreisende Partner und Kinder sowie der Kosten für Skills Assessment, Sprachtest, Gesundheitsuntersuchung und Führungszeugnisse.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Thomas, 41, Bauingenieur aus Köln, rechnet seine Punkte durch: Alter 40 bis 44 bringt 15 Punkte, sein Ingenieurstudium 15, seine Berufserfahrung erreicht die Obergrenze von 20. Bei „Proficient“-Englisch käme er auf 60 Punkte – zu wenig für eine Einladung. Also setzt er sich noch einmal an den Sprachtest, diesmal mit gezielter Vorbereitung, und erreicht „Superior“: 20 statt 10 Punkte, macht in Summe 70. Zwei SkillSelect-Runden später steht die Einladung im Konto. Dass ein einziger Punkt aus einem Sprachtest über Jahre der Planung entscheidet, findet Thomas im Rückblick nicht ganz unlogisch – aber auch nicht gerade beruhigend. Sandra, 39, Krankenpflegerin, und die Kinder Emil, 10, und Clara, 6, reisen als Mitantragstellende mit. Ziel: Melbourne, Victoria – eine Stadt, die sich Thomas frei aussuchen darf, weil Subclass 189 keine Wohnsitzauflage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190 – mit Bundesstaat und Wohnsitzpflicht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Cut-off-Werte für Subclass 189 nicht erreicht, findet bei Subclass 190 oft einen niedrigeren Zugang. Die Bedingungen entsprechen weitgehend Subclass 189, plus die Nominierung durch einen Bundesstaat oder ein Territorium, die zusätzlich 5 Punkte bringt. Die Antragsgebühr liegt in derselben Größenordnung wie bei 189 (rund 6.135 bis 6.140 AUD), dazu kommen je nach Bundesstaat eigene Nominierungsgebühren.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ist die Wohnsitzpflicht: In aller Regel verpflichtest du dich, mindestens zwei Jahre im nominierenden Bundesstaat zu leben. Wer diese Bindung eingeht, um überhaupt eine realistische Chance auf Einladung zu haben, sollte den Zielort vorher genau prüfen – ein Umzug nach der Landung ist zwar möglich, widerspricht aber der eingegangenen Verpflichtung und kann Folgen für spätere Anträge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190 ist kein Ersatzweg zweiter Klasse, sondern für viele deutsche Fachkräfte der realistischere. Fünf Zusatzpunkte plus ein niedrigerer landesweiter Cut-off wiegen die zwei Jahre Wohnsitzpflicht für die meisten Bewerber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Arbeitgeber als Abkürzung: Subclass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zur Sponsorin oder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SID) löste im Dezember 2024 das ältere </w:t>
      </w:r>
      <w:r>
        <w:rPr>
          <w:rFonts w:eastAsia="Cambria" w:cs="Cambria"/>
          <w:b w:val="false"/>
          <w:bCs w:val="false"/>
          <w:i/>
          <w:iCs/>
          <w:sz w:val="22"/>
          <w:szCs w:val="22"/>
        </w:rPr>
        <w:t>Temporary Skill Shortage</w:t>
      </w:r>
      <w:r>
        <w:rPr>
          <w:rFonts w:eastAsia="Cambria" w:cs="Cambria"/>
          <w:b w:val="false"/>
          <w:bCs w:val="false"/>
          <w:i w:val="false"/>
          <w:iCs w:val="false"/>
          <w:sz w:val="22"/>
          <w:szCs w:val="22"/>
        </w:rPr>
        <w:t xml:space="preserve">-Visum ab und läuft in drei Strömen: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w:t>
      </w:r>
      <w:r>
        <w:rPr>
          <w:rFonts w:eastAsia="Cambria" w:cs="Cambria"/>
          <w:b w:val="false"/>
          <w:bCs w:val="false"/>
          <w:i/>
          <w:iCs/>
          <w:sz w:val="22"/>
          <w:szCs w:val="22"/>
        </w:rPr>
        <w:t>Specialist Skills</w:t>
      </w:r>
      <w:r>
        <w:rPr>
          <w:rFonts w:eastAsia="Cambria" w:cs="Cambria"/>
          <w:b w:val="false"/>
          <w:bCs w:val="false"/>
          <w:i w:val="false"/>
          <w:iCs w:val="false"/>
          <w:sz w:val="22"/>
          <w:szCs w:val="22"/>
        </w:rPr>
        <w:t xml:space="preserve"> und </w:t>
      </w:r>
      <w:r>
        <w:rPr>
          <w:rFonts w:eastAsia="Cambria" w:cs="Cambria"/>
          <w:b w:val="false"/>
          <w:bCs w:val="false"/>
          <w:i/>
          <w:iCs/>
          <w:sz w:val="22"/>
          <w:szCs w:val="22"/>
        </w:rPr>
        <w:t>Labour Agreement</w:t>
      </w:r>
      <w:r>
        <w:rPr>
          <w:rFonts w:eastAsia="Cambria" w:cs="Cambria"/>
          <w:b w:val="false"/>
          <w:bCs w:val="false"/>
          <w:i w:val="false"/>
          <w:iCs w:val="false"/>
          <w:sz w:val="22"/>
          <w:szCs w:val="22"/>
        </w:rPr>
        <w:t xml:space="preserve"> (branchenspezifische Sonderabkommen). Die Gültigkeit reicht bis zu vier Jahre.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Entscheidend ist die Lohnschwelle. Im Core-Skills-Strom muss das Gehalt mindestens die </w:t>
      </w:r>
      <w:r>
        <w:rPr>
          <w:rFonts w:eastAsia="Cambria" w:cs="Cambria"/>
          <w:b w:val="false"/>
          <w:bCs w:val="false"/>
          <w:i/>
          <w:iCs/>
          <w:sz w:val="22"/>
          <w:szCs w:val="22"/>
        </w:rPr>
        <w:t>Core Skills Income Threshold</w:t>
      </w:r>
      <w:r>
        <w:rPr>
          <w:rFonts w:eastAsia="Cambria" w:cs="Cambria"/>
          <w:b w:val="false"/>
          <w:bCs w:val="false"/>
          <w:i w:val="false"/>
          <w:iCs w:val="false"/>
          <w:sz w:val="22"/>
          <w:szCs w:val="22"/>
        </w:rPr>
        <w:t xml:space="preserve"> (CSIT) erreichen – ab 1. Juli 2026 sind das 79.423 AUD im Jahr – oder den marktüblichen Lohn für die Position (</w:t>
      </w:r>
      <w:r>
        <w:rPr>
          <w:rFonts w:eastAsia="Cambria" w:cs="Cambria"/>
          <w:b w:val="false"/>
          <w:bCs w:val="false"/>
          <w:i/>
          <w:iCs/>
          <w:sz w:val="22"/>
          <w:szCs w:val="22"/>
        </w:rPr>
        <w:t>Annual Market Salary Rate</w:t>
      </w:r>
      <w:r>
        <w:rPr>
          <w:rFonts w:eastAsia="Cambria" w:cs="Cambria"/>
          <w:b w:val="false"/>
          <w:bCs w:val="false"/>
          <w:i w:val="false"/>
          <w:iCs w:val="false"/>
          <w:sz w:val="22"/>
          <w:szCs w:val="22"/>
        </w:rPr>
        <w:t>, AMSR), je nachdem, welcher Wert höher ist. Im Specialist-Skills-Strom liegt die Schwelle deutlich höher, ab rund 141.210 AUD, steigend auf 146.576 AUD für Nominierungen ab 1. Juli 2026. Die Antragsgebühr beträgt 4.015 AUD für die Hauptperson, ebenso viel für jede weitere erwachsene Person und 1.005 AUD je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zahlt der Arbeitgeber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(SAF-Levy), eine Abgabe für die Ausbildung australischer Arbeitskräfte: 1.200 AUD je Antragsjahr bei einem Jahresumsatz unter 10 Millionen AUD, 1.800 AUD bei größeren Unternehmen. Bei einem Vierjahresvisum kommen so schnell 4.800 bis 7.200 AUD zusammen – die der Arbeitgeber trägt, nicht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im Übergangs-Strom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Für 186 zahlt der Arbeitgeber die SAF-Levy als Einmalbetrag: 3.000 AUD bei kleinen, 5.000 AUD bei größeren Unternehmen.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SAF-Levy darf der Arbeitgeber nicht auf dich abwälzen – ähnlich wie bestimmte Antragskosten beim amerikanischen H-1B-Visum nicht auf die angestellte Person umgelegt werden dürfen. Steht eine solche Klausel im Angebotsschreiben, ist das ein Warnsignal, keine Verhandlungsbasis.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reist zunächst mit einem </w:t>
            </w:r>
            <w:r>
              <w:rPr>
                <w:rFonts w:eastAsia="Cambria" w:cs="Cambria"/>
                <w:b w:val="false"/>
                <w:bCs w:val="false"/>
                <w:i/>
                <w:iCs/>
                <w:sz w:val="20"/>
                <w:szCs w:val="20"/>
              </w:rPr>
              <w:t>Working-Holiday-Visum</w:t>
            </w:r>
            <w:r>
              <w:rPr>
                <w:rFonts w:eastAsia="Cambria" w:cs="Cambria"/>
                <w:b w:val="false"/>
                <w:bCs w:val="false"/>
                <w:i w:val="false"/>
                <w:iCs w:val="false"/>
                <w:sz w:val="20"/>
                <w:szCs w:val="20"/>
              </w:rPr>
              <w:t xml:space="preserve"> (der befristeten Arbeits- und Reiseerlaubnis für junge Erwachsene) nach Sydney. Für deutsche Staatsangehörige ist dabei die Subclass 417 einschlägig, nicht die vielzitierte 462, die für andere Nationalitäten mit eigenen Auflagen gilt – ein Irrtum, der sich in Foren hartnäckig hält. Nach anderthalb Jahren in Marketingjobs findet Nina eine Agentur, die bereit ist, sie über Subclass 482 zu sponsern. Bevor sie kündigt, lässt sie prüfen, ob ihr konkreter Beruf – „Marketing Specialist“ – tatsächlich auf der aktuell gültigen Berufsliste steht; die Antwort kommt erst nach mehreren Wochen und einigem Hin und Her mit der Personalabteilung. Ihr Jahresgehalt liegt knapp über der CSIT-Schwelle, die Agentur trägt die SAF-Levy. Nach zwei Jahren im selben Betrieb kann Nina den Übergang zu Subclass 186 beantragen.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CSOL, MLTSSL und der Listen-Wirrwarr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Seit dem 1. Juli 2025 gilt für Subclass 482 (Core-Skills-Strom) und für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von der Behörde Jobs and Skills Australia erarbeitete Liste mit 456 Berufen. Sie ersetzt die älteren Listen MLTSSL, STSOL und ROL – zumindest für diese beiden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 offenbar auch dann, wenn niemand ganz sicher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Fachkräfte praktisch relevant sind vor allem folgende Berufsfelder, glaubt man den übereinstimmenden Sekundärquellen: Ingenieurwesen (Bau, Maschinenbau, Elektrotechnik), IT (Softwareentwicklung, Cybersicherheit), Gesundheitsberufe (Pflege, Ärztinnen und Ärzte mit Registrierung bei der zuständigen Fachbehörde AHPRA), Handwerksberufe (Elektriker, Klempner, Kfz-Mechatronik, meist mit Anerkennungsverfahren) und Lehrkräfte (mit zusätzlicher Registrierung im jeweiligen Bundesstaat). Welche Bewertungsstelle zuständig ist, hängt vom Beruf ab: Engineers Australia für Ingenieurberufe, ACS für IT, VETASSESS für viele weitere Berufe, ANMAC für Pflege, TRA für Handwerk.</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 Stand dieses Kapitels – nicht in jeder Quelle deckungsgleich beschrieben.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w:t>
            </w:r>
            <w:r>
              <w:rPr>
                <w:rFonts w:eastAsia="Cambria" w:cs="Cambria"/>
                <w:b w:val="false"/>
                <w:bCs w:val="false"/>
                <w:i/>
                <w:iCs/>
                <w:sz w:val="20"/>
                <w:szCs w:val="20"/>
              </w:rPr>
              <w:t>Registered Migration Agent</w:t>
            </w:r>
            <w:r>
              <w:rPr>
                <w:rFonts w:eastAsia="Cambria" w:cs="Cambria"/>
                <w:b w:val="false"/>
                <w:bCs w:val="false"/>
                <w:i w:val="false"/>
                <w:iCs w:val="false"/>
                <w:sz w:val="20"/>
                <w:szCs w:val="20"/>
              </w:rPr>
              <w:t>)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zwischen 25 und 39 Jahre alt ist, einen anerkannten Hochschulabschluss hat, in einem gefragten Beruf arbeitet und Englisch auf hohem Niveau spricht, hat mit dem Punktetest realistische Chancen –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 und das Arbeitgeber-Sponsoring als gleichwertige, nicht als zweitrangige Option behandeln.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Wege (189, 190, 482/186) erhöhen die Chancen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ist der Punktetest komplett verschlossen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erlaubt freie Wohnortwahl ohne Sponsor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bei gefragten Berufen liegen oft bei 80 bis 95 Punkten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ganz</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482 bindet dich mehrere Jahre an einen Arbeitgeber</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 trägt allein der Arbeitgeber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(CSOL/MLTSSL) sind nicht immer eindeutig zugeordnet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senkt den nötigen Cut-off deutlich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 verpflichtet meist zu zwei Jahren im nominierenden Bundesstaat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 482 zu 186 führt direkt zur Daueraufenthaltserlaubnis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kann Monate dauern und ist oft der Flaschenhals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Punktzahl nach der aktuellen Tabelle durchrechnen (Alter, Englisch, Bildung, Berufserfahrung).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eigene Beruf auf der für das jeweilige Visum gültigen Liste steht (CSOL oder ältere Listen je nach Subclass).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Bewertungsstelle für die Skills Assessment ermitteln und Verfahren früh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Englischtest (IELTS, PTE oder gleichwertig) planen; bei knapper Punktzahl einen zweiten Anlauf für „Superior“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Entscheiden, ob 189 (unabhängig), 190 (mit Bundesstaat) oder Arbeitgeber-Sponsoring realistischer ist – auch mehrgleisig möglich.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190: Berufslisten und Fristen des gewünschten Bundesstaats prüfen, Wohnsitzpflicht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Arbeitgeber-Sponsoring: Gehaltsschwelle (CSIT/AMSR) mit dem Jobangebot vergleichen, SAF-Levy-Regelung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Finanzpuffer für eine Wartezeit von einem Jahr oder mehr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Führungszeugnisse für alle Länder mit mehr als 12 Monaten Aufenthalt seit dem 16. Geburtstag rechtzeitig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Kündigung in Deutschland aktuelle Gebühren, Fristen und Berufslisten direkt bei Home Affairs gegenprüfen.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Independent visa, Subclass 189 (</w:t>
      </w:r>
      <w:hyperlink r:id="rId42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skilled-independent-189)</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Nominated visa, Subclass 190 (</w:t>
      </w:r>
      <w:hyperlink r:id="rId430">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skilled-nominated-190)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 in Demand visa, Subclass 482 (</w:t>
      </w:r>
      <w:hyperlink r:id="rId431">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skills-in-demand-visa-subclass-482)</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Employer Nomination Scheme, Subclass 186 (</w:t>
      </w:r>
      <w:hyperlink r:id="rId432">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employer-nomination-scheme-186)</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Einladungsrunden (</w:t>
      </w:r>
      <w:hyperlink r:id="rId433">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34">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Employment and Workplace Relations — Skilling Australians Fund Levy (</w:t>
      </w:r>
      <w:hyperlink r:id="rId435">
        <w:r>
          <w:rPr>
            <w:rStyle w:val="ListLabel113"/>
            <w:rFonts w:eastAsia="Cambria" w:cs="Cambria"/>
            <w:b w:val="false"/>
            <w:bCs w:val="false"/>
            <w:i w:val="false"/>
            <w:iCs w:val="false"/>
            <w:color w:val="0563C1"/>
            <w:sz w:val="22"/>
            <w:szCs w:val="22"/>
            <w:u w:val="single"/>
          </w:rPr>
          <w:t>dewr.gov.au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30"/>
              </w:numPr>
              <w:spacing w:lineRule="exact" w:line="264" w:before="0" w:after="50"/>
              <w:rPr/>
            </w:pPr>
            <w:r>
              <w:rPr>
                <w:rFonts w:eastAsia="Cambria" w:cs="Cambria"/>
                <w:b w:val="false"/>
                <w:bCs w:val="false"/>
                <w:i w:val="false"/>
                <w:iCs w:val="false"/>
                <w:sz w:val="20"/>
                <w:szCs w:val="20"/>
              </w:rPr>
              <w:t>September 2026. Diese Angaben ändern sich schnell: die Cut-off-Werte jeder SkillSelect-Runde, die Zuordnung der Berufslisten (CSOL gegenüber den älteren Listen für den Punktetest), die Lohnschwellen für Subclass 482 (CSIT/AMSR), die Nominierungsplätze und Berufslisten der Bundesstaaten sowie alle genannten Gebühren. Prüfe vor jeder Entscheidung die aktuellen Angaben direkt bei Home Affairs.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0" w:name="__RefHeading___Toc56538_3457424410"/>
      <w:bookmarkStart w:id="111" w:name="tau04"/>
      <w:bookmarkEnd w:id="110"/>
      <w:r>
        <w:rPr>
          <w:rFonts w:eastAsia="Amazon Ember" w:cs="Amazon Ember" w:ascii="Amazon Ember" w:hAnsi="Amazon Ember"/>
          <w:b/>
          <w:bCs/>
          <w:color w:val="0000FF"/>
          <w:sz w:val="36"/>
          <w:szCs w:val="36"/>
        </w:rPr>
        <w:t>Australien: Familie, Investor, Ruhestand</w:t>
      </w:r>
      <w:bookmarkEnd w:id="1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Köln sitzen Thomas Reinhardts Eltern vor demselben Computer, an dem ihr Sohn zwei Jahre zuvor seine Punktzahl für den Punktetest ausgerechnet hat – nur dass für sie kein Punktetest zählt, sondern eine ganz andere Zahl: 33 Jahre. So lange schätzt das australische Department of Home Affairs derzeit die Wartezeit für die günstigste Variante eines Eltern-Visums. Wer glaubt, mit einem in Australien lebenden, gut verdienenden Kind sei der Ruhestand unter Eukalyptusbäumen nur noch eine Frage der Unterschrift, hat sich in einem Land geirrt, das seine Einwanderung fast ausschließlich über Arbeitskraft steuert – und Familiennachzug, Investorenwege und Ruhestand ganz bewusst zu den kleinsten, restriktivsten Kapiteln seines Regelwerks macht.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Partnervisa (Subclass 820/801, bei Antragstellung außerhalb Australiens 309/100) sind der planbarste familienbasierte Weg, aber mit Wartezeiten von häufig zwei Jahren oder mehr bis zur Daueraufenthaltserlaubnis.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Klassische Investorenwege sind praktisch verschwunden: Das frühere Investorenvisum (Subclass 188) ist seit 31. Juli 2024 für Neuanträge geschlossen, ein echter Ersatz existiert 2026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Ein „einfaches“ Ruhestandsvisum wie früher (Subclass 405/410) gibt es für Neuanträge nicht mehr – nur Bestandsschutz für bereits vorhandene Inhaber.</w:t>
            </w:r>
          </w:p>
          <w:p>
            <w:pPr>
              <w:pStyle w:val="ListParagraph"/>
              <w:numPr>
                <w:ilvl w:val="0"/>
                <w:numId w:val="1"/>
              </w:numPr>
              <w:spacing w:lineRule="exact" w:line="264" w:before="0" w:after="50"/>
              <w:rPr/>
            </w:pPr>
            <w:r>
              <w:rPr>
                <w:rFonts w:eastAsia="Cambria" w:cs="Cambria"/>
                <w:b w:val="false"/>
                <w:bCs w:val="false"/>
                <w:i w:val="false"/>
                <w:iCs w:val="false"/>
                <w:sz w:val="20"/>
                <w:szCs w:val="20"/>
              </w:rPr>
              <w:t>Der verbleibende Weg für Ruheständler ohne Job ist das Eltern-Visum (Parent Visa) – zwingend mit einem erwachsenen Kind mit australischer Staatsbürgerschaft oder Daueraufenthaltstitel vor Ort und einem rein geografischen Balance-of-Family-Test.</w:t>
            </w:r>
          </w:p>
          <w:p>
            <w:pPr>
              <w:pStyle w:val="ListParagraph"/>
              <w:numPr>
                <w:ilvl w:val="0"/>
                <w:numId w:val="1"/>
              </w:numPr>
              <w:spacing w:lineRule="exact" w:line="264" w:before="0" w:after="50"/>
              <w:rPr/>
            </w:pPr>
            <w:r>
              <w:rPr>
                <w:rFonts w:eastAsia="Cambria" w:cs="Cambria"/>
                <w:b w:val="false"/>
                <w:bCs w:val="false"/>
                <w:i w:val="false"/>
                <w:iCs w:val="false"/>
                <w:sz w:val="20"/>
                <w:szCs w:val="20"/>
              </w:rPr>
              <w:t>Zwei Schienen stehen zur Wahl: günstig, aber mit rund 33 Jahren Wartezeit (Non-Contributory), oder teuer, mit rund 48.000 AUD Visagebühr pro Person plus separater, rückzahlbarer Kaution, dafür „nur“ 12 bis 15 Jahre Wartezeit (Contributory).</w:t>
            </w:r>
          </w:p>
          <w:p>
            <w:pPr>
              <w:pStyle w:val="ListParagraph"/>
              <w:numPr>
                <w:ilvl w:val="0"/>
                <w:numId w:val="1"/>
              </w:numPr>
              <w:spacing w:lineRule="exact" w:line="264" w:before="0" w:after="50"/>
              <w:rPr/>
            </w:pPr>
            <w:r>
              <w:rPr>
                <w:rFonts w:eastAsia="Cambria" w:cs="Cambria"/>
                <w:b w:val="false"/>
                <w:bCs w:val="false"/>
                <w:i w:val="false"/>
                <w:iCs w:val="false"/>
                <w:sz w:val="20"/>
                <w:szCs w:val="20"/>
              </w:rPr>
              <w:t>Eine befristete Zwischenlösung (Subclass 870) erlaubt bis zu zehn Jahre Aufenthalt ohne Daueraufenthaltsperspektive, ohne Medicare-Zugang und ohne Arbeitserlaubnis.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ganz unterschiedliche Türen führen in diesem Kapitel zum selben Ziel, einer Daueraufenthaltserlaubnis ohne eigenen Job in Australien – und sie sind unterschiedlich schwer zu öffnen. Die Partnerschaft mit einer in Australien lebenden Person ist rechtlich am klarsten geregelt, auch wenn die Wartezeit spürbar ist. Der Investorenweg existiert in seiner klassischen Form schlicht nicht mehr. Und der Ruhestandsweg über ein erwachsenes Kind vor Ort ist zwar grundsätzlich offen, aber mit einer Kombination aus Wartezeit und Kosten versehen, die viele Familien erst spät im Planungsprozess in ihrer vollen Tragweite begreifen. Wer eines dieser drei Themen für sich prüft, sollte die jeweiligen Zahlen nicht isoliert betrachten, sondern immer im Vergleich zur eigenen Zeit- und Finanzplanung.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der planbarste familienbasierte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Australien eine Partnerin oder einen Partner findet, kommt über das Partnervisum in einem zweistufigen Verfahren zur Daueraufenthaltserlaubnis.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Ehe oder eine faktische Partnerschaft (</w:t>
      </w:r>
      <w:r>
        <w:rPr>
          <w:rFonts w:eastAsia="Cambria" w:cs="Cambria"/>
          <w:b w:val="false"/>
          <w:bCs w:val="false"/>
          <w:i/>
          <w:iCs/>
          <w:sz w:val="22"/>
          <w:szCs w:val="22"/>
        </w:rPr>
        <w:t>de facto relationship</w:t>
      </w:r>
      <w:r>
        <w:rPr>
          <w:rFonts w:eastAsia="Cambria" w:cs="Cambria"/>
          <w:b w:val="false"/>
          <w:bCs w:val="false"/>
          <w:i w:val="false"/>
          <w:iCs w:val="false"/>
          <w:sz w:val="22"/>
          <w:szCs w:val="22"/>
        </w:rPr>
        <w:t>, eine dem Eheleben gleichgestellte, meist mindestens zwölf Monate bestehende Partnerschaft ohne Trauschein).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Wartezeit hilft Optimismus wenig: Die befristete Stufe (820/309) dauert laut Behördenangaben für die Hälfte der Fälle rund 17 Monate, andere Quellen nennen 12 bis 24 Monate und mehr. Die permanente Stufe (801) folgt meist erst rund zwei Jahre nach der ursprünglichen Einreichung, danach noch einmal etwa sechs Monate. Wer heute eine Beziehung beginnt und in zwölf Monaten geplant nach Australien ziehen will, sollte diese Zeitachse ernst nehmen, nicht als Behördenübertreibung abtun.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eine Australierin oder einen Australier heiratet, sei damit praktisch automatisch aufenthaltsberechtigt – ähnlich einer Ehe zwischen Deutschen innerhalb der EU. Tatsächlich prüft Home Affairs jede Partnerschaft einzeln und unabhängig vom Trauschein: Eine Heirat allein ersetzt nicht den Nachweis einer echten, andauernden Beziehung, und auch verheiratete Paare durchlaufen dieselbe zweistufige Prüfung wie unverheiratete. Wer die Ehe als Formsache betrachtet und die Beweisführung vernachlässigt, riskiert Rückfragen, die das Verfahren um Monate verlängern.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Unternehmerwege: ein Kapitel, das kaum noch existiert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an ältere Australien-Ratgeber erinnert, kennt vielleicht noch das Significant Investor Visa (Subclass 188, mit dem Investoren-Strom 188C und einer Mindestinvestition von 5 Millionen AUD). Dieser Weg ist seit dem 31. Juli 2024 für Neuanträge endgültig geschlossen; nur wer bereits ein solches Visum hält, behält Übergangsrechte, etwa auf dem Weg zu Subclass 888C. Für alle, die heute erst planen, ist diese Tür damit faktisch 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seine Stelle ist am 7. Dezember 2024 das National Innovation Visa (Subclass 858) getreten. Der Name klingt nach einem Investorenvisum, ist aber keiner: Es richtet sich an Personen mit außergewöhnlichen Fähigkeiten und echtem Innovationspotenzial, nicht an passive Investoren, die schlicht Kapital mitbringen. Wer eine ernsthafte, prüffähige Geschäftsidee mit belegbarem Innovationsgehalt hat, kann diesen Weg mit spezialisierter Beratung prüfen lassen – für den klassischen Wunsch „ich investiere eine größere Summe und bekomme dafür ein Visum“ bietet Australien 2026 keine passende Kategorie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etwa Portugal oder einige Golfstaaten verkauft Australien keinen Aufenthaltstitel gegen Kapital. Wer diesen Weg sucht, verschwendet Recherchezeit an eine Tür, die es so nicht mehr gibt.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trotzdem ein eigenes Unternehmen in Australien gründen will, findet realistischere Anknüpfungspunkte eher über den regulären Arbeitsweg – etwa, indem die eigene, neu gegründete Firma selbst zum Sponsor eines Arbeitgeber-Visums wird, sofern sie die entsprechenden Voraussetzungen erfüllt. Wie streng Home Affairs Eigentümerschaft und tatsächliche Geschäftstätigkeit bei solchen Konstruktionen prüft, ist hier nicht abschließend recherchiert; das ist ein Fall für eine spezialisierte Migrationsberatung, kein Do-it-yourself-Projekt.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Historisch gehörten Investoren- und Unternehmervisa zum sogenannten Business Innovation and Investment Program (BIIP), das über Jahre mehrere Stufen kannte – von der kleineren Geschäftsgründung bis zum Großinvestor. Dieses Programm ist im Zuge der Reformen 2024 weitgehend zurückgebaut worden, und mit ihm die Vorstellung, sich mit einer bestimmten Kapitalsumme direkt in ein Bleiberecht einzukaufen. Wer aus Gesprächen mit älteren Auswanderern oder aus Foren noch von „dem Investorenvisum“ gehört hat, sollte davon ausgehen, dass diese Beschreibung veraltet ist, und den aktuellen Stand bei Home Affairs oder einer Migrationsberatung neu prüfen.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ausführliche Bilanz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vermutlich größte Gruppe unter den Leserinnen und Lesern dieses Abschnitts – Deutsche im Rentenalter, die keinen Job mehr suchen, aber in der Nähe ihrer in Australien lebenden Kinder oder Enkel alt werden möchten – lohnt sich eine nüchterne Vorab-Feststellung: Ein einfaches Rentnervisum nach dem Vorbild Portugals, Panamas oder Mexikos gibt es in Australien nicht, und in abgeschwächter Form gab es zuletzt auch keins mehr. Wer sich auf ein „Retirement Visa“ verlässt, von dem noch in älteren Foren-Beiträgen die Rede ist, plant mit einer Tür, die längst verschlossen wurde.</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ehemalige Ruhestandsvisum: geschlossen für Neuanträge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früheren Subclasses 405 (Investor Retirement) und 410 (Retirement) sind für Neuanträge nicht mehr verfügbar: 405 vollständig geschlossen, 410 nur noch in engen Bestandsfällen für bereits vorhandene Inhaber. Wer heute ein solches Visum schon besitzt, kann Folgeanträge stellen und profitiert von einem erleichterten Übergang zu den Parent-Visa-Kategorien – mit Befreiung von einigen Voraussetzungen, die andere Bewerber erfüllen müssen. Für alle, die 2026 neu planen, ist dieser erleichterte Übergang nicht zugänglich.</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Der verbleibende Weg: das Eltern-Visum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Investorenweg und ohne eigenes Ruhestandsvisum bleibt praktisch nur eine Route: das Eltern-Visum, und das ausschließlich für Eltern, die ein erwachsenes Kind mit australischer Staatsbürgerschaft oder Daueraufenthaltstitel in Australien haben. Fünf Subclass-Nummern gehören dazu, aufgeteilt in zwei Schienen mit sehr unterschiedlichem Preis-Zeit-Verhältnis.</w:t>
      </w:r>
    </w:p>
    <w:p>
      <w:pPr>
        <w:pStyle w:val="Normal"/>
        <w:keepNext w:val="false"/>
        <w:keepLines w:val="false"/>
        <w:spacing w:lineRule="exact" w:line="288" w:before="0" w:after="140"/>
        <w:jc w:val="left"/>
        <w:rPr/>
      </w:pPr>
      <w:r>
        <w:rPr>
          <w:rFonts w:eastAsia="Cambria" w:cs="Cambria"/>
          <w:b/>
          <w:bCs/>
          <w:i w:val="false"/>
          <w:iCs w:val="false"/>
          <w:sz w:val="22"/>
          <w:szCs w:val="22"/>
        </w:rPr>
        <w:t>Non-Contributory (günstig, extrem lange Wartezeit):</w:t>
      </w:r>
      <w:r>
        <w:rPr>
          <w:rFonts w:eastAsia="Cambria" w:cs="Cambria"/>
          <w:b w:val="false"/>
          <w:bCs w:val="false"/>
          <w:i w:val="false"/>
          <w:iCs w:val="false"/>
          <w:sz w:val="22"/>
          <w:szCs w:val="22"/>
        </w:rPr>
        <w:t xml:space="preserve"> Subclass 103 (Parent, Antragstellung von außerhalb Australiens) und Subclass 804 (Aged Parent, Antragstellung oder Verbleib in Australien). Die Visumsgebühr liegt bei rund 5.000 bis 6.000 AUD. Die Wartezeit dagegen ist der eigentliche Pferdefuß: Home Affairs selbst schätzt sie derzeit auf rund 33 Jahre bis zur Entscheidung – eine Zahl, die weniger nach Einwanderungsverfahren klingt als nach geologischer Zeitrechnung.</w:t>
      </w:r>
    </w:p>
    <w:p>
      <w:pPr>
        <w:pStyle w:val="Normal"/>
        <w:keepNext w:val="false"/>
        <w:keepLines w:val="false"/>
        <w:spacing w:lineRule="exact" w:line="288" w:before="0" w:after="140"/>
        <w:jc w:val="left"/>
        <w:rPr/>
      </w:pPr>
      <w:r>
        <w:rPr>
          <w:rFonts w:eastAsia="Cambria" w:cs="Cambria"/>
          <w:b/>
          <w:bCs/>
          <w:i w:val="false"/>
          <w:iCs w:val="false"/>
          <w:sz w:val="22"/>
          <w:szCs w:val="22"/>
        </w:rPr>
        <w:t>Contributory (deutlich teurer, spürbar schneller):</w:t>
      </w:r>
      <w:r>
        <w:rPr>
          <w:rFonts w:eastAsia="Cambria" w:cs="Cambria"/>
          <w:b w:val="false"/>
          <w:bCs w:val="false"/>
          <w:i w:val="false"/>
          <w:iCs w:val="false"/>
          <w:sz w:val="22"/>
          <w:szCs w:val="22"/>
        </w:rPr>
        <w:t xml:space="preserve"> Subclass 143 (Contributory Parent, von außerhalb), 173 (Contributory Parent Temporary, ein zweijähriges Übergangsvisum zu 143), 864 (Contributory Aged Parent) und 884 (befristete Vorstufe zu 864). Die Visumsgebühr selbst wird in zwei Raten fällig: rund 4.040 AUD bei Antragstellung (Stand ab 1. Juli 2026), dann kurz vor der Erteilung eine erheblich größere zweite Rate von rund 43.600 AUD pro Hauptantragsteller – zusammen rund 47.600 AUD reine Behördengebühr pro Person. Separat davon kommt die </w:t>
      </w:r>
      <w:r>
        <w:rPr>
          <w:rFonts w:eastAsia="Cambria" w:cs="Cambria"/>
          <w:b w:val="false"/>
          <w:bCs w:val="false"/>
          <w:i/>
          <w:iCs/>
          <w:sz w:val="22"/>
          <w:szCs w:val="22"/>
        </w:rPr>
        <w:t>Assurance of Support</w:t>
      </w:r>
      <w:r>
        <w:rPr>
          <w:rFonts w:eastAsia="Cambria" w:cs="Cambria"/>
          <w:b w:val="false"/>
          <w:bCs w:val="false"/>
          <w:i w:val="false"/>
          <w:iCs w:val="false"/>
          <w:sz w:val="22"/>
          <w:szCs w:val="22"/>
        </w:rPr>
        <w:t xml:space="preserve"> hinzu (eine bei Services Australia für zehn Jahre hinterlegte, rückzahlbare Kaution, die meist das sponsernde Kind in Australien stellt und die sicherstellt, dass der Staat für die einwandernden Eltern nicht aufkommen muss): rund 10.000 AUD für die Hauptantragstellerin oder den Hauptantragsteller, plus 4.000 AUD je weiterer erwachsener Person. Bei einem Elternpaar kommen so an Behördengebühren und Kaution schnell auf über 100.000 AUD zusammen – eine Zahl, die in kaum einem Auswanderer-Ratgeber in dieser Höhe steht, die Rechnung aber entscheidend verändert. Dafür verkürzt sich die Wartezeit merklich: Home Affairs bearbeitete Anfang 2026 Anträge mit einem Warteschlangendatum bis Ende 2018 – wer heute einreicht, sollte also mit rund 12 bis 15 Jahren rechnen, nicht mit 33.</w:t>
      </w:r>
    </w:p>
    <w:tbl>
      <w:tblPr>
        <w:tblW w:w="6480" w:type="dxa"/>
        <w:jc w:val="left"/>
        <w:tblInd w:w="0" w:type="dxa"/>
        <w:tblLayout w:type="fixed"/>
        <w:tblCellMar>
          <w:top w:w="50" w:type="dxa"/>
          <w:left w:w="80" w:type="dxa"/>
          <w:bottom w:w="50" w:type="dxa"/>
          <w:right w:w="80" w:type="dxa"/>
        </w:tblCellMar>
      </w:tblPr>
      <w:tblGrid>
        <w:gridCol w:w="2107"/>
        <w:gridCol w:w="2410"/>
        <w:gridCol w:w="1963"/>
      </w:tblGrid>
      <w:tr>
        <w:trPr>
          <w:tblHeader w:val="true"/>
          <w:cantSplit w:val="true"/>
        </w:trPr>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Non-Contributory (103/804)</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Contributory (143/173/864)</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Erstgebühr (1. Rate der Visumsgebühr)</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4.040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Zweite Rate der Visumsgebühr (vor Erteilung)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43.600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 (separate, rückzahlbare Kaution)</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10.000 AUD (+ 4.000 AUD je weiterer Erwachsener)</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Gesamtkosten je Person, überschlägig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47.600 AUD Visagebühr zzgl. Kaution</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Geschätzte Wartezeit</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33 Jahre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 bis 15 Jahre</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lebt seit ihrer Einwanderung über den Punktetest in Melbourne. Als Thomas’ Eltern in Köln über einen eigenen Umzug nachdenken, rechnen sie zum ersten Mal nach, was das bedeutet: Beim günstigeren Weg (103) stünde am Ende eine Wartezeit, die ihre eigene verbleibende Lebenserwartung deutlich übersteigt – eine Zahl, die beim ersten Lesen kaum jemand für echt hält, bis er sie an zwei, drei weiteren Quellen gegenprüft. Der teurere, schnellere Weg (143) käme sie zu zweit auf über 100.000 AUD zu stehen (Visagebühren plus Kaution), dazu zwölf bis fünfzehn Jahre Wartezeit. Am Ende entscheiden sie sich für eine Zwischenlösung: mehrere längere Aufenthalte im Jahr mit dem befristeten Sponsored-Parent-Visum, kombiniert mit dem festen Plan, ihren Lebensmittelpunkt vorerst in Köln zu behalten.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Reicht die deutsche Rente als 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beim Studienvisum oder bestimmten Wegen in anderen Zielländern ist für die Eltern-Visa-Kategorien kein einzelnes, fest beziffertes Renten-Mindesteinkommen der Antragstellerin oder des Antragstellers selbst dokumentiert. Entscheidend sind stattdessen die Visumsgebühren und, beim Contributory-Weg, der Assurance-of-Support-Beitrag. Diese Bürgschaft muss in aller Regel nicht die einwandernden Eltern selbst stellen, sondern eine zugelassene Bürgin oder ein zugelassener Bürge – meist das sponsernde Kind vor Ort –, die oder der ausreichendes eigenes Einkommen nachweist. Die deutsche gesetzliche Rente der Eltern spielt damit für die Visumserteilung selbst eine untergeordnete Rolle; sie bleibt aber die entscheidende Größe für die tatsächliche Lebenshaltung danach, insbesondere solange keine reguläre Beschäftigung mehr infrage kommt. Die genauen Einkommensvoraussetzungen der Bürgin oder des Bürgen ändern sich gelegentlich und sollten direkt bei Home Affairs geprüft werden, bevor eine Familie sich auf einen bestimmten Weg festlegt.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Zwischenlösung ohne Daueraufenthalt: Subclass 870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weder 33 noch 12 bis 15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Krankenversicherung: der Posten, den viele unterschätzen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während der jahrzehntelangen Parent-Visa-Wartezeit oder als Inhaberin eines Subclass 870 – ohne Daueraufenthaltstitel bleibt Medicare grundsätzlich verschlossen, und eine private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die Kranken-Zusatzversicherung für Inhaber befristeter Visa) wird zur Pflicht.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Steuern auf die deutsche Rente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australischer Steueransässiger lebt, muss die deutsche gesetzliche Rente als Teil des Welteinkommens in Australien angeben; im Doppelbesteuerungsabkommen zwischen Australien und Deutschland (neu verhandelt, unterzeichnet 2015) ist geregelt, dass eine in Deutschland bereits gezahlte Steuer auf die australische Steuerschuld angerechnet wird. Die genaue Aufteilung des Besteuerungsrechts zwischen gesetzlichen und privaten beziehungsweise betrieblichen Renten ist im Detail komplex und in der Praxis nicht immer eindeutig – wer tatsächlich mit Ruhestandsplänen nach Australien geht, sollte diesen Punkt frühzeitig mit einer auf internationales Steuerrecht spezialisierten Beratung klären, nicht erst nach der Ankunft.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zu Familiennachzug, Investoren- und Ruhestandswegen, ersetzt aber keine Beratung durch eine registrierte Migrationsagentin, einen Migrationsagenten oder eine auf australisches Einwanderungs- und Steuerrecht spezialisierte Fachperson.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Wer sollte diesen Weg überhaupt in Betracht ziehen?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33 Jahren Wartezeit auf der einen und 50.000 AUD pro Person auf der anderen Seite lohnt sich vor jeder Antragstellung eine ehrliche Alternativrechnung: Reicht nicht auch eine Folge längerer Besuche mit einem regulären Besuchervisum oder dem befristeten Subclass 870, kombiniert mit Videotelefonie und ein bis zwei größeren Reisen im Jahr? Für Familien, die in erster Linie Nähe und regelmäßigen Kontakt suchen, ist das oft die realistischere und deutlich günstigere Lösung als ein Verfahren, das die eigene statistische Lebenserwartung übersteigen kann. Für Familien, die wirklich einen dauerhaften gemeinsamen Wohnsitz anstreben – etwa, weil Pflegebedürftigkeit absehbar wird –, führt an einer der beiden Parent-Visa-Schienen dagegen kein Weg vorbei, so unbequem die Zahlen auch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Familien-, Investoren- und Ruhestandswegen wiederholen sich erfahrungsgemäß dieselben Fehleinschätzungen: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33 Jahre Wartezeit beim Non-Contributory-Weg werden als Verhandlungsspielraum missverstanden. Es handelt sich um eine behördliche Schätzung auf Basis der realen Bearbeitungsgeschwindigkeit, nicht um eine Verhandlungsposition.</w:t>
      </w:r>
    </w:p>
    <w:p>
      <w:pPr>
        <w:pStyle w:val="ListParagraph"/>
        <w:numPr>
          <w:ilvl w:val="0"/>
          <w:numId w:val="1"/>
        </w:numPr>
        <w:spacing w:lineRule="exact" w:line="288" w:before="0" w:after="60"/>
        <w:rPr/>
      </w:pPr>
      <w:r>
        <w:rPr>
          <w:rFonts w:eastAsia="Cambria" w:cs="Cambria"/>
          <w:b w:val="false"/>
          <w:bCs w:val="false"/>
          <w:i w:val="false"/>
          <w:iCs w:val="false"/>
          <w:sz w:val="22"/>
          <w:szCs w:val="22"/>
        </w:rPr>
        <w:t>Investorenwege werden anhand veralteter Ratgeber oder Foren-Beiträge geplant, die noch das seit 2024 geschlossene Subclass-188-Visum beschreiben.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Kosten eines Contributory-Eltern-Visums werden nur als einmalige Gebühr wahrgenommen, ohne die separate Assurance of Support einzurechnen – am Ende steht dann eine böse Überraschung von mehreren Zehntausend AUD.</w:t>
      </w:r>
    </w:p>
    <w:p>
      <w:pPr>
        <w:pStyle w:val="ListParagraph"/>
        <w:numPr>
          <w:ilvl w:val="0"/>
          <w:numId w:val="1"/>
        </w:numPr>
        <w:spacing w:lineRule="exact" w:line="288" w:before="0" w:after="60"/>
        <w:rPr/>
      </w:pPr>
      <w:r>
        <w:rPr>
          <w:rFonts w:eastAsia="Cambria" w:cs="Cambria"/>
          <w:b w:val="false"/>
          <w:bCs w:val="false"/>
          <w:i w:val="false"/>
          <w:iCs w:val="false"/>
          <w:sz w:val="22"/>
          <w:szCs w:val="22"/>
        </w:rPr>
        <w:t>Subclass 870 wird mit einem Daueraufenthaltsvisum verwechselt, obwohl es ausdrücklich keinen solchen Übergang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private Krankenversicherungspflicht während der gesamten Wartezeit wird bei der Budgetplanung vergessen, obwohl sie sich über Jahre oder Jahrzehnte zu einem erheblichen Posten summiert.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1"/>
        <w:gridCol w:w="3048"/>
      </w:tblGrid>
      <w:tr>
        <w:trPr>
          <w:tblHeader w:val="true"/>
          <w:cantSplit w:val="true"/>
        </w:trPr>
        <w:tc>
          <w:tcPr>
            <w:tcW w:w="3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ist ein klarer, gut dokumentierter Weg zur Daueraufenthaltserlaubnis</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dauert dennoch häufig zwei Jahre oder mehr bis zur permanenten Stufe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Contributory-Eltern-Visum verkürzt die Wartezeit erheblich</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48.000 AUD Visagebühr pro Person plus Kaution sind für viele Familien schlicht nicht aufbringbar</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ermöglicht lange Besuche ohne Jahrzehnte Wartezeit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führt zu keinem Daueraufenthaltstitel</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ist klar definiert, keine willkürliche Einzelfallprüfung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kennt keine Ausnahme für Pflegebedürftigkeit oder Härtefälle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Erhalt eines Daueraufenthaltstitels voller Medicare-Zugang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dahin ist private Krankenversicherung über Jahre Pflicht</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Sponsored-Parent-Visum erfordert keinen Balance-of-Family-Test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Investorenweg mehr für passive Anleger ohne Kind vor Ort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über Familiennachzug, Investition oder Ruhestand nach Australien will, sollte zuerst prüfen, welche der drei Türen überhaupt offensteht: eine belastbare Partnerschaft mit einer in Australien lebenden Person, ein tatsächlich innovatives Geschäftsvorhaben – oder ein erwachsenes Kind mit Aufenthaltstitel vor Ort, das den Balance-of-Family-Test besteht. Erst danach lohnt sich die Detailrechnung zu Kosten und Wartezeit, am besten zusammen mit einer registrierten Migrationsberatung und, bei Ruhestandsplänen, einer Steuerberatung mit Erfahrung im deutsch-australischen Verhältnis.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Ruheständler ohne eigenen Berufsweg lohnt sich außerdem ein Blick auf das </w:t>
      </w:r>
      <w:hyperlink w:anchor="tau03">
        <w:r>
          <w:rPr>
            <w:rStyle w:val="ListLabel113"/>
            <w:rFonts w:eastAsia="Cambria" w:cs="Cambria"/>
            <w:b w:val="false"/>
            <w:bCs w:val="false"/>
            <w:i w:val="false"/>
            <w:iCs w:val="false"/>
            <w:color w:val="0563C1"/>
            <w:sz w:val="22"/>
            <w:szCs w:val="22"/>
            <w:u w:val="single"/>
          </w:rPr>
          <w:t>vorherige Kapitel dieses Teils</w:t>
        </w:r>
      </w:hyperlink>
      <w:r>
        <w:rPr>
          <w:rFonts w:eastAsia="Cambria" w:cs="Cambria"/>
          <w:b w:val="false"/>
          <w:bCs w:val="false"/>
          <w:i w:val="false"/>
          <w:iCs w:val="false"/>
          <w:sz w:val="22"/>
          <w:szCs w:val="22"/>
        </w:rPr>
        <w:t>: Wer noch unter 45 ist oder einen gefragten Beruf hat, findet über den Punktetest oder das Arbeitgeber-Sponsoring möglicherweise einen schnelleren, planbareren Weg als über die Eltern-Visa-Kategorien – auch wenn das bedeutet, den Ruhestand selbst erst später anzutreten. Und wer sich für keinen der Wege in diesem Kapitel entscheiden kann oder will, sollte die Kombination aus regelmäßigen, längeren Besuchen und einem festen Lebensmittelpunkt in Deutschland nicht vorschnell als zweitbeste Lösung abtun – für viele Familien ist sie am Ende die tragfähigere.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bestehende Partnerschaft die Voraussetzungen für ein Partnervisum erfüllt, und Dokumentation der Beziehung frühzeitig begonnen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 Kind mit australischer Staatsbürgerschaft oder Daueraufenthaltstitel vor Ort lebt und der Balance-of-Family-Test bestanden würde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Non-Contributory- und Contributory-Weg beim Eltern-Visum mit den eigenen Finanzen und der eigenen Lebenserwartung realistisch gegengerechnet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Subclass 870 als befristete Zwischenlösung geprüft, falls ein Daueraufenthalt nicht angestrebt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private Krankenversicherung (OVHC) für die gesamte Wartezeit eingeplant, nicht nur für das erste 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in Australien mit einer spezialisierten Beratung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Investorenwege realistisch eingeordnet: Subclass 188 ist geschlossen, Subclass 858 nur für echte Innovationsvorhaben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Wartezeiten und Einkommensschwellen direkt bei Home Affairs gegengeprüft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Partnervisa, Subclass 820/801 und 309/100 (</w:t>
      </w:r>
      <w:hyperlink r:id="rId43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partner-visa)</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Parent-Visa-Kategorien und Balance-of-Family-Test (</w:t>
      </w:r>
      <w:hyperlink r:id="rId43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parent-visa, balance-of-family-test)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Sponsored Parent (Temporary) Visa, Subclass 870 (</w:t>
      </w:r>
      <w:hyperlink r:id="rId43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sponsored-parent-870)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National Innovation Visa, Subclass 858 (</w:t>
      </w:r>
      <w:hyperlink r:id="rId43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national-innovation-visa-858)</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Visa-Bearbeitungszeiten und -prioritäten (</w:t>
      </w:r>
      <w:hyperlink r:id="rId440">
        <w:r>
          <w:rPr>
            <w:rStyle w:val="ListLabel113"/>
            <w:rFonts w:eastAsia="Cambria" w:cs="Cambria"/>
            <w:b w:val="false"/>
            <w:bCs w:val="false"/>
            <w:i w:val="false"/>
            <w:iCs w:val="false"/>
            <w:color w:val="0563C1"/>
            <w:sz w:val="22"/>
            <w:szCs w:val="22"/>
            <w:u w:val="single"/>
          </w:rPr>
          <w:t>immi.homeaffairs.gov.au/visas/getting-a-visa/visa-processing-times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Doppelbesteuerungsabkommen Australien–Deutschland (</w:t>
      </w:r>
      <w:hyperlink r:id="rId44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Wartezeiten und Warteschlangendaten bei Eltern-Visa,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2" w:name="__RefHeading___Toc56540_3457424410"/>
      <w:bookmarkStart w:id="113" w:name="tau05"/>
      <w:bookmarkEnd w:id="112"/>
      <w:r>
        <w:rPr>
          <w:rFonts w:eastAsia="Amazon Ember" w:cs="Amazon Ember" w:ascii="Amazon Ember" w:hAnsi="Amazon Ember"/>
          <w:b/>
          <w:bCs/>
          <w:color w:val="0000FF"/>
          <w:sz w:val="36"/>
          <w:szCs w:val="36"/>
        </w:rPr>
        <w:t>Australien: Antrag, Konsulat und Kosten</w:t>
      </w:r>
      <w:bookmarkEnd w:id="1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Vierzehn Monate nach der ersten Interessensbekundung blinkt bei Thomas Reinhardt eine E-Mail auf: „You have been invited to apply.“ Keine Fanfare, kein Anruf – nur eine nüchterne Betreffzeile, und plötzlich hat die Familie 60 Tage Zeit, aus einer Absichtserklärung einen echten Antrag zu machen. Was folgt, ist reine Verwaltungsarbeit: ein Online-Portal, mehrere Gebühren, ein Arztbesuch und ein Stapel Führungszeugnisse. Kein Botschaftstermin, kein Interview am Schalter – Australien erledigt fast alles über den Bildschirm, was die Sache nicht zwangsläufig entspannter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gesamte Antrag läuft online über </w:t>
            </w:r>
            <w:r>
              <w:rPr>
                <w:rFonts w:eastAsia="Cambria" w:cs="Cambria"/>
                <w:b w:val="false"/>
                <w:bCs w:val="false"/>
                <w:i/>
                <w:iCs/>
                <w:sz w:val="20"/>
                <w:szCs w:val="20"/>
              </w:rPr>
              <w:t>ImmiAccount</w:t>
            </w:r>
            <w:r>
              <w:rPr>
                <w:rFonts w:eastAsia="Cambria" w:cs="Cambria"/>
                <w:b w:val="false"/>
                <w:bCs w:val="false"/>
                <w:i w:val="false"/>
                <w:iCs w:val="false"/>
                <w:sz w:val="20"/>
                <w:szCs w:val="20"/>
              </w:rPr>
              <w:t xml:space="preserve">, das Antragsportal des </w:t>
            </w:r>
            <w:r>
              <w:rPr>
                <w:rFonts w:eastAsia="Cambria" w:cs="Cambria"/>
                <w:b w:val="false"/>
                <w:bCs w:val="false"/>
                <w:i/>
                <w:iCs/>
                <w:sz w:val="20"/>
                <w:szCs w:val="20"/>
              </w:rPr>
              <w:t>Department of Home Affairs</w:t>
            </w:r>
            <w:r>
              <w:rPr>
                <w:rFonts w:eastAsia="Cambria" w:cs="Cambria"/>
                <w:b w:val="false"/>
                <w:bCs w:val="false"/>
                <w:i w:val="false"/>
                <w:iCs w:val="false"/>
                <w:sz w:val="20"/>
                <w:szCs w:val="20"/>
              </w:rPr>
              <w:t xml:space="preserve"> (der australischen Einwanderungs- und Grenzschutzbehörde). Einen Botschaftstermin wie bei anderen Zielländern gibt es für die meisten Visa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Punktebasierte Visa laufen über </w:t>
            </w:r>
            <w:r>
              <w:rPr>
                <w:rFonts w:eastAsia="Cambria" w:cs="Cambria"/>
                <w:b w:val="false"/>
                <w:bCs w:val="false"/>
                <w:i/>
                <w:iCs/>
                <w:sz w:val="20"/>
                <w:szCs w:val="20"/>
              </w:rPr>
              <w:t>SkillSelect</w:t>
            </w:r>
            <w:r>
              <w:rPr>
                <w:rFonts w:eastAsia="Cambria" w:cs="Cambria"/>
                <w:b w:val="false"/>
                <w:bCs w:val="false"/>
                <w:i w:val="false"/>
                <w:iCs w:val="false"/>
                <w:sz w:val="20"/>
                <w:szCs w:val="20"/>
              </w:rPr>
              <w:t xml:space="preserve">: erst die </w:t>
            </w:r>
            <w:r>
              <w:rPr>
                <w:rFonts w:eastAsia="Cambria" w:cs="Cambria"/>
                <w:b w:val="false"/>
                <w:bCs w:val="false"/>
                <w:i/>
                <w:iCs/>
                <w:sz w:val="20"/>
                <w:szCs w:val="20"/>
              </w:rPr>
              <w:t>Expression of Interest</w:t>
            </w:r>
            <w:r>
              <w:rPr>
                <w:rFonts w:eastAsia="Cambria" w:cs="Cambria"/>
                <w:b w:val="false"/>
                <w:bCs w:val="false"/>
                <w:i w:val="false"/>
                <w:iCs w:val="false"/>
                <w:sz w:val="20"/>
                <w:szCs w:val="20"/>
              </w:rPr>
              <w:t xml:space="preserve"> (EOI, die Interessensbekundung), dann die Einladung, dann 60 Tage Zeit für den formellen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extrem vom Visumtyp ab: Working Holiday ab 840 AUD, Skilled-Visa (189/190/491) ab rund 6.135 AUD je Hauptantragsteller, dazu Zusatzkosten für Gesundheitscheck, Führungszeugnisse und eventuell eine Migrationsberatung.</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Charaktertest sind eigene Pflichtschritte mit eigenen Fristen – plane sie nicht als Fußnote ein.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Jahr, je nach Subclass und aktueller Priorisierung.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und die Konsulate in Australien helfen bei deutschen Dokumenten, aber nicht beim australischen Visumantrag selbst – das entscheidet ausschließlich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SkillSelect, EOI und ImmiAccount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einen punktebasierten Weg geht – Subclass 189 (Skilled Independent), 190 (Skilled Nominated) oder 491 (Skilled Work Regional) –, beginnt nicht mit einem Antrag, sondern mit einer Absichtserklärung.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reichst du über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ein, das Online-System, in dem du Beruf, Abschluss, Berufserfahrung, Englischniveau und Alter einträgst; die Behörde errechnet daraus deine Punktzahl. Voraussetzung ist vorher ein bestandenes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Kompetenzbewertung durch eine zuständige Berufsorganisation, etwa Engineers Australia oder VETASSESS), ohne das keine EOI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EOI selbst ist noch kein Antrag und kostet nichts. Erst wenn Home Affairs oder ein Bundesstaat dich einlädt (</w:t>
      </w:r>
      <w:r>
        <w:rPr>
          <w:rFonts w:eastAsia="Cambria" w:cs="Cambria"/>
          <w:b w:val="false"/>
          <w:bCs w:val="false"/>
          <w:i/>
          <w:iCs/>
          <w:sz w:val="22"/>
          <w:szCs w:val="22"/>
        </w:rPr>
        <w:t>Invitation to Apply</w:t>
      </w:r>
      <w:r>
        <w:rPr>
          <w:rFonts w:eastAsia="Cambria" w:cs="Cambria"/>
          <w:b w:val="false"/>
          <w:bCs w:val="false"/>
          <w:i w:val="false"/>
          <w:iCs w:val="false"/>
          <w:sz w:val="22"/>
          <w:szCs w:val="22"/>
        </w:rPr>
        <w:t>), beginnt die Uhr: Ab der Einladung hast du in der Regel 60 Tage Zeit, den eigentlichen Antrag zu stellen. Verpasst du die Frist, verfällt die Einladung ersatzlos, und du reichst eine neue EOI ein – ganz unten in der Warteschlange.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Antrag läuft komplett über </w:t>
      </w:r>
      <w:r>
        <w:rPr>
          <w:rFonts w:eastAsia="Cambria" w:cs="Cambria"/>
          <w:b w:val="false"/>
          <w:bCs w:val="false"/>
          <w:i/>
          <w:iCs/>
          <w:sz w:val="22"/>
          <w:szCs w:val="22"/>
        </w:rPr>
        <w:t>ImmiAccount</w:t>
      </w:r>
      <w:r>
        <w:rPr>
          <w:rFonts w:eastAsia="Cambria" w:cs="Cambria"/>
          <w:b w:val="false"/>
          <w:bCs w:val="false"/>
          <w:i w:val="false"/>
          <w:iCs w:val="false"/>
          <w:sz w:val="22"/>
          <w:szCs w:val="22"/>
        </w:rPr>
        <w:t>, das zentrale Online-Portal von Home Affairs. Dort legst du ein Konto an, lädst Dokumente hoch, bezahlst die Gebühr per Kreditkarte, verfolgst den Status und erhältst alle Nachrichten der Behörde. Ein Postfach, das du in den folgenden Monaten regelmäßig prüfen solltest: Nachforderungen kommen ausschließlich hier an, nicht per Brief. Arbeitgebergesponserte Visa (etwa Subclass 482) und die Working Holiday (Subclass 417) überspringen SkillSelect komplett und starten direkt in ImmiAccount, sobald Sponsor beziehungsweise Altersvoraussetzung geklärt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vielen anderen Zielländern gibt es für die meisten Visumkategorien keinen persönlichen Termin bei einer australischen Auslandsvertretung. Home Affairs entscheidet nach Aktenlage, die du vollständig online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Visumtyp, und die Antragsgebühr (</w:t>
      </w:r>
      <w:r>
        <w:rPr>
          <w:rFonts w:eastAsia="Cambria" w:cs="Cambria"/>
          <w:b w:val="false"/>
          <w:bCs w:val="false"/>
          <w:i/>
          <w:iCs/>
          <w:sz w:val="22"/>
          <w:szCs w:val="22"/>
        </w:rPr>
        <w:t>Base Application Charge</w:t>
      </w:r>
      <w:r>
        <w:rPr>
          <w:rFonts w:eastAsia="Cambria" w:cs="Cambria"/>
          <w:b w:val="false"/>
          <w:bCs w:val="false"/>
          <w:i w:val="false"/>
          <w:iCs w:val="false"/>
          <w:sz w:val="22"/>
          <w:szCs w:val="22"/>
        </w:rPr>
        <w:t>) ist nur ein Teil der Rechnung. Dazu kommen in fast jedem Fall Skills Assessment, Englischtest, Gesundheitsuntersuchung und Führungszeugnisse – Posten, die im Kopf oft untergehen.</w:t>
      </w:r>
    </w:p>
    <w:tbl>
      <w:tblPr>
        <w:tblW w:w="6480" w:type="dxa"/>
        <w:jc w:val="left"/>
        <w:tblInd w:w="0" w:type="dxa"/>
        <w:tblLayout w:type="fixed"/>
        <w:tblCellMar>
          <w:top w:w="50" w:type="dxa"/>
          <w:left w:w="80" w:type="dxa"/>
          <w:bottom w:w="50" w:type="dxa"/>
          <w:right w:w="80" w:type="dxa"/>
        </w:tblCellMar>
      </w:tblPr>
      <w:tblGrid>
        <w:gridCol w:w="1586"/>
        <w:gridCol w:w="2447"/>
        <w:gridCol w:w="2447"/>
      </w:tblGrid>
      <w:tr>
        <w:trPr>
          <w:tblHeader w:val="true"/>
          <w:cantSplit w:val="true"/>
        </w:trPr>
        <w:tc>
          <w:tcPr>
            <w:tcW w:w="15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Visumtyp</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Weitere Kosten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Erstantrag</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gesonderten Zusatzschritte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2./3. Jahr</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„specified work“, seit 2026 zusätzlich Losverfahren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(189)</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Englischtest, Gesundheitscheck, Führungszeugnisse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(190)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6.135–6.140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plus Nominierungsgebühr des Bundesstaats</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(482)</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Nominierungsgebühr trägt der Arbeitgeber</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Pflicht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Gebührenrunde vom 1. Juli 2026; alle Beträge je Hauptantragsteller, Partner und Kinder zahlen bei den meisten Kategorien anteilig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Skilled-Independent-Weg kommen allein an Antragsgebühren schnell mehrere Zehntausend AUD zusammen, sobald Partner und Kinder mitgezählt werden – die genaue Staffelung zeigt ImmiAccount erst beim Ausfüllen, weil sie vom Alter der Kinder abhängt. Dazu kommen das Skills Assessment (je nach Berufsverband unterschiedlich, oft mehrere hundert AUD), ein anerkannter Englischtest wie IELTS oder PTE (rund 300–400 AUD), die Gesundheitsuntersuchung (150–400 AUD je Person) und die Führungszeugnisse. Wer daneben eine Migrationsberatung beauftragt, addiert deren Honorar.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ImmiAccount-Gebühr erst, wenn wirklich alle Unterlagen bereitliegen. Ein unvollständig eingereichter Antrag lässt sich zwar nachbessern, die Gebühr ist bei Ablehnung aber ebenso futsch wie bei Genehmigung – eine Kulanzrunde wie beim deutschen Bürgeramt gibt es hier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Home Affairs veröffentlicht monatlich aktualisierte Bearbeitungszeiten, jeweils als 50- und 90-Perzentil: Die Hälfte der Fälle ist nach der ersten Zahl entschieden, neun von zehn nach der zweiten. Zum Stand September 2026 galt grob: Subclass 189 rund 7 bis 8 Monate, Subclass 190 zwischen 5 und 17 Monaten (die Spanne ist bei diesem Visum besonders groß), Subclass 482 oft nur 57 Tage bis 9 Monate. Seit dem 19. September 2026 gelten neue </w:t>
      </w:r>
      <w:r>
        <w:rPr>
          <w:rFonts w:eastAsia="Cambria" w:cs="Cambria"/>
          <w:b w:val="false"/>
          <w:bCs w:val="false"/>
          <w:i/>
          <w:iCs/>
          <w:sz w:val="22"/>
          <w:szCs w:val="22"/>
        </w:rPr>
        <w:t>Ministerial Directions</w:t>
      </w:r>
      <w:r>
        <w:rPr>
          <w:rFonts w:eastAsia="Cambria" w:cs="Cambria"/>
          <w:b w:val="false"/>
          <w:bCs w:val="false"/>
          <w:i w:val="false"/>
          <w:iCs w:val="false"/>
          <w:sz w:val="22"/>
          <w:szCs w:val="22"/>
        </w:rPr>
        <w:t xml:space="preserve"> (121 und 122), die bestimmte Branchen – Bau, Gesundheit, Bildung, Landwirtschaft und Fischerei, Ressourcen, Recht und Verteidigung – bevorzugt bearbeiten lassen. Wer außerhalb dieser Listen arbeitet, wartet tendenziell länger, ohne dass Home Affairs das offen so formuliert.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veröffentlichten Perzentile sind ein grober Kompass, kein Versprechen: Home Affairs weist zusätzlich aus, welche Einreichdaten gerade bearbeitet werden, was oft ein ehrlicheres Bild gibt als die reine Statistik. Praktisch bedeutet das: Kündige deinen Job in Deutschland nicht, bevor die Entscheidung vorliegt, und plane bei Partnervisa – die noch einmal deutlich länger laufen – mit mehreren Jahren bis zur permanenten Stufe.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Einladung zur Antragstellung ist noch keine Zusage. Zwischen EOI und tatsächlicher Ankunft in Australien vergehen bei den Skilled-Visa oft anderthalb bis zwei Jahre. Wer währenddessen Job, Wohnung und Schulplätze in Deutschland kündigt, handelt verfrüht.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permanenten und viele befristete Visa ist eine vollständige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Nach der Antragstellung schickt dir Home Affairs eine </w:t>
      </w:r>
      <w:r>
        <w:rPr>
          <w:rFonts w:eastAsia="Cambria" w:cs="Cambria"/>
          <w:b w:val="false"/>
          <w:bCs w:val="false"/>
          <w:i/>
          <w:iCs/>
          <w:sz w:val="22"/>
          <w:szCs w:val="22"/>
        </w:rPr>
        <w:t>HAP-ID</w:t>
      </w:r>
      <w:r>
        <w:rPr>
          <w:rFonts w:eastAsia="Cambria" w:cs="Cambria"/>
          <w:b w:val="false"/>
          <w:bCs w:val="false"/>
          <w:i w:val="false"/>
          <w:iCs w:val="false"/>
          <w:sz w:val="22"/>
          <w:szCs w:val="22"/>
        </w:rPr>
        <w:t xml:space="preserve"> (Health Assessment Processing ID), mit der du einen Termin bei einem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von Home Affairs anerkannten Arzt) buchst; eine Liste findet sich über ImmiAccount. Je nach Alter gehören eine allgemeine Untersuchung, ein Röntgenbild des Brustkorbs (ab 11 Jahren), ein HIV-Test und ein Nierenwert (ab 15 Jahren) sowie bei Geburt in einem Risikoland ein Hepatitis-B-Test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liegen je nach Testumfang bei 150 bis 400 AUD pro Person, direkt beim Arzt zu zahlen. Die Ergebnisse gehen digital an Home Affairs, meist innerhalb von fünf bis zehn Werktagen; bei Auffälligkeiten und nötiger fachärztlicher Nachprüfung dauert es zwei bis vier Wochen länger. Buche den Termin zügig, sobald die HAP-ID vorliegt – Panel Physicians sind nicht an jeder deutschen Ecke zu finden, und ein voller Terminkalender verzögert sonst den ganzen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Charaktertest und Führungszeugnis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Section 501 des </w:t>
      </w:r>
      <w:r>
        <w:rPr>
          <w:rFonts w:eastAsia="Cambria" w:cs="Cambria"/>
          <w:b w:val="false"/>
          <w:bCs w:val="false"/>
          <w:i/>
          <w:iCs/>
          <w:sz w:val="22"/>
          <w:szCs w:val="22"/>
        </w:rPr>
        <w:t>Migration Act 1958</w:t>
      </w:r>
      <w:r>
        <w:rPr>
          <w:rFonts w:eastAsia="Cambria" w:cs="Cambria"/>
          <w:b w:val="false"/>
          <w:bCs w:val="false"/>
          <w:i w:val="false"/>
          <w:iCs w:val="false"/>
          <w:sz w:val="22"/>
          <w:szCs w:val="22"/>
        </w:rPr>
        <w:t xml:space="preserve"> verlangt, dass jeder Antragsteller den </w:t>
      </w:r>
      <w:r>
        <w:rPr>
          <w:rFonts w:eastAsia="Cambria" w:cs="Cambria"/>
          <w:b w:val="false"/>
          <w:bCs w:val="false"/>
          <w:i/>
          <w:iCs/>
          <w:sz w:val="22"/>
          <w:szCs w:val="22"/>
        </w:rPr>
        <w:t>Character Test</w:t>
      </w:r>
      <w:r>
        <w:rPr>
          <w:rFonts w:eastAsia="Cambria" w:cs="Cambria"/>
          <w:b w:val="false"/>
          <w:bCs w:val="false"/>
          <w:i w:val="false"/>
          <w:iCs w:val="false"/>
          <w:sz w:val="22"/>
          <w:szCs w:val="22"/>
        </w:rPr>
        <w:t xml:space="preserve"> besteht – in der Praxis heißt das: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(polizeiliches Führungszeugnis) aus jedem Land, in dem du seit deinem 16. Geburtstag innerhalb der letzten zehn Jahre kumulativ mehr als 12 Monate gelebt hast. Das Zeugnis muss den gesamten Zeitraum seit dem 16. Geburtstag abdecken, nicht nur die tatsächliche Aufenthaltszeit, und gilt ab Ausstellung 12 Monate. Wer zusätzlich schon einmal 12 Monate oder länger in Australien gelebt hat, braucht ein </w:t>
      </w:r>
      <w:r>
        <w:rPr>
          <w:rFonts w:eastAsia="Cambria" w:cs="Cambria"/>
          <w:b w:val="false"/>
          <w:bCs w:val="false"/>
          <w:i/>
          <w:iCs/>
          <w:sz w:val="22"/>
          <w:szCs w:val="22"/>
        </w:rPr>
        <w:t>National Police Check</w:t>
      </w:r>
      <w:r>
        <w:rPr>
          <w:rFonts w:eastAsia="Cambria" w:cs="Cambria"/>
          <w:b w:val="false"/>
          <w:bCs w:val="false"/>
          <w:i w:val="false"/>
          <w:iCs w:val="false"/>
          <w:sz w:val="22"/>
          <w:szCs w:val="22"/>
        </w:rPr>
        <w:t xml:space="preserve"> der australischen Bundespolizei (AFP).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deutschen Antragsteller reicht das deutsche Führungszeugnis vom Bundesamt für Justiz, ausgestellt zur Vorlage bei einer Behörde im Ausland. Es kostet 13 €, die Beantragung läuft online oder beim Einwohnermeldeamt. Für Australien reicht das einfache Führungszeugnis allein aber nicht: Home Affairs verlangt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Zuständig dafür ist in Deutschland das Bundesamt für Auswärtige Angelegenheiten (BfAA) – und hier lauert eine echte Falle: Die Apostille musst du bereits bei der Beantragung des Führungszeugnisses über das Online-Datenformular des BfAA mitbestellen, ein nachträgliches Anfügen ist auf diesem Weg nicht vorgesehen. Für die Apostille fallen außerdem 25 €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das Führungszeugnis zuerst beim Bundesamt für Justiz bestellt und erst danach an die Apostille denkt, muss den gesamten Vorgang wiederholen. Beantrage beides in einem Rutsch über das BfAA-Portal, bevor du beim Bundesamt für Justiz überhaupt auf „Absenden“ klickst.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Migration Agent oder alleine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keinen eigenen Berufsstand von Einwanderungsanwälten mit Kammerpflicht, sondern </w:t>
      </w:r>
      <w:r>
        <w:rPr>
          <w:rFonts w:eastAsia="Cambria" w:cs="Cambria"/>
          <w:b w:val="false"/>
          <w:bCs w:val="false"/>
          <w:i/>
          <w:iCs/>
          <w:sz w:val="22"/>
          <w:szCs w:val="22"/>
        </w:rPr>
        <w:t>Registered Migration Agents</w:t>
      </w:r>
      <w:r>
        <w:rPr>
          <w:rFonts w:eastAsia="Cambria" w:cs="Cambria"/>
          <w:b w:val="false"/>
          <w:bCs w:val="false"/>
          <w:i w:val="false"/>
          <w:iCs w:val="false"/>
          <w:sz w:val="22"/>
          <w:szCs w:val="22"/>
        </w:rPr>
        <w:t xml:space="preserve">, reguliert von der </w:t>
      </w:r>
      <w:r>
        <w:rPr>
          <w:rFonts w:eastAsia="Cambria" w:cs="Cambria"/>
          <w:b w:val="false"/>
          <w:bCs w:val="false"/>
          <w:i/>
          <w:iCs/>
          <w:sz w:val="22"/>
          <w:szCs w:val="22"/>
        </w:rPr>
        <w:t>Office of the Migration Agents Registration Authority</w:t>
      </w:r>
      <w:r>
        <w:rPr>
          <w:rFonts w:eastAsia="Cambria" w:cs="Cambria"/>
          <w:b w:val="false"/>
          <w:bCs w:val="false"/>
          <w:i w:val="false"/>
          <w:iCs w:val="false"/>
          <w:sz w:val="22"/>
          <w:szCs w:val="22"/>
        </w:rP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 ein Blick, der sich vor jeder Zahlung lohnt. Seit dem 1. April 2026 gelten zudem neue Migration Agents Regulations, die die Aufsicht über den Berufsstand verschärft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unkomplizierte Working Holiday brauchst du in der Regel keinen Agenten: Das Formular ist selbsterklärend, die Voraussetzungen sind klar. Bei punktebasierten Visa mit Skills Assessment, Nominierung und mehreren Familienmitgliedern kann ein registrierter Agent dagegen echte Fehler vermeiden –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dieselben wie überall: Erfolgsgarantie, Drängen auf sofortige Vorkasse per Überweisung an ein Privatkonto, keine schriftliche Honorarvereinbarung, angebliche „Kontakte“ bei Home Affairs, die den Prozess beschleunigen sollen. Home Affairs entscheidet ausschließlich nach Aktenlage; gute Beziehungen helfen dabei ungefähr so viel wie ein Regenschirm gegen Sonnenbrand.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Migration Agent oder eine australische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oder ein Konsulat beim australischen Visumantrag hilft oder zumindest vermittelt. Das ist nicht deren Aufgabe: Über die Erteilung eines australischen Visums entscheidet ausschließlich Home Affairs, und keine deutsche Stelle hat darauf Einfluss. Die deutschen Vertretungen sind für deutsche Angelegenheiten zuständig – Pass, Personalausweis, Beglaubigungen, Notfallhilfe für deutsche Staatsangehörige –, nicht für australisches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Australien gliedert sich das Netz so: Die Deutsche Botschaft in Canberra betreut ausschließlich die dort ansässigen Deutschen im Australian Capital Territory. Für den gesamten Rest des Landes – zusätzlich Papua-Neuguinea, Nauru, die Salomonen und Vanuatu – ist das Generalkonsulat in Sydney zuständig. Ergänzt wird das durch Honorarkonsuln in Melbourne, Adelaide, Brisbane, Cairns, Darwin, Hobart und Perth: meist ortsansässige Persönlichkeiten, die ehrenamtlich einen eingeschränkten Service anbieten, etwa Beglaubigungen oder die Weiterleitung von Passanträgen, aber keine vollständige Konsularabteilung 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Reinhardt mit Ziel Melbourne heißt das konkret: Der Honorarkonsul vor Ort hilft bei kleineren Formalitäten, für einen neuen Reisepass oder umfangreichere Beglaubigungen bleibt der Weg zum Generalkonsulat nach Sydney, teils auch postalisch möglich. Wer die apostillierte Fassung eines Dokuments noch in Deutschland braucht, erledigt das ohnehin vor dem Abflug – danach hilft in Australien niemand mehr rückwirkend weiter.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australischen Visumantrag. Das erledigst du ausschließlich selbst über ImmiAccount, notfalls mit einem registrierten Migration Agent.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Migration Agent neben dem Alleingang über ImmiAccount:</w:t>
      </w:r>
    </w:p>
    <w:tbl>
      <w:tblPr>
        <w:tblW w:w="6480" w:type="dxa"/>
        <w:jc w:val="left"/>
        <w:tblInd w:w="0" w:type="dxa"/>
        <w:tblLayout w:type="fixed"/>
        <w:tblCellMar>
          <w:top w:w="50" w:type="dxa"/>
          <w:left w:w="80" w:type="dxa"/>
          <w:bottom w:w="50" w:type="dxa"/>
          <w:right w:w="80" w:type="dxa"/>
        </w:tblCellMar>
      </w:tblPr>
      <w:tblGrid>
        <w:gridCol w:w="3203"/>
        <w:gridCol w:w="3276"/>
      </w:tblGrid>
      <w:tr>
        <w:trPr>
          <w:tblHeader w:val="true"/>
          <w:cantSplit w:val="true"/>
        </w:trPr>
        <w:tc>
          <w:tcPr>
            <w:tcW w:w="32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Kennt aktuelle Berufslisten und Fristen im Detail</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Zusätzliches Honorar, oft mehrere Tausend AUD</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Unterlagen vor der Einreichung auf Lücken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Garantie für Einladung oder Genehmigung</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Kommuniziert bei Nachforderungen mit Home Affairs</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Verantwortung für wahrheitsgemäße Angaben bleibt bei dir</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Sinnvoll bei Vorstrafen, Ablehnungen, Sonderfällen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einer einfachen Working Holiday meist unnötig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Köln) reicht die EOI für Subclass 189 mit 95 Punkten ein und wird nach 14 Monaten eingeladen. Innerhalb der 60-Tage-Frist stellen sie den Antrag für alle vier über ImmiAccount: 6.135 AUD für Thomas, anteilige Gebühren für Sandra, Emil und Clara, macht zusammen deutlich über 10.000 AUD. Die Gesundheitsuntersuchung bei einem Panel Physician in Köln kostet für die Familie rund 900 AUD, die vier Führungszeugnisse mit Apostille je 38 €. Sandra hat vor Jahren ein Jahr in Neuseeland gearbeitet und muss dafür zusätzlich ein neuseeländisches Führungszeugnis nachreichen – daran hatte am Küchentisch zunächst niemand gedacht. Nach acht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(27, Marketing, Hamburg) beantragt ihr Working-Holiday-Visum (Subclass 417) an einem Sonntagabend vom Sofa aus: Formular in ImmiAccount, 840 AUD Gebühr, keine Gesundheitsuntersuchung, kein Führungszeugnis nötig. Drei Tage später liegt die Genehmigung im Postfach – schneller, als ihr Wäschetrockner ein Programm durchläuft. Der Unterschied zum Verfahren der Familie Reinhardt könnte kaum größer sein: gleiches Land, gleiche Behörde, vollkommen andere Größenordnung.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welcher Visumtyp überhaupt infrage kommt – das entscheidet, ob ein Skills Assessment und eine EOI nötig sind oder ob 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Weg geklärt (punktebasiert, arbeitgebergesponsert, Working Holiday)</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punktebasiertem Weg: Skills Assessment beantragt, EOI in SkillSelect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ImmiAccount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 Skills Assessment, Englischtest, Gesundheitscheck, Führungszeugnisse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mit Apostille in einem Schritt über das BfAA-Portal beantragt, für jedes Land mit über 12 Monaten Aufenthalt seit dem 16. Geburtstag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zugelassenen Panel Physician terminiert, sobald die HAP-ID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Migration Agent sinnvoll ist; Registrierung im OMARA-Portal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Home-Affairs-Seite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Visa, Gebühren, ImmiAccount: </w:t>
      </w:r>
      <w:hyperlink r:id="rId442">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SkillSelect: </w:t>
      </w:r>
      <w:hyperlink r:id="rId443">
        <w:r>
          <w:rPr>
            <w:rStyle w:val="ListLabel113"/>
            <w:rFonts w:eastAsia="Cambria" w:cs="Cambria"/>
            <w:b w:val="false"/>
            <w:bCs w:val="false"/>
            <w:i w:val="false"/>
            <w:iCs w:val="false"/>
            <w:color w:val="0563C1"/>
            <w:sz w:val="22"/>
            <w:szCs w:val="22"/>
            <w:u w:val="single"/>
          </w:rPr>
          <w:t>immi.homeaffairs.gov.au/visas/working-in-australia/skillselect</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Bearbeitungszeiten: </w:t>
      </w:r>
      <w:hyperlink r:id="rId444">
        <w:r>
          <w:rPr>
            <w:rStyle w:val="ListLabel113"/>
            <w:rFonts w:eastAsia="Cambria" w:cs="Cambria"/>
            <w:b w:val="false"/>
            <w:bCs w:val="false"/>
            <w:i w:val="false"/>
            <w:iCs w:val="false"/>
            <w:color w:val="0563C1"/>
            <w:sz w:val="22"/>
            <w:szCs w:val="22"/>
            <w:u w:val="single"/>
          </w:rPr>
          <w:t>immi.homeaffairs.gov.au/visas/getting-a-visa/visa-processing-times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OMARA — Register der Migration Agents: </w:t>
      </w:r>
      <w:hyperlink r:id="rId445">
        <w:r>
          <w:rPr>
            <w:rStyle w:val="ListLabel113"/>
            <w:rFonts w:eastAsia="Cambria" w:cs="Cambria"/>
            <w:b w:val="false"/>
            <w:bCs w:val="false"/>
            <w:i w:val="false"/>
            <w:iCs w:val="false"/>
            <w:color w:val="0563C1"/>
            <w:sz w:val="22"/>
            <w:szCs w:val="22"/>
            <w:u w:val="single"/>
          </w:rPr>
          <w:t>portal.mara.gov.au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446">
        <w:r>
          <w:rPr>
            <w:rStyle w:val="ListLabel113"/>
            <w:rFonts w:eastAsia="Cambria" w:cs="Cambria"/>
            <w:b w:val="false"/>
            <w:bCs w:val="false"/>
            <w:i w:val="false"/>
            <w:iCs w:val="false"/>
            <w:color w:val="0563C1"/>
            <w:sz w:val="22"/>
            <w:szCs w:val="22"/>
            <w:u w:val="single"/>
          </w:rPr>
          <w:t>bundesjustizamt.de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Auswärtige Angelegenheiten — Apostille: </w:t>
      </w:r>
      <w:hyperlink r:id="rId447">
        <w:r>
          <w:rPr>
            <w:rStyle w:val="ListLabel113"/>
            <w:rFonts w:eastAsia="Cambria" w:cs="Cambria"/>
            <w:b w:val="false"/>
            <w:bCs w:val="false"/>
            <w:i w:val="false"/>
            <w:iCs w:val="false"/>
            <w:color w:val="0563C1"/>
            <w:sz w:val="22"/>
            <w:szCs w:val="22"/>
            <w:u w:val="single"/>
          </w:rPr>
          <w:t>bfaa.diplo.de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48">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Runde 1. Juli 2026), Bearbeitungszeiten (monatlich aktualisiert), die Priorisierung nach Ministerial Directions 121/122 (seit 19. September 2026) sowie die Details des Working-Holiday-Losverfahrens für das zweite Jahr. Prüfe vor jeder Entscheidung immi.homeaffairs.gov.au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4" w:name="__RefHeading___Toc56542_3457424410"/>
      <w:bookmarkStart w:id="115" w:name="tau06"/>
      <w:bookmarkEnd w:id="114"/>
      <w:r>
        <w:rPr>
          <w:rFonts w:eastAsia="Amazon Ember" w:cs="Amazon Ember" w:ascii="Amazon Ember" w:hAnsi="Amazon Ember"/>
          <w:b/>
          <w:bCs/>
          <w:color w:val="0000FF"/>
          <w:sz w:val="36"/>
          <w:szCs w:val="36"/>
        </w:rPr>
        <w:t>Australien: Ankunft, erste Tage und Wochen</w:t>
      </w:r>
      <w:bookmarkEnd w:id="1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 nicht, weil das Land besonders bürokratisch wäre, sondern weil fast alles gleichzeitig fällig wird.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Einreisekontrolle ist meist zügig, die anschließende Biosecurity-Kontrolle (Zoll und Einfuhrschutz für Lebensmittel, Pflanzen, Holz) dagegen streng – ehrliches Deklarieren erspart Ärger.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die australische Steuer-Identifikationsnummer)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Instituten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Ob du sofort Zugang zum staatlichen Gesundheitssystem hast, hängt vom Visumtyp ab – Permanent Residents ja, die meisten befristeten Visa nein. Mehr dazu im </w:t>
            </w:r>
            <w:hyperlink w:anchor="tau08">
              <w:r>
                <w:rPr>
                  <w:rStyle w:val="ListLabel116"/>
                  <w:rFonts w:eastAsia="Cambria" w:cs="Cambria"/>
                  <w:b w:val="false"/>
                  <w:bCs w:val="false"/>
                  <w:i w:val="false"/>
                  <w:iCs w:val="false"/>
                  <w:color w:val="0563C1"/>
                  <w:sz w:val="20"/>
                  <w:szCs w:val="20"/>
                  <w:u w:val="single"/>
                </w:rPr>
                <w:t>Kapitel zum Gesundheitssystem in diesem Teil</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richtige Wohnungssuche läuft am besten vor Ort.</w:t>
            </w:r>
          </w:p>
          <w:p>
            <w:pPr>
              <w:pStyle w:val="ListParagraph"/>
              <w:numPr>
                <w:ilvl w:val="0"/>
                <w:numId w:val="1"/>
              </w:numPr>
              <w:spacing w:lineRule="exact" w:line="264" w:before="0" w:after="50"/>
              <w:rPr/>
            </w:pPr>
            <w:r>
              <w:rPr>
                <w:rFonts w:eastAsia="Cambria" w:cs="Cambria"/>
                <w:b w:val="false"/>
                <w:bCs w:val="false"/>
                <w:i w:val="false"/>
                <w:iCs w:val="false"/>
                <w:sz w:val="20"/>
                <w:szCs w:val="20"/>
              </w:rPr>
              <w:t>Der Zeitunterschied zu Deutschland beträgt acht bis neun Stunden – plane die ersten Tage ohne wichtige Termine und ohne Autofahrten ein, gerade wegen des Linksverkehrs.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Einreisekontrolle,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Passkontrolle geht es für deutsche Reisepassinhaber an den großen Flughäfen – Melbourne, Sydney, Brisbane und weitere – oft zügig: Elektronische Grenzkontrollen (</w:t>
      </w:r>
      <w:r>
        <w:rPr>
          <w:rFonts w:eastAsia="Cambria" w:cs="Cambria"/>
          <w:b w:val="false"/>
          <w:bCs w:val="false"/>
          <w:i/>
          <w:iCs/>
          <w:sz w:val="22"/>
          <w:szCs w:val="22"/>
        </w:rPr>
        <w:t>SmartGates</w:t>
      </w:r>
      <w:r>
        <w:rPr>
          <w:rFonts w:eastAsia="Cambria" w:cs="Cambria"/>
          <w:b w:val="false"/>
          <w:bCs w:val="false"/>
          <w:i w:val="false"/>
          <w:iCs w:val="false"/>
          <w:sz w:val="22"/>
          <w:szCs w:val="22"/>
        </w:rPr>
        <w:t>)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 danach folgt die Zoll- und Biosecurity-Kontrolle, und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 die vakuumierte Extrawurst im Handgepäck zum Beispiel. Ehrliches Deklarieren kostet höchstens ein paar Minuten Nachfrage; Verschweigen kann teuer werden und im schlimmsten Fall die Einreise erschweren. Bargeld, Reiseschecks und vergleichbare Zahlungsmittel über insgesamt 10.000 AUD meldest du ebenfalls aktiv – die Anmeldung selbst ist unproblematisch, das Verschweigen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Biosecurity-Kontrollen gelten unabhängig vom Einreisegrund und für jedes Familienmitglied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kommst du meist per Zug, Bus, Taxi oder Fahrdienst wie Uber in die Stadt; an den großen Flughäfen ist der Zug oft die günstigste und schnellste Wahl in die City. Wechsle nur so viel Bargeld wie nötig am Flughafenschalter, die Kurse dort sind selten die besten – ein kleiner Betrag für Taxi oder Automat reicht,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Zeitunterschied nach Melbourne oder Sydney beträgt gegenüber Deutschland acht bis neun Stunden, je nach Sommer- und Winterzeit auf beiden Seiten der Erde –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TFN sein. Ohne sie behält dein Arbeitgeber pauschal 47 % deines Lohns ein – ein Betrag, den du dir später über die Steuererklärung zurückholst, der dir in den ersten, ohnehin teuren Wochen aber schlicht fehlt. Die Beantragung ist kostenlos und läuft über die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entweder online mit ausreichend belastbarer digitaler Identität oder im persönlichen Interview bei einer teilnehmenden Filiale der Australia Post. Für frisch eingereiste Migranten ist ein australischer Wohnsitznachweis meist Voraussetzung, weshalb sich die Beantragung in der Praxis erst nach den ersten Tagen vor Ort erledigen lässt, nicht schon vom Hotelzimmer aus am Ankunftstag.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 – hier zählt vor allem: früh anmelden, nicht aufschieben.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TFN ist reine Steuer- und Superannuation-Nummer. Für das Gesundheitssystem und für Sozialleistungen meldest du dich separat bei </w:t>
            </w:r>
            <w:r>
              <w:rPr>
                <w:rFonts w:eastAsia="Cambria" w:cs="Cambria"/>
                <w:b w:val="false"/>
                <w:bCs w:val="false"/>
                <w:i/>
                <w:iCs/>
                <w:sz w:val="20"/>
                <w:szCs w:val="20"/>
              </w:rPr>
              <w:t>Services Australia</w:t>
            </w:r>
            <w:r>
              <w:rPr>
                <w:rFonts w:eastAsia="Cambria" w:cs="Cambria"/>
                <w:b w:val="false"/>
                <w:bCs w:val="false"/>
                <w:i w:val="false"/>
                <w:iCs w:val="false"/>
                <w:sz w:val="20"/>
                <w:szCs w:val="20"/>
              </w:rPr>
              <w:t xml:space="preserve"> (der Behörde für Sozial- und Gesundheitsleistungen) an – dazu gleich mehr.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Bankkonto brauchst du für Gehalt, Miete und den Alltag – und die gute Nachricht: Bei mehreren australischen Großbanken lässt es sich schon von Deutschland aus online vorbereiten, teils Wochen oder sogar Monate vor dem Abflug. Nutze das, wenn dein Zielinstitut es anbietet, denn dann bist du vom ersten Arbeitstag an zahlungsfähig, statt in der turbulentesten Woche noch einen Filialtermin einzuschieben. Ohne Voreröffnung holst du das nach der Landung nach; alle vier Großbanken verlangen dafür einmalig eine persönliche Identifizierung mit Pass und Visumsnachweis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ohne TFN und ohne feste Adresse lässt sich meist ein Übergangskonto eröffnen – reiche die TFN aber zügig nach, sonst greift auch bei Zinserträgen die hohe Vorsteuer. Welche Bank sich lohnt, wie die Kontoführung gebührenfrei bleibt und wie du dir überhaupt erst eine australische Kreditwürdigkeit aufbaust, steht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oder private Versicherung: der erste Unterschied, der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Noch bevor der erste Arztbesuch ansteht, lohnt sich Klarheit über einen Punkt, den viele Neuankömmlinge falsch einschätzen: Nicht jeder, der in Australien lebt, hat automatisch Zugang zu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dem staatlichen Krankenversicherungssystem. Wer mit einem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-Visum (PR-Visum, einer unbefristeten Aufenthaltserlaubnis) ankommt – etwa nach dem punktebasierten Weg wie Subclass 189 –, kann sich ab dem ersten Tag bei Services Australia anmelden: persönlich, mit Pass, Visumsnachweis und einem Adressnachweis. Wer dagegen mit einem befristeten Visum einreist – Working Holiday, Studium, die meisten Arbeitsvisa –, hat in aller Regel </w:t>
      </w:r>
      <w:r>
        <w:rPr>
          <w:rFonts w:eastAsia="Cambria" w:cs="Cambria"/>
          <w:b/>
          <w:bCs/>
          <w:i w:val="false"/>
          <w:iCs w:val="false"/>
          <w:sz w:val="22"/>
          <w:szCs w:val="22"/>
        </w:rPr>
        <w:t>keinen</w:t>
      </w:r>
      <w:r>
        <w:rPr>
          <w:rFonts w:eastAsia="Cambria" w:cs="Cambria"/>
          <w:b w:val="false"/>
          <w:bCs w:val="false"/>
          <w:i w:val="false"/>
          <w:iCs w:val="false"/>
          <w:sz w:val="22"/>
          <w:szCs w:val="22"/>
        </w:rPr>
        <w:t xml:space="preserve"> Medicare-Zugang und ist auf eine private Versicherung angewiesen, solange das befristete Visum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Staatsangehörige kommt erschwerend hinzu, was viele erst hier erfahren: Australien hat mit elf Ländern ein Gegenseitigkeitsabkommen zur medizinischen Grundversorgung geschlossen, darunter mit Belgien, den Niederlanden und Italien – </w:t>
      </w:r>
      <w:r>
        <w:rPr>
          <w:rFonts w:eastAsia="Cambria" w:cs="Cambria"/>
          <w:b/>
          <w:bCs/>
          <w:i w:val="false"/>
          <w:iCs w:val="false"/>
          <w:sz w:val="22"/>
          <w:szCs w:val="22"/>
        </w:rPr>
        <w:t>aber nicht mit Deutschland</w:t>
      </w:r>
      <w:r>
        <w:rPr>
          <w:rFonts w:eastAsia="Cambria" w:cs="Cambria"/>
          <w:b w:val="false"/>
          <w:bCs w:val="false"/>
          <w:i w:val="false"/>
          <w:iCs w:val="false"/>
          <w:sz w:val="22"/>
          <w:szCs w:val="22"/>
        </w:rPr>
        <w:t xml:space="preserve">. Warum ausgerechnet dieser Unterschied zwischen EU-Nachbarn eine ganze Kostenfrage entscheidet, erklärt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 Für die ersten Wochen reicht die Kurzfassung: Ohne PR-Status brauchst du vom ersten Tag an eine private Auslands- oder Studierendenkrankenversicherung, nicht erst, wenn tatsächlich etwas passiert.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Australien nicht mit den europäischen Ländern, die ein solches Abkommen haben. Wer aus Gewohnheit annimmt, als EU-Bürger schon irgendwie abgesichert zu sein, steht im Ernstfall ohne Deckung da – und private Behandlung in Australien ist kein Posten, den du nebenbei aus der Reisekasse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landet mit dem bereits bewilligten Subclass-189-Visum in Melbourne – als Permanent Residents von Tag eins an. In der zweiten Woche gehen sie gemeinsam zu einem Service-Center von Services Australia, Pässe und Visumsbestätigung in der Mappe, und melden alle vier für das Gesundheitssystem an. Die Karten kommen einige Tage später per Post. Bis dahin gilt für die Familie noch die Auslandskrankenversicherung aus Deutschland – niemand wäre auf die Idee gekommen, das erste Fieber der Kinder ganz ohne jede Absicherung abzuwarten.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 für den Anfang die unkompliziertere Wahl. Behalte deine deutsche Nummer als Zweit-SIM, solange dort noch SMS-Codes von Bank oder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 Steckdosen und erste Einkäufe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gute Nachricht vorweg: Anders als in den USA oder Kanada läuft das Stromnetz in Australien mit 230–240 Volt, genau wie in Deutschland. Mitgebrachte Elektrogeräte funktionieren also technisch problemlos weiter, nur die Steckdose sieht anders aus. Australische Steckdosen folgen dem Typ I mit charakteristisch schräg stehenden Flachkontakten; ein einfacher Reiseadapter reicht deshalb für praktisch jedes deutsche Gerät. Was sich mitzunehmen lohnt und was du besser vor Ort neu kaufst, behandelt das Universal-Kapitel zu diesem Thema.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w:t>
      </w:r>
      <w:r>
        <w:rPr>
          <w:rFonts w:eastAsia="Cambria" w:cs="Cambria"/>
          <w:b w:val="false"/>
          <w:bCs w:val="false"/>
          <w:i/>
          <w:iCs/>
          <w:sz w:val="22"/>
          <w:szCs w:val="22"/>
        </w:rPr>
        <w:t>Goods and Services Tax</w:t>
      </w:r>
      <w:r>
        <w:rPr>
          <w:rFonts w:eastAsia="Cambria" w:cs="Cambria"/>
          <w:b w:val="false"/>
          <w:bCs w:val="false"/>
          <w:i w:val="false"/>
          <w:iCs w:val="false"/>
          <w:sz w:val="22"/>
          <w:szCs w:val="22"/>
        </w:rPr>
        <w:t>, GST) – anders als du es aus den USA kennst, kommt an der Kasse in Australien also nichts mehr dazu.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Adresse in Australien ist selten die endgültige –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 viele Vermieter verlangen sie als Teil der Bewerbungsunterlagen.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und wer zur Besichtigung ohne vollständige Unterlagen erscheint, ist faktisch schon aus dem Rennen. Rechne von Anfang an mit einer Kaution (</w:t>
      </w:r>
      <w:r>
        <w:rPr>
          <w:rFonts w:eastAsia="Cambria" w:cs="Cambria"/>
          <w:b w:val="false"/>
          <w:bCs w:val="false"/>
          <w:i/>
          <w:iCs/>
          <w:sz w:val="22"/>
          <w:szCs w:val="22"/>
        </w:rPr>
        <w:t>Rental Bond</w:t>
      </w:r>
      <w:r>
        <w:rPr>
          <w:rFonts w:eastAsia="Cambria" w:cs="Cambria"/>
          <w:b w:val="false"/>
          <w:bCs w:val="false"/>
          <w:i w:val="false"/>
          <w:iCs w:val="false"/>
          <w:sz w:val="22"/>
          <w:szCs w:val="22"/>
        </w:rPr>
        <w:t xml:space="preserve">), die bei Vertragsabschluss meist bei einer staatlichen Treuhandstelle hinterlegt wird, nicht direkt beim Vermieter – das schützt beide Seiten, verlangt aber zusätzlich Bargeld auf der hohen Kante, bevor überhaupt die erste Monatsmiete fällig wird. Mietpreise, die genaue Kautionshöhe und die besten Stadtteile je nach Berufsfeld und Klima behandelt das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Flug, Visumtyp und Wohnort ab.</w:t>
      </w:r>
    </w:p>
    <w:tbl>
      <w:tblPr>
        <w:tblW w:w="6480" w:type="dxa"/>
        <w:jc w:val="left"/>
        <w:tblInd w:w="0" w:type="dxa"/>
        <w:tblLayout w:type="fixed"/>
        <w:tblCellMar>
          <w:top w:w="50" w:type="dxa"/>
          <w:left w:w="80" w:type="dxa"/>
          <w:bottom w:w="50" w:type="dxa"/>
          <w:right w:w="80" w:type="dxa"/>
        </w:tblCellMar>
      </w:tblPr>
      <w:tblGrid>
        <w:gridCol w:w="1174"/>
        <w:gridCol w:w="3067"/>
        <w:gridCol w:w="2239"/>
      </w:tblGrid>
      <w:tr>
        <w:trPr>
          <w:tblHeader w:val="true"/>
          <w:cantSplit w:val="true"/>
        </w:trPr>
        <w:tc>
          <w:tcPr>
            <w:tcW w:w="11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Übergangsunterkunft beziehen, SIM aktivieren, Familie und Arbeitgeber informieren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beantragen, sobald ein Wohnsitznachweis vorliegt; Bankkonto eröffnen oder vor Ort verifizieren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3–7</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PR-Status: Anmeldung beim Gesundheitssystem bei Services Australia; sonst private Versicherungspolice prüfen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Besichtigungstermine, Bewerbungsmappe vorbereiten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Fragen zu Steuerklasse und Superannuation-Fondswahl mit dem Arbeitgeber klären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reist mit dem Working-Holiday-Visum (Subclass 417) nach Sydney, zunächst für zwei Wochen in ein Hostel im Stadtteil Bondi gebucht. Am dritten Tag holt sie ihre online vorbereitete Prepaid-SIM ab, am fünften Tag steht sie bei einer Filiale einer Großbank Schlange, um ihr vorab online beantragtes Konto zu verifizieren. Die TFN beantragt sie, sobald sie eine erste, befristete Zimmeradresse als WG-Zwischenmieterin vorweisen kann. Eine Anmeldung beim staatlichen Gesundheitssystem kommt für sie nicht infrage – als befristete Visuminhaberin schließt sie stattdessen noch von Deutschland aus eine private Auslandskrankenversicherung ab, die ab dem Ankunftstag gilt.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erst nach Ankunft mit Adressnachweis beantragbar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und ohne Bonitätsprüfung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Wohnungsmarkt in Melbourne und Sydney sehr kompetitiv</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haben ab Tag eins vollen Zugang zum Gesundheitssystem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von Anfang an private Versicherung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gründlich, aber meist schnell erledigt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 Deklarationspflicht bei Lebensmitteln und Naturprodukten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Visumsbestätigung und wichtige Dokumente ausgedruckt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TFN-Antrag vorbereitet, sobald ein Wohnsitznachweis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Termin für die Anmeldung beim Gesundheitssystem bei Services Australia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private Versicherungspolice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Einreise, ImmiAccount: </w:t>
      </w:r>
      <w:hyperlink r:id="rId449">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Border Force — Biosecurity und Zoll bei der Einreise: </w:t>
      </w:r>
      <w:hyperlink r:id="rId450">
        <w:r>
          <w:rPr>
            <w:rStyle w:val="ListLabel113"/>
            <w:rFonts w:eastAsia="Cambria" w:cs="Cambria"/>
            <w:b w:val="false"/>
            <w:bCs w:val="false"/>
            <w:i w:val="false"/>
            <w:iCs w:val="false"/>
            <w:color w:val="0563C1"/>
            <w:sz w:val="22"/>
            <w:szCs w:val="22"/>
            <w:u w:val="single"/>
          </w:rPr>
          <w:t>abf.gov.au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Tax File Number: </w:t>
      </w:r>
      <w:hyperlink r:id="rId451">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Anmeldung beim Gesundheitssystem: </w:t>
      </w:r>
      <w:hyperlink r:id="rId452">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53">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Biosecurity- und Zollregeln, TFN-Verfahren, Bankkonditionen für Neuankömmlinge sowie die Anmeldung beim Gesundheitssystem. Prüfe vor der Einreise die aktuellen Seiten von Home Affairs, Australian Border Force und Services Australia.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6" w:name="__RefHeading___Toc56544_3457424410"/>
      <w:bookmarkStart w:id="117" w:name="tau07"/>
      <w:bookmarkEnd w:id="116"/>
      <w:r>
        <w:rPr>
          <w:rFonts w:eastAsia="Amazon Ember" w:cs="Amazon Ember" w:ascii="Amazon Ember" w:hAnsi="Amazon Ember"/>
          <w:b/>
          <w:bCs/>
          <w:color w:val="0000FF"/>
          <w:sz w:val="36"/>
          <w:szCs w:val="36"/>
        </w:rPr>
        <w:t>Australien: Steuer-ID, Bank, Kredit aufbauen</w:t>
      </w:r>
      <w:bookmarkEnd w:id="11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erste Gehaltsabrechnung in Australien kommt – und fast die Hälfte fehlt. Kein Rechenfehler der Personalabteilung, sondern die Quittung dafür, dass du ein einziges Formular noch nicht eingereicht hast: die </w:t>
      </w:r>
      <w:r>
        <w:rPr>
          <w:rFonts w:eastAsia="Cambria" w:cs="Cambria"/>
          <w:b w:val="false"/>
          <w:bCs w:val="false"/>
          <w:i/>
          <w:iCs/>
          <w:sz w:val="22"/>
          <w:szCs w:val="22"/>
        </w:rPr>
        <w:t>Tax File Number</w:t>
      </w:r>
      <w:r>
        <w:rPr>
          <w:rFonts w:eastAsia="Cambria" w:cs="Cambria"/>
          <w:b w:val="false"/>
          <w:bCs w:val="false"/>
          <w:i w:val="false"/>
          <w:iCs w:val="false"/>
          <w:sz w:val="22"/>
          <w:szCs w:val="22"/>
        </w:rPr>
        <w:t xml:space="preserve">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 ganz ohne mitgebrachte Schufa-Historie – eine australische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Das Finanzjahr läuft vom 1. Juli bis 30. Juni. Steuersätze 2026–27 für Ansässige: 0 % bis 18.200 AUD, dann steigend bis 45 % über 190.000 AUD; Working-Holiday-Reisende zahlen ab dem ersten verdienten Dollar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kostet Ansässige pauschal 2,0 % des zu versteuernden Einkommens; Besserverdiener ohne private Krankenhausversicherung zahlen zusätzlich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 xml:space="preserve"> von 1,0 bis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Dein Arbeitgeber zahlt verpflichtend 12,0 % deines Lohns in deine </w:t>
            </w:r>
            <w:r>
              <w:rPr>
                <w:rFonts w:eastAsia="Cambria" w:cs="Cambria"/>
                <w:b w:val="false"/>
                <w:bCs w:val="false"/>
                <w:i/>
                <w:iCs/>
                <w:sz w:val="20"/>
                <w:szCs w:val="20"/>
              </w:rPr>
              <w:t>Superannuation</w:t>
            </w:r>
            <w:r>
              <w:rPr>
                <w:rFonts w:eastAsia="Cambria" w:cs="Cambria"/>
                <w:b w:val="false"/>
                <w:bCs w:val="false"/>
                <w:i w:val="false"/>
                <w:iCs w:val="false"/>
                <w:sz w:val="20"/>
                <w:szCs w:val="20"/>
              </w:rPr>
              <w:t xml:space="preserve"> (kapitalgedeckte Altersvorsorge) ein – dein Geld, nicht seines.</w:t>
            </w:r>
          </w:p>
          <w:p>
            <w:pPr>
              <w:pStyle w:val="ListParagraph"/>
              <w:numPr>
                <w:ilvl w:val="0"/>
                <w:numId w:val="1"/>
              </w:numPr>
              <w:spacing w:lineRule="exact" w:line="264" w:before="0" w:after="50"/>
              <w:rPr/>
            </w:pPr>
            <w:r>
              <w:rPr>
                <w:rFonts w:eastAsia="Cambria" w:cs="Cambria"/>
                <w:b w:val="false"/>
                <w:bCs w:val="false"/>
                <w:i w:val="false"/>
                <w:iCs w:val="false"/>
                <w:sz w:val="20"/>
                <w:szCs w:val="20"/>
              </w:rPr>
              <w:t>Verlässt du Australien dauerhaft, kannst du dir das Superguthaben auszahlen lassen (</w:t>
            </w:r>
            <w:r>
              <w:rPr>
                <w:rFonts w:eastAsia="Cambria" w:cs="Cambria"/>
                <w:b w:val="false"/>
                <w:bCs w:val="false"/>
                <w:i/>
                <w:iCs/>
                <w:sz w:val="20"/>
                <w:szCs w:val="20"/>
              </w:rPr>
              <w:t>DASP</w:t>
            </w:r>
            <w:r>
              <w:rPr>
                <w:rFonts w:eastAsia="Cambria" w:cs="Cambria"/>
                <w:b w:val="false"/>
                <w:bCs w:val="false"/>
                <w:i w:val="false"/>
                <w:iCs w:val="false"/>
                <w:sz w:val="20"/>
                <w:szCs w:val="20"/>
              </w:rPr>
              <w:t>) – allerdings mit einer Steuer von 35 bis 65 %.</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Banken schon vor der Einreise online eröffnen; deine deutsche Bonität zählt dabei nichts, Kreditwürdigkeit baust du in Australien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deine Basis im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ist die zentrale Steuernummer der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w:t>
      </w:r>
      <w:r>
        <w:rPr>
          <w:rFonts w:eastAsia="Cambria" w:cs="Cambria"/>
          <w:b w:val="false"/>
          <w:bCs w:val="false"/>
          <w:i/>
          <w:iCs/>
          <w:sz w:val="22"/>
          <w:szCs w:val="22"/>
        </w:rPr>
        <w:t>myID</w:t>
      </w:r>
      <w:r>
        <w:rPr>
          <w:rFonts w:eastAsia="Cambria" w:cs="Cambria"/>
          <w:b w:val="false"/>
          <w:bCs w:val="false"/>
          <w:i w:val="false"/>
          <w:iCs w:val="false"/>
          <w:sz w:val="22"/>
          <w:szCs w:val="22"/>
        </w:rPr>
        <w:t>,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 informiere dich bei der Antragstellung direkt bei der ATO über den für dich richtigen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an einem deiner ersten Tage in Australien, nicht erst, wenn die erste Abrechnung dich überrascht.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gilt ausschließlich für Steuer- und Superannuation-Zwecke. Für Medicare (siehe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und für Sozialleistungen über </w:t>
      </w:r>
      <w:r>
        <w:rPr>
          <w:rFonts w:eastAsia="Cambria" w:cs="Cambria"/>
          <w:b w:val="false"/>
          <w:bCs w:val="false"/>
          <w:i/>
          <w:iCs/>
          <w:sz w:val="22"/>
          <w:szCs w:val="22"/>
        </w:rPr>
        <w:t>Centrelink</w:t>
      </w:r>
      <w:r>
        <w:rPr>
          <w:rFonts w:eastAsia="Cambria" w:cs="Cambria"/>
          <w:b w:val="false"/>
          <w:bCs w:val="false"/>
          <w:i w:val="false"/>
          <w:iCs w:val="false"/>
          <w:sz w:val="22"/>
          <w:szCs w:val="22"/>
        </w:rPr>
        <w:t xml:space="preserve"> brauchst du separate Anmeldungen bei Services Australia – die eine Nummer öffnet nicht automatisch alle Türen, so verlockend das wäre.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Steuersystem: ATO, Finanzjahr und wer wie viel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Australiens Finanzjahr läuft vom 1. Juli bis zum 30. Juni, nicht wie in Deutschland parallel zum Kalenderjahr – ein Detail, das dich bei jeder Fristangabe kurz stutzen lässt, bis du dich daran gewöhnt hast. Für 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für Steuerzwecke) gilt 2026–27 ein progressiver Tarif mit steuerfreiem Grundbetrag:</w:t>
      </w:r>
    </w:p>
    <w:tbl>
      <w:tblPr>
        <w:tblW w:w="6480" w:type="dxa"/>
        <w:jc w:val="left"/>
        <w:tblInd w:w="0" w:type="dxa"/>
        <w:tblLayout w:type="fixed"/>
        <w:tblCellMar>
          <w:top w:w="50" w:type="dxa"/>
          <w:left w:w="80" w:type="dxa"/>
          <w:bottom w:w="50" w:type="dxa"/>
          <w:right w:w="80" w:type="dxa"/>
        </w:tblCellMar>
      </w:tblPr>
      <w:tblGrid>
        <w:gridCol w:w="1960"/>
        <w:gridCol w:w="4519"/>
      </w:tblGrid>
      <w:tr>
        <w:trPr>
          <w:tblHeader w:val="true"/>
          <w:cantSplit w:val="true"/>
        </w:trPr>
        <w:tc>
          <w:tcPr>
            <w:tcW w:w="19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45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18.200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18.201–45.000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45.001–135.000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135.001–190.000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190.000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zweite Satz sank zum 1. Juli 2026 von 16 auf 15 %. Dazu kommt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im Jahr; mit ihr liegt die effektive Steuerfreigrenze für die meisten Ansässigen bei etwa 22.867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für Steuerzwecke nicht als australischer Ansässiger gilt (</w:t>
      </w:r>
      <w:r>
        <w:rPr>
          <w:rFonts w:eastAsia="Cambria" w:cs="Cambria"/>
          <w:b w:val="false"/>
          <w:bCs w:val="false"/>
          <w:i/>
          <w:iCs/>
          <w:sz w:val="22"/>
          <w:szCs w:val="22"/>
        </w:rPr>
        <w:t>Foreign Resident</w:t>
      </w:r>
      <w:r>
        <w:rPr>
          <w:rFonts w:eastAsia="Cambria" w:cs="Cambria"/>
          <w:b w:val="false"/>
          <w:bCs w:val="false"/>
          <w:i w:val="false"/>
          <w:iCs w:val="false"/>
          <w:sz w:val="22"/>
          <w:szCs w:val="22"/>
        </w:rPr>
        <w:t>, die genauen Kriterien wie der Wohnsitz- und der 183-Tage-Test sind ein eigenes, komplexes Thema), zahlt ohne jeden Steuerfreibetrag: 30 % bis 135.000 AUD, 37 % bis 190.000 AUD, 45 % darüber – dafür entfällt für Steuerausländer die Medicare Levy, weil ohnehin kein Medicare-Zugang besteht.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Neuankömmlinge nehmen an, der steuerfreie Grundbetrag gelte für jeden, der in Australien arbeitet. Für Inhaber eines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 ein Fall für den Steuerberater, nicht für eigenes Rechnen auf der Rückseite eines Bierdeckels.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 für diesen Fall lässt sich bei der Steuererklärung eine Befreiung geltend machen, was sich vor der ersten Erklärung mit einem Steuerberater zu klären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gut verdient und keine private Krankenhausversicherung hat, zahlt zusätzlich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w:t>
      </w:r>
    </w:p>
    <w:tbl>
      <w:tblPr>
        <w:tblW w:w="6480" w:type="dxa"/>
        <w:jc w:val="left"/>
        <w:tblInd w:w="0" w:type="dxa"/>
        <w:tblLayout w:type="fixed"/>
        <w:tblCellMar>
          <w:top w:w="50" w:type="dxa"/>
          <w:left w:w="80" w:type="dxa"/>
          <w:bottom w:w="50" w:type="dxa"/>
          <w:right w:w="80" w:type="dxa"/>
        </w:tblCellMar>
      </w:tblPr>
      <w:tblGrid>
        <w:gridCol w:w="2280"/>
        <w:gridCol w:w="2436"/>
        <w:gridCol w:w="1764"/>
      </w:tblGrid>
      <w:tr>
        <w:trPr>
          <w:tblHeader w:val="true"/>
          <w:cantSplit w:val="true"/>
        </w:trPr>
        <w:tc>
          <w:tcPr>
            <w:tcW w:w="2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(Singles)</w:t>
            </w:r>
          </w:p>
        </w:tc>
        <w:tc>
          <w:tcPr>
            <w:tcW w:w="24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(Familien)</w:t>
            </w:r>
          </w:p>
        </w:tc>
        <w:tc>
          <w:tcPr>
            <w:tcW w:w="17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MLS-Satz</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105.000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210.000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123.000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246.000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164.000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328.000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Familienschwelle steigt ab dem zweiten Kind um jeweils 1.500 AUD. Für die meisten Neuankömmlinge auf befristeten Visa ist die MLS in der Praxis kein Thema: Wer ohnehin keinen Medicare-Zugang hat und stattdessen zwingend eine private Auslandskrankenversicherung (</w:t>
      </w:r>
      <w:r>
        <w:rPr>
          <w:rFonts w:eastAsia="Cambria" w:cs="Cambria"/>
          <w:b w:val="false"/>
          <w:bCs w:val="false"/>
          <w:i/>
          <w:iCs/>
          <w:sz w:val="22"/>
          <w:szCs w:val="22"/>
        </w:rPr>
        <w:t>OVHC</w:t>
      </w:r>
      <w:r>
        <w:rPr>
          <w:rFonts w:eastAsia="Cambria" w:cs="Cambria"/>
          <w:b w:val="false"/>
          <w:bCs w:val="false"/>
          <w:i w:val="false"/>
          <w:iCs w:val="false"/>
          <w:sz w:val="22"/>
          <w:szCs w:val="22"/>
        </w:rPr>
        <w:t xml:space="preserve">) abschließen muss, zahlt keine MLS, weil diese nur für Medicare-Berechtigte ohne Krankenhausversicherung greift. Erst mit dem </w:t>
      </w:r>
      <w:r>
        <w:rPr>
          <w:rFonts w:eastAsia="Cambria" w:cs="Cambria"/>
          <w:b w:val="false"/>
          <w:bCs w:val="false"/>
          <w:i/>
          <w:iCs/>
          <w:sz w:val="22"/>
          <w:szCs w:val="22"/>
        </w:rPr>
        <w:t>Permanent-Resident</w:t>
      </w:r>
      <w:r>
        <w:rPr>
          <w:rFonts w:eastAsia="Cambria" w:cs="Cambria"/>
          <w:b w:val="false"/>
          <w:bCs w:val="false"/>
          <w:i w:val="false"/>
          <w:iCs w:val="false"/>
          <w:sz w:val="22"/>
          <w:szCs w:val="22"/>
        </w:rPr>
        <w:t>-Status und entsprechendem Einkommen wird die MLS relevant – dann lohnt sich der Vergleich, ob eine private Krankenhausversicherung nicht am Ende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die Pflichtvorsorge deines Arbeitgebers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Superannuation ist Australiens verpflichtende, kapitalgedeckte Altersvorsorge – am ehesten vergleichbar mit einer Mischung aus deutscher gesetzlicher Rente und betrieblicher Altersvorsorge, nur dass das Guthaben auf einem persönlichen Konto liegt und dir gehört. Dein Arbeitgeber zahlt den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(SG) obendrauf zu deinem Gehalt in einen Superfonds ein, seit dem 1. Juli 2025 in Höhe von 12,0 % deines gewöhnlichen Arbeitsentgelts – die letzte gesetzlich vorgesehene Erhöhungsstufe, weitere automatische Steigerungen sind derzeit nicht terminiert. Ab dem 1. Juli 2026 gilt außerdem „Payday Super“: Arbeitgeber müssen die Beiträge zeitgleich mit dem Lohn überweisen, nicht mehr gesammelt im Quartal.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Binnen 28 Tagen nach Arbeitsbeginn erhältst du vom Arbeitgeber ein Formular zur Fondswahl. Wählst du keinen eigenen Fonds, sucht der Arbeitgeber zunächst nach einem bereits vorhandenen, bei der ATO hinterlegten Fonds aus einem früheren Job (</w:t>
      </w:r>
      <w:r>
        <w:rPr>
          <w:rFonts w:eastAsia="Cambria" w:cs="Cambria"/>
          <w:b w:val="false"/>
          <w:bCs w:val="false"/>
          <w:i/>
          <w:iCs/>
          <w:sz w:val="22"/>
          <w:szCs w:val="22"/>
        </w:rPr>
        <w:t>Stapled Fund</w:t>
      </w:r>
      <w:r>
        <w:rPr>
          <w:rFonts w:eastAsia="Cambria" w:cs="Cambria"/>
          <w:b w:val="false"/>
          <w:bCs w:val="false"/>
          <w:i w:val="false"/>
          <w:iCs w:val="false"/>
          <w:sz w:val="22"/>
          <w:szCs w:val="22"/>
        </w:rPr>
        <w:t>); existiert keiner, greift der betriebliche Standardfonds. Es lohnt sich, aktiv zu wählen, statt es dem Zufall zu überlassen – ein Fondswechsel später ist möglich, aber mit Aufwand verbunden.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Superannuation ist dein Geld, kein freiwilliges Extra des Arbeitgebers und keine Sozialabgabe, die im System verschwindet. Der reguläre Zugriff ist erst ab dem sogenannten </w:t>
            </w:r>
            <w:r>
              <w:rPr>
                <w:rFonts w:eastAsia="Cambria" w:cs="Cambria"/>
                <w:b w:val="false"/>
                <w:bCs w:val="false"/>
                <w:i/>
                <w:iCs/>
                <w:sz w:val="20"/>
                <w:szCs w:val="20"/>
              </w:rPr>
              <w:t>Preservation Age</w:t>
            </w:r>
            <w:r>
              <w:rPr>
                <w:rFonts w:eastAsia="Cambria" w:cs="Cambria"/>
                <w:b w:val="false"/>
                <w:bCs w:val="false"/>
                <w:i w:val="false"/>
                <w:iCs w:val="false"/>
                <w:sz w:val="20"/>
                <w:szCs w:val="20"/>
              </w:rPr>
              <w:t xml:space="preserve"> möglich, einheitlich 60 Jahre für alle nach 1964 Geborenen – für die meisten Neueinwanderer also erst in ferner Zukunft.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Wegzug: Was mit der Superannuation passiert (DASP)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Australien als Steuerausländer dauerhaft verlässt und das Visum aufgibt, kann sich das angesparte Superguthaben auszahlen lassen – der </w:t>
      </w:r>
      <w:r>
        <w:rPr>
          <w:rFonts w:eastAsia="Cambria" w:cs="Cambria"/>
          <w:b w:val="false"/>
          <w:bCs w:val="false"/>
          <w:i/>
          <w:iCs/>
          <w:sz w:val="22"/>
          <w:szCs w:val="22"/>
        </w:rPr>
        <w:t>Departing Australia Superannuation Payment</w:t>
      </w:r>
      <w:r>
        <w:rPr>
          <w:rFonts w:eastAsia="Cambria" w:cs="Cambria"/>
          <w:b w:val="false"/>
          <w:bCs w:val="false"/>
          <w:i w:val="false"/>
          <w:iCs w:val="false"/>
          <w:sz w:val="22"/>
          <w:szCs w:val="22"/>
        </w:rPr>
        <w:t xml:space="preserve"> (DASP). Der Haken liegt im Steuersatz: 65 % auf den steuerpflichtigen Anteil für (ehemalige) Inhaber eines Working-Holiday-Visums (417/462), sobald irgendein Teil des Guthabens aus einer solchen Beschäftigungsperiode stammt, auch wenn später ein anderes Visum galt; 35 % für die meisten anderen befristeten Aufenthaltstitel. Diese Steuer wird final einbehalten, eine Erstattung über die reguläre Steuererklärung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Von zwölf Prozent Pflichtbeitrag, die über Monate oder Jahre angespart wurden, bleiben bei der Working-Holiday-DASP-Steuer nur gut ein Drittel übrig, wenn du das Land endgültig verlässt. Rechne das realistisch in deine Reisekasse ein – der Kontostand im Super-Fonds ist beim Abflug deutlich weniger wert, als er auf dem Papier aussieht.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einem Working-Holiday-Visum (417 — für deutsche Staatsangehörige die einzige Working-Holiday-Kategorie, 462 gilt nur für andere Länder) nach Sydney und jobbt zunächst in der Gastronomie und auf einer Farm in Queensland. Über eineinhalb Jahre sammelt sich auf ihrem Superfonds ein kleines Guthaben aus den 12 % Arbeitgeberbeiträgen an. Als sie später über einen gefundenen Arbeitgeber auf ein Skilled-Visum wechselt und in Sydney bleiben will, lässt sie das Guthaben unangetastet weiterlaufen – gut so, denn selbst der Teil aus der Skilled-Phase würde bei einer Ausreise mit dem hohen 65-%-Satz belegt, sobald der Fonds Working-Holiday-Beiträge enthält. Erst mit einer Green-Card-ähnlichen, dauerhaften Aufenthaltserlaubnis entfällt das DASP-Thema endgültig.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(in der Regel Pass, Visumsnachweis und ein weiteres Ausweisdokument).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Eröffne dein Konto, wenn möglich, online, bevor du fliegst. Dann bist du vom ersten Arbeitstag an zahlungsfähig, statt in der ersten, ohnehin turbulenten Woche noch einen Bankbesuch einschieben zu müssen.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sich häufig und lohnen einen Vergleich direkt auf den Bank-Websites vor der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das australische Auskunftssystem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den meisten Ländern zählt deine deutsche Schufa-Historie in Australien nichts – du startest ohne jede lokale Kredithistorie, unabhängig davon, wie makellos dein deutsches Zahlungsverhalten war. Drei Auskunfteien – Equifax, Experian und Illion – führen jeweils eigene Kreditauskünfte mit unterschiedlichen Skalen (Equifax 0–1.200, Experian und Illion 0–1.000 Punkte) und teils unterschiedlichen Werten, weil nicht jeder Anbieter an jede Auskunftei meldet. Seit der Einführung des </w:t>
      </w:r>
      <w:r>
        <w:rPr>
          <w:rFonts w:eastAsia="Cambria" w:cs="Cambria"/>
          <w:b w:val="false"/>
          <w:bCs w:val="false"/>
          <w:i/>
          <w:iCs/>
          <w:sz w:val="22"/>
          <w:szCs w:val="22"/>
        </w:rPr>
        <w:t>Comprehensive Credit Reporting</w:t>
      </w:r>
      <w:r>
        <w:rPr>
          <w:rFonts w:eastAsia="Cambria" w:cs="Cambria"/>
          <w:b w:val="false"/>
          <w:bCs w:val="false"/>
          <w:i w:val="false"/>
          <w:iCs w:val="false"/>
          <w:sz w:val="22"/>
          <w:szCs w:val="22"/>
        </w:rPr>
        <w:t xml:space="preserve"> (umfassende Kreditauskunft, seit 2018 möglich, seit 2022 branchenweit Standard) zählen nicht mehr nur negative Einträge wie Zahlungsausfälle, sondern auch pünktliche Zahlungen positiv in den Score ein – für Neuankömmlinge ohne jede Historie ein Vorteil, weil sich eine saubere Zahlungsweise entsprechend schnell bemerkbar macht.</w:t>
      </w:r>
    </w:p>
    <w:tbl>
      <w:tblPr>
        <w:tblW w:w="6480" w:type="dxa"/>
        <w:jc w:val="left"/>
        <w:tblInd w:w="0" w:type="dxa"/>
        <w:tblLayout w:type="fixed"/>
        <w:tblCellMar>
          <w:top w:w="50" w:type="dxa"/>
          <w:left w:w="80" w:type="dxa"/>
          <w:bottom w:w="50" w:type="dxa"/>
          <w:right w:w="80" w:type="dxa"/>
        </w:tblCellMar>
      </w:tblPr>
      <w:tblGrid>
        <w:gridCol w:w="1678"/>
        <w:gridCol w:w="2642"/>
        <w:gridCol w:w="2160"/>
      </w:tblGrid>
      <w:tr>
        <w:trPr>
          <w:tblHeader w:val="true"/>
          <w:cantSplit w:val="true"/>
        </w:trPr>
        <w:tc>
          <w:tcPr>
            <w:tcW w:w="1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6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Kreditauskunft (Australien)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Bureaus (Equifax, Experian, Illion), mit abweichenden Werten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Bureau unterschiedlich (z. B. 0–1.200 bei Equifax)</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nach Australien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Import der Historie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Historie, unabhängig von der deutschen Bonität</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zählt</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allem Zahlungsausfälle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CCR auch positive Zahlungshistorie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beginnst du den Aufbau am besten mit einem laufenden Girokonto samt Debitkarte, pünktlich bezahlten Mobilfunk- und 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w:t>
      </w:r>
      <w:r>
        <w:rPr>
          <w:rFonts w:eastAsia="Cambria" w:cs="Cambria"/>
          <w:b w:val="false"/>
          <w:bCs w:val="false"/>
          <w:i/>
          <w:iCs/>
          <w:sz w:val="22"/>
          <w:szCs w:val="22"/>
        </w:rPr>
        <w:t>Buy Now, Pay Later</w:t>
      </w:r>
      <w:r>
        <w:rPr>
          <w:rFonts w:eastAsia="Cambria" w:cs="Cambria"/>
          <w:b w:val="false"/>
          <w:bCs w:val="false"/>
          <w:i w:val="false"/>
          <w:iCs w:val="false"/>
          <w:sz w:val="22"/>
          <w:szCs w:val="22"/>
        </w:rPr>
        <w:t>, BNPL) unter die reguläre Kreditprüfung; verpasste Raten landen dann ebenso in der Akte wie eine verpasste Kreditkartenrate. Verzichte in den ersten Monaten auf mehrere gleichzeitige Kreditanträge – jede Anfrage hinterlässt eine Spur in der Akte und kann den Score kurzfristig drücken.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kostenlose Auskunft über den eigenen Score kannst du bei allen drei Bureaus regelmäßig anfordern. Prüfe sie in den ersten Monaten in Australien bewusst, um Fehler früh zu erkennen und zu korrigieren.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reguläre Frist für die Selbstveranlagung über das Online-Portal </w:t>
      </w:r>
      <w:r>
        <w:rPr>
          <w:rFonts w:eastAsia="Cambria" w:cs="Cambria"/>
          <w:b w:val="false"/>
          <w:bCs w:val="false"/>
          <w:i/>
          <w:iCs/>
          <w:sz w:val="22"/>
          <w:szCs w:val="22"/>
        </w:rPr>
        <w:t>myGov</w:t>
      </w:r>
      <w:r>
        <w:rPr>
          <w:rFonts w:eastAsia="Cambria" w:cs="Cambria"/>
          <w:b w:val="false"/>
          <w:bCs w:val="false"/>
          <w:i w:val="false"/>
          <w:iCs w:val="false"/>
          <w:sz w:val="22"/>
          <w:szCs w:val="22"/>
        </w:rPr>
        <w:t>/</w:t>
      </w:r>
      <w:r>
        <w:rPr>
          <w:rFonts w:eastAsia="Cambria" w:cs="Cambria"/>
          <w:b w:val="false"/>
          <w:bCs w:val="false"/>
          <w:i/>
          <w:iCs/>
          <w:sz w:val="22"/>
          <w:szCs w:val="22"/>
        </w:rPr>
        <w:t>myTax</w:t>
      </w:r>
      <w:r>
        <w:rPr>
          <w:rFonts w:eastAsia="Cambria" w:cs="Cambria"/>
          <w:b w:val="false"/>
          <w:bCs w:val="false"/>
          <w:i w:val="false"/>
          <w:iCs w:val="false"/>
          <w:sz w:val="22"/>
          <w:szCs w:val="22"/>
        </w:rPr>
        <w:t xml:space="preserve"> ist der 31. Oktober; 2026 fällt dieser Termin für das Finanzjahr 2025–26 auf einen Samstag und verschiebt sich auf Montag, den 2. November 2026. Wer vor dem 31. Oktober einen registrierten Steuerberater (</w:t>
      </w:r>
      <w:r>
        <w:rPr>
          <w:rFonts w:eastAsia="Cambria" w:cs="Cambria"/>
          <w:b w:val="false"/>
          <w:bCs w:val="false"/>
          <w:i/>
          <w:iCs/>
          <w:sz w:val="22"/>
          <w:szCs w:val="22"/>
        </w:rPr>
        <w:t>Tax Agent</w:t>
      </w:r>
      <w:r>
        <w:rPr>
          <w:rFonts w:eastAsia="Cambria" w:cs="Cambria"/>
          <w:b w:val="false"/>
          <w:bCs w:val="false"/>
          <w:i w:val="false"/>
          <w:iCs w:val="false"/>
          <w:sz w:val="22"/>
          <w:szCs w:val="22"/>
        </w:rP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erste vollständige Steuererklärung wird typischerweise erst im auf die Einreise folgenden Finanzjahr fällig. Bewahre in der Zwischenzeit Gehaltsabrechnungen, den Jahresabschluss deines Arbeitgebers und Belege für berufsbezogene Ausgaben sorgfältig auf – das erspart im Oktober viel Sucherei.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Es ersetzt keine Rechts- oder Steuerberatung. Ob du als Ansässiger oder Steuerausländer giltst, wie sich ein Statuswechsel im selben 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654"/>
        <w:gridCol w:w="3825"/>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TFN-Beantragung ist kostenlos und meist zügig erledigt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TFN 47 % Lohnabzug – ein teurer Fehlstart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Steuerfreier Grundbetrag von 18.200 AUD für Ansässige</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Working-Holiday-Reisende zahlen ab dem ersten Dollar 15 %</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gehört dir und wächst mit jedem Gehalt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Wegzug frisst die DASP-Steuer bis zu 65 % des Guthabens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Credit Reporting belohnt pünktliches Zahlen schnell</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australische Kredithistorie, Schufa zählt nicht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teils schon vor der Einreise online eröffenbar</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Identifizierung erst persönlich in der Filiale 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Tax File Number (TFN) beantragt, Antragsweg (myID online oder Australia-Post-Interview)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28-Tage-Frist für die TFN-Vorlage beim Arbeitgeber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Steuerlichen Status geprüft: Ansässiger, Steuerausländer oder Working-Holiday-Tarif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(online vor Einreise oder in der Filiale mit 100-Punkte-ID-Check)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Superfonds bei Arbeitsbeginn aktiv gewählt statt Standardfonds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Ausreise: DASP-Steuerfolgen für die Superannuation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mit niedrigem Limit beantragt, Rechnungen pünktlich beglichen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Kreditauskunft bei Equifax, Experian und Illion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 mit den Schwellen der Medicare Levy Surcharge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Steuererklärung (31. Oktober bzw. mit Steuerberater später) im Kalender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454">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Tax File Number, Steuersätze, Medicare Levy und Surcharge, Superannuation, DASP</w:t>
      </w:r>
    </w:p>
    <w:p>
      <w:pPr>
        <w:pStyle w:val="ListParagraph"/>
        <w:numPr>
          <w:ilvl w:val="0"/>
          <w:numId w:val="1"/>
        </w:numPr>
        <w:spacing w:lineRule="exact" w:line="288" w:before="0" w:after="60"/>
        <w:rPr/>
      </w:pPr>
      <w:hyperlink r:id="rId455">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 xml:space="preserve"> – Centrelink, Medicare-Anmeldung</w:t>
      </w:r>
    </w:p>
    <w:p>
      <w:pPr>
        <w:pStyle w:val="ListParagraph"/>
        <w:numPr>
          <w:ilvl w:val="0"/>
          <w:numId w:val="1"/>
        </w:numPr>
        <w:spacing w:lineRule="exact" w:line="288" w:before="0" w:after="60"/>
        <w:rPr/>
      </w:pPr>
      <w:hyperlink r:id="rId456">
        <w:r>
          <w:rPr>
            <w:rStyle w:val="ListLabel113"/>
            <w:rFonts w:eastAsia="Cambria" w:cs="Cambria"/>
            <w:b w:val="false"/>
            <w:bCs w:val="false"/>
            <w:i w:val="false"/>
            <w:iCs w:val="false"/>
            <w:color w:val="0563C1"/>
            <w:sz w:val="22"/>
            <w:szCs w:val="22"/>
            <w:u w:val="single"/>
          </w:rPr>
          <w:t>moneysmart.gov.au</w:t>
        </w:r>
      </w:hyperlink>
      <w:r>
        <w:rPr>
          <w:rFonts w:eastAsia="Cambria" w:cs="Cambria"/>
          <w:b w:val="false"/>
          <w:bCs w:val="false"/>
          <w:i w:val="false"/>
          <w:iCs w:val="false"/>
          <w:sz w:val="22"/>
          <w:szCs w:val="22"/>
        </w:rPr>
        <w:t xml:space="preserve"> – unabhängige Verbraucherinformation der Finanzaufsicht ASIC, u. a. zu Kreditauskünften</w:t>
      </w:r>
    </w:p>
    <w:p>
      <w:pPr>
        <w:pStyle w:val="ListParagraph"/>
        <w:numPr>
          <w:ilvl w:val="0"/>
          <w:numId w:val="1"/>
        </w:numPr>
        <w:spacing w:lineRule="exact" w:line="288" w:before="0" w:after="60"/>
        <w:rPr/>
      </w:pPr>
      <w:hyperlink r:id="rId457">
        <w:r>
          <w:rPr>
            <w:rStyle w:val="ListLabel113"/>
            <w:rFonts w:eastAsia="Cambria" w:cs="Cambria"/>
            <w:b w:val="false"/>
            <w:bCs w:val="false"/>
            <w:i w:val="false"/>
            <w:iCs w:val="false"/>
            <w:color w:val="0563C1"/>
            <w:sz w:val="22"/>
            <w:szCs w:val="22"/>
            <w:u w:val="single"/>
          </w:rPr>
          <w:t>equifax.com.au</w:t>
        </w:r>
      </w:hyperlink>
      <w:r>
        <w:rPr>
          <w:rFonts w:eastAsia="Cambria" w:cs="Cambria"/>
          <w:b w:val="false"/>
          <w:bCs w:val="false"/>
          <w:i w:val="false"/>
          <w:iCs w:val="false"/>
          <w:sz w:val="22"/>
          <w:szCs w:val="22"/>
        </w:rPr>
        <w:t xml:space="preserve"> / </w:t>
      </w:r>
      <w:hyperlink r:id="rId458">
        <w:r>
          <w:rPr>
            <w:rStyle w:val="ListLabel113"/>
            <w:rFonts w:eastAsia="Cambria" w:cs="Cambria"/>
            <w:b w:val="false"/>
            <w:bCs w:val="false"/>
            <w:i w:val="false"/>
            <w:iCs w:val="false"/>
            <w:color w:val="0563C1"/>
            <w:sz w:val="22"/>
            <w:szCs w:val="22"/>
            <w:u w:val="single"/>
          </w:rPr>
          <w:t>experian.com.au</w:t>
        </w:r>
      </w:hyperlink>
      <w:r>
        <w:rPr>
          <w:rFonts w:eastAsia="Cambria" w:cs="Cambria"/>
          <w:b w:val="false"/>
          <w:bCs w:val="false"/>
          <w:i w:val="false"/>
          <w:iCs w:val="false"/>
          <w:sz w:val="22"/>
          <w:szCs w:val="22"/>
        </w:rPr>
        <w:t xml:space="preserve"> / </w:t>
      </w:r>
      <w:hyperlink r:id="rId459">
        <w:r>
          <w:rPr>
            <w:rStyle w:val="ListLabel113"/>
            <w:rFonts w:eastAsia="Cambria" w:cs="Cambria"/>
            <w:b w:val="false"/>
            <w:bCs w:val="false"/>
            <w:i w:val="false"/>
            <w:iCs w:val="false"/>
            <w:color w:val="0563C1"/>
            <w:sz w:val="22"/>
            <w:szCs w:val="22"/>
            <w:u w:val="single"/>
          </w:rPr>
          <w:t>illion.com.au</w:t>
        </w:r>
      </w:hyperlink>
      <w:r>
        <w:rPr>
          <w:rFonts w:eastAsia="Cambria" w:cs="Cambria"/>
          <w:b w:val="false"/>
          <w:bCs w:val="false"/>
          <w:i w:val="false"/>
          <w:iCs w:val="false"/>
          <w:sz w:val="22"/>
          <w:szCs w:val="22"/>
        </w:rPr>
        <w:t xml:space="preserve"> – kostenlose Kreditauskunft</w:t>
      </w:r>
    </w:p>
    <w:p>
      <w:pPr>
        <w:pStyle w:val="ListParagraph"/>
        <w:numPr>
          <w:ilvl w:val="0"/>
          <w:numId w:val="1"/>
        </w:numPr>
        <w:spacing w:lineRule="exact" w:line="288" w:before="0" w:after="60"/>
        <w:rPr/>
      </w:pPr>
      <w:hyperlink r:id="rId460">
        <w:r>
          <w:rPr>
            <w:rStyle w:val="ListLabel113"/>
            <w:rFonts w:eastAsia="Cambria" w:cs="Cambria"/>
            <w:b w:val="false"/>
            <w:bCs w:val="false"/>
            <w:i w:val="false"/>
            <w:iCs w:val="false"/>
            <w:color w:val="0563C1"/>
            <w:sz w:val="22"/>
            <w:szCs w:val="22"/>
            <w:u w:val="single"/>
          </w:rPr>
          <w:t>commbank.com.au</w:t>
        </w:r>
      </w:hyperlink>
      <w:r>
        <w:rPr>
          <w:rFonts w:eastAsia="Cambria" w:cs="Cambria"/>
          <w:b w:val="false"/>
          <w:bCs w:val="false"/>
          <w:i w:val="false"/>
          <w:iCs w:val="false"/>
          <w:sz w:val="22"/>
          <w:szCs w:val="22"/>
        </w:rPr>
        <w:t xml:space="preserve"> / </w:t>
      </w:r>
      <w:hyperlink r:id="rId461">
        <w:r>
          <w:rPr>
            <w:rStyle w:val="ListLabel113"/>
            <w:rFonts w:eastAsia="Cambria" w:cs="Cambria"/>
            <w:b w:val="false"/>
            <w:bCs w:val="false"/>
            <w:i w:val="false"/>
            <w:iCs w:val="false"/>
            <w:color w:val="0563C1"/>
            <w:sz w:val="22"/>
            <w:szCs w:val="22"/>
            <w:u w:val="single"/>
          </w:rPr>
          <w:t>westpac.com.au</w:t>
        </w:r>
      </w:hyperlink>
      <w:r>
        <w:rPr>
          <w:rFonts w:eastAsia="Cambria" w:cs="Cambria"/>
          <w:b w:val="false"/>
          <w:bCs w:val="false"/>
          <w:i w:val="false"/>
          <w:iCs w:val="false"/>
          <w:sz w:val="22"/>
          <w:szCs w:val="22"/>
        </w:rPr>
        <w:t xml:space="preserve"> / </w:t>
      </w:r>
      <w:hyperlink r:id="rId462">
        <w:r>
          <w:rPr>
            <w:rStyle w:val="ListLabel113"/>
            <w:rFonts w:eastAsia="Cambria" w:cs="Cambria"/>
            <w:b w:val="false"/>
            <w:bCs w:val="false"/>
            <w:i w:val="false"/>
            <w:iCs w:val="false"/>
            <w:color w:val="0563C1"/>
            <w:sz w:val="22"/>
            <w:szCs w:val="22"/>
            <w:u w:val="single"/>
          </w:rPr>
          <w:t>nab.com.au</w:t>
        </w:r>
      </w:hyperlink>
      <w:r>
        <w:rPr>
          <w:rFonts w:eastAsia="Cambria" w:cs="Cambria"/>
          <w:b w:val="false"/>
          <w:bCs w:val="false"/>
          <w:i w:val="false"/>
          <w:iCs w:val="false"/>
          <w:sz w:val="22"/>
          <w:szCs w:val="22"/>
        </w:rPr>
        <w:t xml:space="preserve"> / </w:t>
      </w:r>
      <w:hyperlink r:id="rId463">
        <w:r>
          <w:rPr>
            <w:rStyle w:val="ListLabel113"/>
            <w:rFonts w:eastAsia="Cambria" w:cs="Cambria"/>
            <w:b w:val="false"/>
            <w:bCs w:val="false"/>
            <w:i w:val="false"/>
            <w:iCs w:val="false"/>
            <w:color w:val="0563C1"/>
            <w:sz w:val="22"/>
            <w:szCs w:val="22"/>
            <w:u w:val="single"/>
          </w:rPr>
          <w:t>anz.com.au</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464">
        <w:r>
          <w:rPr>
            <w:rStyle w:val="ListLabel113"/>
            <w:rFonts w:eastAsia="Cambria" w:cs="Cambria"/>
            <w:b w:val="false"/>
            <w:bCs w:val="false"/>
            <w:i w:val="false"/>
            <w:iCs w:val="false"/>
            <w:color w:val="0563C1"/>
            <w:sz w:val="22"/>
            <w:szCs w:val="22"/>
            <w:u w:val="single"/>
          </w:rPr>
          <w:t>mygov.au</w:t>
        </w:r>
      </w:hyperlink>
      <w:r>
        <w:rPr>
          <w:rFonts w:eastAsia="Cambria" w:cs="Cambria"/>
          <w:b w:val="false"/>
          <w:bCs w:val="false"/>
          <w:i w:val="false"/>
          <w:iCs w:val="false"/>
          <w:sz w:val="22"/>
          <w:szCs w:val="22"/>
        </w:rPr>
        <w:t xml:space="preserve"> – Online-Portal für Steuererklärung und Behördengänge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8" w:name="__RefHeading___Toc56546_3457424410"/>
      <w:bookmarkStart w:id="119" w:name="tau08"/>
      <w:bookmarkEnd w:id="118"/>
      <w:r>
        <w:rPr>
          <w:rFonts w:eastAsia="Amazon Ember" w:cs="Amazon Ember" w:ascii="Amazon Ember" w:hAnsi="Amazon Ember"/>
          <w:b/>
          <w:bCs/>
          <w:color w:val="0000FF"/>
          <w:sz w:val="36"/>
          <w:szCs w:val="36"/>
        </w:rPr>
        <w:t>Australien: Das Gesundheitssystem</w:t>
      </w:r>
      <w:bookmarkEnd w:id="119"/>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EU-Land nach Australien zieht, geht gern automatisch von einer Art Grundabsicherung aus –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 und was für alle anderen zwingend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Medicare</w:t>
            </w:r>
            <w:r>
              <w:rPr>
                <w:rFonts w:eastAsia="Cambria" w:cs="Cambria"/>
                <w:b w:val="false"/>
                <w:bCs w:val="false"/>
                <w:i w:val="false"/>
                <w:iCs w:val="false"/>
                <w:sz w:val="20"/>
                <w:szCs w:val="20"/>
              </w:rPr>
              <w:t xml:space="preserve"> ist Australiens staatliches Krankenversicherungssystem, mitfinanziert über 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(2,0 % des zu versteuernden Einkommens) – aber nicht jeder, der in Australien lebt, hat Zugang dazu.</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hat mit elf Ländern ein </w:t>
            </w:r>
            <w:r>
              <w:rPr>
                <w:rFonts w:eastAsia="Cambria" w:cs="Cambria"/>
                <w:b w:val="false"/>
                <w:bCs w:val="false"/>
                <w:i/>
                <w:iCs/>
                <w:sz w:val="20"/>
                <w:szCs w:val="20"/>
              </w:rPr>
              <w:t>Reciprocal Health Care Agreement</w:t>
            </w:r>
            <w:r>
              <w:rPr>
                <w:rFonts w:eastAsia="Cambria" w:cs="Cambria"/>
                <w:b w:val="false"/>
                <w:bCs w:val="false"/>
                <w:i w:val="false"/>
                <w:iCs w:val="false"/>
                <w:sz w:val="20"/>
                <w:szCs w:val="20"/>
              </w:rPr>
              <w:t xml:space="preserve"> (RHCA, ein zwischenstaatliches Gegenseitigkeitsabkommen zur medizinischen Grundversorgung), darunter die Niederlande, Belgien und Italien. </w:t>
            </w:r>
            <w:r>
              <w:rPr>
                <w:rFonts w:eastAsia="Cambria" w:cs="Cambria"/>
                <w:b/>
                <w:bCs/>
                <w:i w:val="false"/>
                <w:iCs w:val="false"/>
                <w:sz w:val="20"/>
                <w:szCs w:val="20"/>
              </w:rPr>
              <w:t>Deutschland gehört nicht dazu.</w:t>
            </w:r>
          </w:p>
          <w:p>
            <w:pPr>
              <w:pStyle w:val="ListParagraph"/>
              <w:numPr>
                <w:ilvl w:val="0"/>
                <w:numId w:val="1"/>
              </w:numPr>
              <w:spacing w:lineRule="exact" w:line="264" w:before="0" w:after="50"/>
              <w:rPr/>
            </w:pPr>
            <w:r>
              <w:rPr>
                <w:rFonts w:eastAsia="Cambria" w:cs="Cambria"/>
                <w:b w:val="false"/>
                <w:bCs w:val="false"/>
                <w:i/>
                <w:iCs/>
                <w:sz w:val="20"/>
                <w:szCs w:val="20"/>
              </w:rPr>
              <w:t>Permanent Residents</w:t>
            </w:r>
            <w:r>
              <w:rPr>
                <w:rFonts w:eastAsia="Cambria" w:cs="Cambria"/>
                <w:b w:val="false"/>
                <w:bCs w:val="false"/>
                <w:i w:val="false"/>
                <w:iCs w:val="false"/>
                <w:sz w:val="20"/>
                <w:szCs w:val="20"/>
              </w:rPr>
              <w:t xml:space="preserve"> (PR, Inhaber einer unbefristeten Aufenthaltserlaubnis; etwa nach Subclass 189, 190 oder 191) können sich ab dem Ankunftstag bei Medicare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Inhaber befristeter Visa – Working Holiday, Studium, die meisten Arbeitsvisa – brauchen zwingend eine private Versicherung: </w:t>
            </w:r>
            <w:r>
              <w:rPr>
                <w:rFonts w:eastAsia="Cambria" w:cs="Cambria"/>
                <w:b w:val="false"/>
                <w:bCs w:val="false"/>
                <w:i/>
                <w:iCs/>
                <w:sz w:val="20"/>
                <w:szCs w:val="20"/>
              </w:rPr>
              <w:t>Overseas Visitor Health Cover</w:t>
            </w:r>
            <w:r>
              <w:rPr>
                <w:rFonts w:eastAsia="Cambria" w:cs="Cambria"/>
                <w:b w:val="false"/>
                <w:bCs w:val="false"/>
                <w:i w:val="false"/>
                <w:iCs w:val="false"/>
                <w:sz w:val="20"/>
                <w:szCs w:val="20"/>
              </w:rPr>
              <w:t xml:space="preserve"> (OVHC) oder, für Studierende, </w:t>
            </w:r>
            <w:r>
              <w:rPr>
                <w:rFonts w:eastAsia="Cambria" w:cs="Cambria"/>
                <w:b w:val="false"/>
                <w:bCs w:val="false"/>
                <w:i/>
                <w:iCs/>
                <w:sz w:val="20"/>
                <w:szCs w:val="20"/>
              </w:rPr>
              <w:t>Overseas Student Health Cover</w:t>
            </w:r>
            <w:r>
              <w:rPr>
                <w:rFonts w:eastAsia="Cambria" w:cs="Cambria"/>
                <w:b w:val="false"/>
                <w:bCs w:val="false"/>
                <w:i w:val="false"/>
                <w:iCs w:val="false"/>
                <w:sz w:val="20"/>
                <w:szCs w:val="20"/>
              </w:rPr>
              <w:t xml:space="preserve"> (OSHC).</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Wer gut verdient, Medicare-berechtigt ist, aber keine private Krankenhausversicherung hat, zahlt obendrein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Zahnbehandlung für Erwachsene und die meisten Sehhilfen deckt Medicare grundsätzlich nicht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das staatliche System, kurz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Australiens staatliches Krankenversicherungssystem –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zusätzlich zur normalen Einkommensteuer zahlen; bei niedrigem Einkommen (2026–27 unterhalb von rund 28.011 AUD) entfällt sie ganz oder teilweise. Wer keinen Medicare-Zugang hat, zahlt konsequenterweise auch keine Medicare Levy.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Medicare ist an die Staatsangehörigkeit oder den Aufenthaltsstatus geknüpft, nicht einfach an den Wohnort. Wer in Australien lebt, arbeitet und Steuern zahlt, ist deshalb nicht automatisch Medicare-berechtigt – das ist der zentrale Unterschied zur deutschen Logik, in der die Versicherungspflicht am Wohnsitz und der Beschäftigung hängt.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entscheidende Unterschied: Deutschland hat kein Abkommen mit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pPr>
        <w:pStyle w:val="Normal"/>
        <w:keepNext w:val="false"/>
        <w:keepLines w:val="false"/>
        <w:spacing w:lineRule="exact" w:line="288" w:before="0" w:after="140"/>
        <w:jc w:val="left"/>
        <w:rPr/>
      </w:pPr>
      <w:r>
        <w:rPr>
          <w:rFonts w:eastAsia="Cambria" w:cs="Cambria"/>
          <w:b/>
          <w:bCs/>
          <w:i w:val="false"/>
          <w:iCs w:val="false"/>
          <w:sz w:val="22"/>
          <w:szCs w:val="22"/>
        </w:rPr>
        <w:t>Deutschland steht nicht auf dieser Liste.</w:t>
      </w:r>
      <w:r>
        <w:rPr>
          <w:rFonts w:eastAsia="Cambria" w:cs="Cambria"/>
          <w:b w:val="false"/>
          <w:bCs w:val="false"/>
          <w:i w:val="false"/>
          <w:iCs w:val="false"/>
          <w:sz w:val="22"/>
          <w:szCs w:val="22"/>
        </w:rPr>
        <w:t xml:space="preserve"> Das ist keine Lücke, die sich demnächst schließt, sondern seit Jahren unveränderter Stand – und ausgerechnet deshalb ein Irrtum, der sich hartnäckig hält: Wer aus einem RHCA-Land wie den Niederlanden oder Belgien nach Australien zieht, hat es in dieser Hinsicht spürbar leichter als jemand aus Deutschland, obwohl beide EU-Bürger sind und innerhalb Europas ähnliche Rechte genießen. Diese Logik überträgt sich nicht automatisch auf Australien; die beiden Systeme haben schlicht keinen entsprechenden Vertrag miteinander.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Auswanderer nehmen an, dass zumindest ein Mindestmaß an Absicherung über zwischenstaatliche Abkommen automatisch mitkommt, so wie es innerhalb der EU mit der Europäischen Krankenversicherungskarte funktioniert. Tatsächlich gibt es zwischen Deutschland und Australien kein solches Abkommen, und die Europäische Krankenversicherungskarte gilt ohnehin nur innerhalb der EU sowie in einigen weiteren europäischen Staaten – für Australien ist sie wertlos. Praktisch bedeutet das: Jeder Tag ohne gültige private Absicherung ist ein Tag mit vollem finanziellem Risiko, unabhängig davon, wie gesund du dich fühlst, wenn das Flugzeug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auf Erzählungen von Bekannten aus anderen EU-Ländern, die von unkompliziertem Medicare-Zugang berichten. Was für niederländische, belgische oder italienische Nachbarn gilt, gilt für dich als Deutschen nicht – frage im Zweifel nicht Bekannte, sondern direkt Services Australia oder deine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Medicare bekommt – und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Praxis zählt vor allem der Aufenthaltsstatus, nicht die gute Absicht. Diese Übersicht ordnet die wichtigsten Situationen ein:</w:t>
      </w:r>
    </w:p>
    <w:tbl>
      <w:tblPr>
        <w:tblW w:w="6480" w:type="dxa"/>
        <w:jc w:val="left"/>
        <w:tblInd w:w="0" w:type="dxa"/>
        <w:tblLayout w:type="fixed"/>
        <w:tblCellMar>
          <w:top w:w="50" w:type="dxa"/>
          <w:left w:w="80" w:type="dxa"/>
          <w:bottom w:w="50" w:type="dxa"/>
          <w:right w:w="80" w:type="dxa"/>
        </w:tblCellMar>
      </w:tblPr>
      <w:tblGrid>
        <w:gridCol w:w="2691"/>
        <w:gridCol w:w="2078"/>
        <w:gridCol w:w="1711"/>
      </w:tblGrid>
      <w:tr>
        <w:trPr>
          <w:tblHeader w:val="true"/>
          <w:cantSplit w:val="true"/>
        </w:trPr>
        <w:tc>
          <w:tcPr>
            <w:tcW w:w="2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Medicare-Zugang</w:t>
            </w:r>
          </w:p>
        </w:tc>
        <w:tc>
          <w:tcPr>
            <w:tcW w:w="17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(z. B. Subclass 189, 190, 191)</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 mit gültigem PR-Visum</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Services Australia</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ab Ankunftstag</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Skilled-Arbeitsvisum (z. B. 482)</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vom Arbeitgeber teils bezuschusst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bereits bei Visumantrag nachzuweisen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befristeten Visa-Inhaber – ausdrücklich einschließlich Subclass 482 und 500 – sind also nicht Medicare-berechtigt, sofern keine Ausnahme per Ministerial Order greift oder ein RHCA-Land 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 sei es direkt über den Punktetest oder später über den Umstieg von einem befristeten Arbeitsvisum – öffnet sich Medicare.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Wechsel von befristetem Visum zu Permanent Residence ist auch ein Wechsel im Gesundheitssystem. Bis zur Bewilligung der PR bleibt die private Versicherung Pflicht, selbst wenn der PR-Antrag längst läuft – erst der bewilligte Status zählt, nicht die Antragstellung.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auf befristetem Visum ist die MLS in der Praxis kein Thema, denn sie greift nur bei Medicare-Berechtigten, und wer stattdessen zwingend OVHC oder OSHC abschließt, zahlt sie nicht. Relevant wird sie erst mit PR-Status und entsprechendem Einkommen – dann lohnt sich der Vergleich, ob eine private Krankenhausversicherung nicht ohnehin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Absicherung: OVHC und OSHC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noch keinen Medicare-Zugang haben, ist private Absicherung keine Option, sondern in den meisten Fällen direkt an das Visum geknüpft. Zwei Produkte sind hier maßgeblich.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OVHC richtet sich an die meisten befristeten, nicht-studentischen Visa –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OSHC ist für Inhaber eines Student Visa (Subclass 500) während der gesamten Studiendauer verpflichtend und muss schon bei der Visumantragstellung nachgewiesen werden – ohne OSHC-Bestätigung kommt der Antrag gar nicht erst durch. Die Kosten liegen bei rund 500 bis 700 AUD im Jahr für eine Einzelperson, abhängig vom Anbieter.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beide Produkte: Beide sind keine Medicare-Ersatzkarte, sondern private Versicherungsverträge mit eigenem Netzwerk, eigenen Bedingungen und eigenem Kleingedrucktem. Vergleiche vor dem Abschluss, was genau abgedeckt ist – ambulante Behandlung, Krankenhausaufenthalt, Rücktransport – und ob Vorerkrankungen ausgeschlossen sind. Working-Holiday-Reisende sind rechtlich nicht in jedem Fall so eindeutig zum Abschluss verpflichtet wie etwa Studierende oder bestimmte Arbeitsvisa-Inhaber, sollten aber angesichts des fehlenden Medicare-Zugangs trotzdem nicht ohne Versicherung reisen.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OVHC oder OSHC schon von Deutschland aus ab, mit Beginn zum Ankunftstag – dann besteht ab der Landung durchgehend Versicherungsschutz, ohne Lücke zwischen Abflug und dem ersten möglichen Vertragsbeginn vor Ort.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dem Working-Holiday-Visum (Subclass 417) nach Sydney und schließt sich noch in Hamburg eine OVHC ab, die am Tag ihrer Landung beginnt. Ein Sturz beim Surfen an der Bondi Beach in der dritten Woche – eine Beule, ein verstauchtes Handgelenk, ein Röntgenbild in einer Klinik – wird über die Police abgerechnet, bis auf einen kleinen Selbstbehalt. Ohne Medicare-Karte hätte sie die gesamte Rechnung allein tragen müssen; mit der rechtzeitig abgeschlossenen Versicherung bleibt vom Schreck vor allem die Geschichte für den nächsten Videocall nach Hause übrig.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anmelden: der Ablauf für Permanent Residents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 auch die Adresse der Übergangsunterkunft kann reichen, solange sie belegbar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Anmeldung erhältst du eine Medicare-Nummer, die Karte selbst kommt anschließend per Post nach. Bis sie eintrifft, gilt die Nummer bereits als Nachweis der Berechtigung; bewahre die Anmeldebestätigung deshalb griffbereit auf, etwa als Foto auf dem Handy. Melde neben dir selbst auch Partner und Kinder gleich mit an, sie laufen in Australien in der Regel über einen gemeinsamen Familieneintrag, ähnlich wie bei der Krankenversicherungskarte in Deutschland, nur eben ohne Kassenwahl.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Medicare-Anmeldung ersetzt nicht automatisch eine bereits laufende private Versicherung aus Deutschland oder eine Übergangs-OVHC. Kündige diese erst, wenn die Medicare-Berechtigung tatsächlich bestätigt ist – die Bearbeitung kann einige Tage dauern, und eine Deckungslücke dazwischen ist unnötig.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meldet sich in der zweiten Woche nach der Ankunft in Melbourne bei einem Service-Center von Services Australia für Medicare an – Pässe, die Bewilligungsmitteilung zum Subclass-189-Visum und die Buchungsbestätigung der ersten Mietwohnung als Adressnachweis reichen aus. Die Medicare-Karten kommen wenig später per Post. Sandra, von Beruf Krankenpflegerin, ist überrascht, wie viel sie über das System erst vor Ort lernt: Dass der Kinderarzt für Emil und Clara nach Terminvereinbarung direkt mit Medicare abrechnet, findet sie erst beim dritten Anruf heraus – auf die Idee, überhaupt danach zu fragen, wäre sie in Deutschland nie gekommen, weil sich diese Frage dort schlicht nicht stellt.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Beim Arzt und im Krankenhaus: Bulk Billing, Gap und Wartelisten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der Medicare-Zugang einmal da, unterscheidet sich der Praxisalltag deutlich vom deutschen System. Hausärzte (</w:t>
      </w:r>
      <w:r>
        <w:rPr>
          <w:rFonts w:eastAsia="Cambria" w:cs="Cambria"/>
          <w:b w:val="false"/>
          <w:bCs w:val="false"/>
          <w:i/>
          <w:iCs/>
          <w:sz w:val="22"/>
          <w:szCs w:val="22"/>
        </w:rPr>
        <w:t>General Practitioners</w:t>
      </w:r>
      <w:r>
        <w:rPr>
          <w:rFonts w:eastAsia="Cambria" w:cs="Cambria"/>
          <w:b w:val="false"/>
          <w:bCs w:val="false"/>
          <w:i w:val="false"/>
          <w:iCs w:val="false"/>
          <w:sz w:val="22"/>
          <w:szCs w:val="22"/>
        </w:rPr>
        <w:t xml:space="preserve">, GPs) rechnen entweder per </w:t>
      </w:r>
      <w:r>
        <w:rPr>
          <w:rFonts w:eastAsia="Cambria" w:cs="Cambria"/>
          <w:b w:val="false"/>
          <w:bCs w:val="false"/>
          <w:i/>
          <w:iCs/>
          <w:sz w:val="22"/>
          <w:szCs w:val="22"/>
        </w:rPr>
        <w:t>Bulk Billing</w:t>
      </w:r>
      <w:r>
        <w:rPr>
          <w:rFonts w:eastAsia="Cambria" w:cs="Cambria"/>
          <w:b w:val="false"/>
          <w:bCs w:val="false"/>
          <w:i w:val="false"/>
          <w:iCs w:val="false"/>
          <w:sz w:val="22"/>
          <w:szCs w:val="22"/>
        </w:rPr>
        <w:t xml:space="preserve"> direkt mit Medicare ab – dann zahlst du beim Termin nichts dazu – oder sie verlangen eine eigene Gebühr, von der Medicare nur einen Teil erstattet; die Differenz (</w:t>
      </w:r>
      <w:r>
        <w:rPr>
          <w:rFonts w:eastAsia="Cambria" w:cs="Cambria"/>
          <w:b w:val="false"/>
          <w:bCs w:val="false"/>
          <w:i/>
          <w:iCs/>
          <w:sz w:val="22"/>
          <w:szCs w:val="22"/>
        </w:rPr>
        <w:t>Gap</w:t>
      </w:r>
      <w:r>
        <w:rPr>
          <w:rFonts w:eastAsia="Cambria" w:cs="Cambria"/>
          <w:b w:val="false"/>
          <w:bCs w:val="false"/>
          <w:i w:val="false"/>
          <w:iCs w:val="false"/>
          <w:sz w:val="22"/>
          <w:szCs w:val="22"/>
        </w:rPr>
        <w:t>) trägst du selbst. Ob eine Praxis bulk-billt, ist von Praxis zu Praxis unterschiedlich und ändert sich, frage deshalb am Telefon nach, bevor du einen Termin buchst, statt es erst am Empfang zu 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zusätzlich zu Medicare abschließen – sie ermöglicht die freie Wahl von Arzt und privater Klinik sowie meist kürzere Wartezeiten bei planbaren Operationen – wer sie nicht hat und gut verdient, zahlt dafür wie beschrieben die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Notfälle gilt in Australien der Notruf </w:t>
      </w:r>
      <w:r>
        <w:rPr>
          <w:rFonts w:eastAsia="Cambria" w:cs="Cambria"/>
          <w:b w:val="false"/>
          <w:bCs w:val="false"/>
          <w:i/>
          <w:iCs/>
          <w:sz w:val="22"/>
          <w:szCs w:val="22"/>
        </w:rPr>
        <w:t>Triple Zero</w:t>
      </w:r>
      <w:r>
        <w:rPr>
          <w:rFonts w:eastAsia="Cambria" w:cs="Cambria"/>
          <w:b w:val="false"/>
          <w:bCs w:val="false"/>
          <w:i w:val="false"/>
          <w:iCs w:val="false"/>
          <w:sz w:val="22"/>
          <w:szCs w:val="22"/>
        </w:rPr>
        <w:t xml:space="preserve"> (000), der Polizei, Feuerwehr und Rettungsdienst gleichermaßen erreicht. Öffentliche Notaufnahmen (</w:t>
      </w:r>
      <w:r>
        <w:rPr>
          <w:rFonts w:eastAsia="Cambria" w:cs="Cambria"/>
          <w:b w:val="false"/>
          <w:bCs w:val="false"/>
          <w:i/>
          <w:iCs/>
          <w:sz w:val="22"/>
          <w:szCs w:val="22"/>
        </w:rPr>
        <w:t>Emergency Department</w:t>
      </w:r>
      <w:r>
        <w:rPr>
          <w:rFonts w:eastAsia="Cambria" w:cs="Cambria"/>
          <w:b w:val="false"/>
          <w:bCs w:val="false"/>
          <w:i w:val="false"/>
          <w:iCs w:val="false"/>
          <w:sz w:val="22"/>
          <w:szCs w:val="22"/>
        </w:rPr>
        <w:t>, die Notaufnahme) behandeln unabhängig vom Versicherungsstatus, die Abrechnung folgt im Nachgang – für Medicare-Berechtigte über Medicare, für alle anderen über die private Versicherung oder, ohne beides, als Eigenrechnung.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OVHC und OSHC sind keine Medicare-Ersatzkarte fürs öffentliche System, sondern greifen meist bei privater ambulanter und stationärer Behandlung. Sie ersetzen nicht in jedem Fall den vollen Zugang zum öffentlichen Krankenhaussystem, den Medicare-Berechtigte haben. Kläre vor einem geplanten Eingriff mit deiner Versicherung, was konkret gedeckt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Augen, Psychotherapie: was Medicare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vielen Ländern mit gemischten Gesundheitssystemen deckt Medicare Zahnbehandlungen für Erwachsene grundsätzlich nicht ab, ebenso wenig die meisten Sehhilfen. Wer das absichern möchte, schließt einen zusätzlichen privaten </w:t>
      </w:r>
      <w:r>
        <w:rPr>
          <w:rFonts w:eastAsia="Cambria" w:cs="Cambria"/>
          <w:b w:val="false"/>
          <w:bCs w:val="false"/>
          <w:i/>
          <w:iCs/>
          <w:sz w:val="22"/>
          <w:szCs w:val="22"/>
        </w:rPr>
        <w:t>Extras</w:t>
      </w:r>
      <w:r>
        <w:rPr>
          <w:rFonts w:eastAsia="Cambria" w:cs="Cambria"/>
          <w:b w:val="false"/>
          <w:bCs w:val="false"/>
          <w:i w:val="false"/>
          <w:iCs w:val="false"/>
          <w:sz w:val="22"/>
          <w:szCs w:val="22"/>
        </w:rPr>
        <w:t>-Tarif ab, oft im selben Paket wie die private Krankenhausversicherung, aber als eigener Baustein mit eigenen Jahreshöchstgrenzen. Ohne eine solche Zusatzversicherung zahlst du Kontrolluntersuchung, Füllung oder Brille komplett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Psychologische und psychotherapeutische Behandlung ist über Medicare in eingeschränktem Umfang zugänglich: Mit einer Überweisung vom Hausarzt (einem sogenannten </w:t>
      </w:r>
      <w:r>
        <w:rPr>
          <w:rFonts w:eastAsia="Cambria" w:cs="Cambria"/>
          <w:b w:val="false"/>
          <w:bCs w:val="false"/>
          <w:i/>
          <w:iCs/>
          <w:sz w:val="22"/>
          <w:szCs w:val="22"/>
        </w:rPr>
        <w:t>Mental Health Treatment Plan</w:t>
      </w:r>
      <w:r>
        <w:rPr>
          <w:rFonts w:eastAsia="Cambria" w:cs="Cambria"/>
          <w:b w:val="false"/>
          <w:bCs w:val="false"/>
          <w:i w:val="false"/>
          <w:iCs w:val="false"/>
          <w:sz w:val="22"/>
          <w:szCs w:val="22"/>
        </w:rPr>
        <w:t>, einem Behandlungsplan für psychische Gesundheit) übernimmt Medicare einen begrenzten Teil der Kosten für eine festgelegte Anzahl an Sitzungen pro Jahr; alles darüber hinaus läuft über Eigenkosten oder eine private Zusatzversicherung. Für Inhaber von OVHC oder OSHC ist die psychologische Versorgung noch enger begrenzt und im Einzelfall bei der jeweiligen Police nachzulesen.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deckt medizinische Grundversorgung für Berechtigte weitgehend kostenfrei</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hat kein Gegenseitigkeitsabkommen mit Australien – kein automatischer Zugang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ab Ankunft anmeldefähig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durchgehend private OVHC oder OSHC</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und OSHC lassen sich schon von Deutschland aus abschließen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Zahnbehandlung und die meisten Sehhilfen bleiben privat zu zahlen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Wartelisten im öffentlichen System bei planbaren Eingriffen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daraus folgenden Medicare-Status vor dem Abflug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OVHC oder OSHC abgeschlossen, Beginn zum Ankunftstag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Medicare-Anmeldung bei Services Australia in den ersten Wochen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Pass, Visumsnachweis und Adressnachweis für die Medicare-Anmeldung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wann die Medicare Levy Surcharge relevant werden könnte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Hausarztpraxis gesucht und nach Bulk Billing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Zusatzversicherung für Zahn und Augen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Triple Zero (000) und nächstgelegene Notaufnahme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Medicare-Anmeldung, Reciprocal Health Care Agreements: </w:t>
      </w:r>
      <w:hyperlink r:id="rId465">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Medicare Levy und Surcharge: </w:t>
      </w:r>
      <w:hyperlink r:id="rId466">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visumbedingte Gesundheitsversicherung (OVHC, OSHC): </w:t>
      </w:r>
      <w:hyperlink r:id="rId467">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hyperlink r:id="rId468">
        <w:r>
          <w:rPr>
            <w:rStyle w:val="ListLabel113"/>
            <w:rFonts w:eastAsia="Cambria" w:cs="Cambria"/>
            <w:b w:val="false"/>
            <w:bCs w:val="false"/>
            <w:i w:val="false"/>
            <w:iCs w:val="false"/>
            <w:color w:val="0563C1"/>
            <w:sz w:val="22"/>
            <w:szCs w:val="22"/>
            <w:u w:val="single"/>
          </w:rPr>
          <w:t>privatehealth.gov.au</w:t>
        </w:r>
      </w:hyperlink>
      <w:r>
        <w:rPr>
          <w:rFonts w:eastAsia="Cambria" w:cs="Cambria"/>
          <w:b w:val="false"/>
          <w:bCs w:val="false"/>
          <w:i w:val="false"/>
          <w:iCs w:val="false"/>
          <w:sz w:val="22"/>
          <w:szCs w:val="22"/>
        </w:rPr>
        <w:t xml:space="preserve"> — unabhängiger Vergleich privater Krankenversicherungen (Private Health Insurance Ombudsman)</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69">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RHCA-Länderliste, Medicare-Levy- und Surcharge-Schwellen (jährlich zum 1. Juli angepasst), OVHC- und OSHC-Prämien sowie die genauen Bedingungen einzelner Versicherer. Prüfe vor jeder Entscheidung die aktuellen Seiten von Services Australia und der ATO sowie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0" w:name="__RefHeading___Toc56548_3457424410"/>
      <w:bookmarkStart w:id="121" w:name="tau09"/>
      <w:bookmarkEnd w:id="120"/>
      <w:r>
        <w:rPr>
          <w:rFonts w:eastAsia="Amazon Ember" w:cs="Amazon Ember" w:ascii="Amazon Ember" w:hAnsi="Amazon Ember"/>
          <w:b/>
          <w:bCs/>
          <w:color w:val="0000FF"/>
          <w:sz w:val="36"/>
          <w:szCs w:val="36"/>
        </w:rPr>
        <w:t>Australien: Wohnen und die besten Orte zum Leben</w:t>
      </w:r>
      <w:bookmarkEnd w:id="12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Samstagvormittag steht die Menge nicht vor der Kirche, sondern vor einem Reihenhaus in Melbourne: Der Auktionator ruft Gebote, jemand hebt die Hand, das Haus wechselt binnen zwanzig Minuten den Besitzer – ganz ohne Notartermin, ganz ohne die gemütliche deutsche Bedenkzeit. Wer aus Deutschland kommt, wo ein Immobilienkauf gern Monate dauert, lernt hier schnell: In Australien geht vieles fixer, manches unübersichtlicher – und beim Wohnort entscheiden am Ende nicht nur Job und Budget, sondern auch, ob du eher mit Buschfeuer, Flusshochwasser oder schlicht beständig hohen Mieten leben willst.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Online-Portale und offene Besichtigungen mit vielen Mitbewerbern; die Kaution (</w:t>
            </w:r>
            <w:r>
              <w:rPr>
                <w:rFonts w:eastAsia="Cambria" w:cs="Cambria"/>
                <w:b w:val="false"/>
                <w:bCs w:val="false"/>
                <w:i/>
                <w:iCs/>
                <w:sz w:val="20"/>
                <w:szCs w:val="20"/>
              </w:rPr>
              <w:t>Bond</w:t>
            </w:r>
            <w:r>
              <w:rPr>
                <w:rFonts w:eastAsia="Cambria" w:cs="Cambria"/>
                <w:b w:val="false"/>
                <w:bCs w:val="false"/>
                <w:i w:val="false"/>
                <w:iCs w:val="false"/>
                <w:sz w:val="20"/>
                <w:szCs w:val="20"/>
              </w:rPr>
              <w:t>) beträgt meist vier Wochen Miete und wird bei einer staatlichen Kautionsstelle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Bestandsimmobilien dürfen Ausländer und befristete Visa-Inhaber seit 1. April 2025 bis mindestens 30. Juni 2029 grundsätzlich nicht kaufen (FIRB-Verbot); Neubauten bleiben mit Genehmigung möglich.</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Permanent Residence hat, zahlt beim Kauf zusätzlich einen Foreign-Buyer-Zuschlag auf die Grunderwerbsteuer (</w:t>
            </w:r>
            <w:r>
              <w:rPr>
                <w:rFonts w:eastAsia="Cambria" w:cs="Cambria"/>
                <w:b w:val="false"/>
                <w:bCs w:val="false"/>
                <w:i/>
                <w:iCs/>
                <w:sz w:val="20"/>
                <w:szCs w:val="20"/>
              </w:rPr>
              <w:t>Stamp Duty</w:t>
            </w:r>
            <w:r>
              <w:rPr>
                <w:rFonts w:eastAsia="Cambria" w:cs="Cambria"/>
                <w:b w:val="false"/>
                <w:bCs w:val="false"/>
                <w:i w:val="false"/>
                <w:iCs w:val="false"/>
                <w:sz w:val="20"/>
                <w:szCs w:val="20"/>
              </w:rPr>
              <w:t>) von 7–9 % des Kaufpreises,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Wer mit einem Permanent-Visum wie dem Skilled Independent Visa (Subclass 189) einreist, gilt ab dem ersten Tag nicht als „foreign person“ – Stamp-Duty-Zuschlag und FIRB-Verbot entfallen.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Sydney ist am teuersten und bietet die meisten Jobs; Melbourne ist beim Kauf inzwischen die günstigste der vier großen Städte; Perth und Adelaide zahlen in Bergbau und Verteidigung Spitzengehälter.</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Buschfeuer, Flusshochwasser oder beides –, das du vor dem Kauf mit einer Versicherung klärst,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Besichtigung,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fast ausschließlich online, allen voran über die Portale Domain und realestate.com.au – funktional vergleichbar mit deutschen Immobilienportalen, nur mit mehr Fotos vom Garten und weniger Angaben zur Heizungsart. Statt Einzelterminen gibt es meist offene Besichtigungen (</w:t>
      </w:r>
      <w:r>
        <w:rPr>
          <w:rFonts w:eastAsia="Cambria" w:cs="Cambria"/>
          <w:b w:val="false"/>
          <w:bCs w:val="false"/>
          <w:i/>
          <w:iCs/>
          <w:sz w:val="22"/>
          <w:szCs w:val="22"/>
        </w:rPr>
        <w:t>Open for Inspection</w:t>
      </w:r>
      <w:r>
        <w:rPr>
          <w:rFonts w:eastAsia="Cambria" w:cs="Cambria"/>
          <w:b w:val="false"/>
          <w:bCs w:val="false"/>
          <w:i w:val="false"/>
          <w:iCs w:val="false"/>
          <w:sz w:val="22"/>
          <w:szCs w:val="22"/>
        </w:rPr>
        <w:t>),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w:t>
      </w:r>
      <w:r>
        <w:rPr>
          <w:rFonts w:eastAsia="Cambria" w:cs="Cambria"/>
          <w:b w:val="false"/>
          <w:bCs w:val="false"/>
          <w:i/>
          <w:iCs/>
          <w:sz w:val="22"/>
          <w:szCs w:val="22"/>
        </w:rPr>
        <w:t>Property Manager</w:t>
      </w:r>
      <w:r>
        <w:rPr>
          <w:rFonts w:eastAsia="Cambria" w:cs="Cambria"/>
          <w:b w:val="false"/>
          <w:bCs w:val="false"/>
          <w:i w:val="false"/>
          <w:iCs w:val="false"/>
          <w:sz w:val="22"/>
          <w:szCs w:val="22"/>
        </w:rPr>
        <w:t>, die für den Eigentümer die Vermietung abwickelt) noch am selben Tag. Der Eigentümer zahlt die Vermittlungsprovision, nicht der Mieter – anders als bei vielen deutschen Maklerwohnungen.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Wohnungsart lohnt ein zweiter Blick auf die Bezeichnung: Ein </w:t>
      </w:r>
      <w:r>
        <w:rPr>
          <w:rFonts w:eastAsia="Cambria" w:cs="Cambria"/>
          <w:b w:val="false"/>
          <w:bCs w:val="false"/>
          <w:i/>
          <w:iCs/>
          <w:sz w:val="22"/>
          <w:szCs w:val="22"/>
        </w:rPr>
        <w:t>House</w:t>
      </w:r>
      <w:r>
        <w:rPr>
          <w:rFonts w:eastAsia="Cambria" w:cs="Cambria"/>
          <w:b w:val="false"/>
          <w:bCs w:val="false"/>
          <w:i w:val="false"/>
          <w:iCs w:val="false"/>
          <w:sz w:val="22"/>
          <w:szCs w:val="22"/>
        </w:rPr>
        <w:t xml:space="preserve"> ist ein frei- oder aneinandergebautes Einfamilienhaus mit eigenem Garten, eine </w:t>
      </w:r>
      <w:r>
        <w:rPr>
          <w:rFonts w:eastAsia="Cambria" w:cs="Cambria"/>
          <w:b w:val="false"/>
          <w:bCs w:val="false"/>
          <w:i/>
          <w:iCs/>
          <w:sz w:val="22"/>
          <w:szCs w:val="22"/>
        </w:rPr>
        <w:t>Townhouse</w:t>
      </w:r>
      <w:r>
        <w:rPr>
          <w:rFonts w:eastAsia="Cambria" w:cs="Cambria"/>
          <w:b w:val="false"/>
          <w:bCs w:val="false"/>
          <w:i w:val="false"/>
          <w:iCs w:val="false"/>
          <w:sz w:val="22"/>
          <w:szCs w:val="22"/>
        </w:rPr>
        <w:t xml:space="preserve"> ein Reihenhaus, eine </w:t>
      </w:r>
      <w:r>
        <w:rPr>
          <w:rFonts w:eastAsia="Cambria" w:cs="Cambria"/>
          <w:b w:val="false"/>
          <w:bCs w:val="false"/>
          <w:i/>
          <w:iCs/>
          <w:sz w:val="22"/>
          <w:szCs w:val="22"/>
        </w:rPr>
        <w:t>Unit</w:t>
      </w:r>
      <w:r>
        <w:rPr>
          <w:rFonts w:eastAsia="Cambria" w:cs="Cambria"/>
          <w:b w:val="false"/>
          <w:bCs w:val="false"/>
          <w:i w:val="false"/>
          <w:iCs w:val="false"/>
          <w:sz w:val="22"/>
          <w:szCs w:val="22"/>
        </w:rPr>
        <w:t xml:space="preserve"> oder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eine Eigentumswohnung in einem Mehrfamilienhaus. Die Zahl der Schlafzimmer steht meist direkt im Inserat („3-bed, 2-bath“); Wohn- und Esszimmer zählen, wie im US-Teil dieses Buches beschrieben, nicht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Bond</w:t>
      </w:r>
      <w:r>
        <w:rPr>
          <w:rFonts w:eastAsia="Cambria" w:cs="Cambria"/>
          <w:b w:val="false"/>
          <w:bCs w:val="false"/>
          <w:i w:val="false"/>
          <w:iCs w:val="false"/>
          <w:sz w:val="22"/>
          <w:szCs w:val="22"/>
        </w:rPr>
        <w:t>)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w:t>
      </w:r>
      <w:r>
        <w:rPr>
          <w:rFonts w:eastAsia="Cambria" w:cs="Cambria"/>
          <w:b w:val="false"/>
          <w:bCs w:val="false"/>
          <w:i/>
          <w:iCs/>
          <w:sz w:val="22"/>
          <w:szCs w:val="22"/>
        </w:rPr>
        <w:t>Periodic Lease</w:t>
      </w:r>
      <w:r>
        <w:rPr>
          <w:rFonts w:eastAsia="Cambria" w:cs="Cambria"/>
          <w:b w:val="false"/>
          <w:bCs w:val="false"/>
          <w:i w:val="false"/>
          <w:iCs w:val="false"/>
          <w:sz w:val="22"/>
          <w:szCs w:val="22"/>
        </w:rPr>
        <w:t>), der mit einer Kündigungsfrist beider Seiten 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Mietmarkt ist 2026 in allen Landeshauptstädten auf Rekordniveau, Sydney mit Abstand am teuersten. Wer sich bewirbt, sollte alle Unterlagen vorbereitet haben, bevor die Besichtigung überhaupt beginnt: Wartezeiten von mehreren Wochen bis zur Zusage sind selten – meist ist eine gefragte Wohnung binnen weniger Tage vergeben, manchmal noch am Tag der Besichtigung.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Melbourne ist die Miete für Häuser inzwischen günstiger als für Wohnungen (rund 580 AUD gegenüber 600 AUD pro Woche) – ungewöhnlich im Städtevergleich und leicht zu übersehen. Vergleiche beide Wohnungstypen, statt dich vorab auf einen festzulegen; die erste Preisspanne im Kopf stimmt nicht überall.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kommt mit einem Working-Holiday-Visum (417) nach Sydney und sucht ein WG-Zimmer in Bondi. Bei der ersten offenen Besichtigung stehen vierzehn weitere Bewerber im Flur; die Zusage kommt noch am selben Abend per E-Mail, weil Nina Gehaltsnachweise, ein Empfehlungsschreiben ihrer Hamburger Vermieterin und einen Ausweis schon vorbereitet hochgeladen hatte. Die Kaution von vier Wochen Miete überweist sie nicht an ihre Mitbewohnerin, sondern über Rental Bonds Online direkt an die Kautionsstelle von New South Wales. Ein Jahr später bekommt sie über ihren neuen Arbeitgeber ein Skilled-Visum und zieht in eine eigene Einzimmerwohnung – und lernt dabei, wie stark allein der Sprung vom WG-Zimmer zur eigenen Wohnung die Miete verändert.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Stamp Duty, FIRB und Permanent Residence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Kauf selbst läuft anders ab als in Deutschland: Es gibt keinen Notartermin, sondern eine auf Immobilienrecht spezialisierte Fachperson (</w:t>
      </w:r>
      <w:r>
        <w:rPr>
          <w:rFonts w:eastAsia="Cambria" w:cs="Cambria"/>
          <w:b w:val="false"/>
          <w:bCs w:val="false"/>
          <w:i/>
          <w:iCs/>
          <w:sz w:val="22"/>
          <w:szCs w:val="22"/>
        </w:rPr>
        <w:t>Conveyancer</w:t>
      </w:r>
      <w:r>
        <w:rPr>
          <w:rFonts w:eastAsia="Cambria" w:cs="Cambria"/>
          <w:b w:val="false"/>
          <w:bCs w:val="false"/>
          <w:i w:val="false"/>
          <w:iCs w:val="false"/>
          <w:sz w:val="22"/>
          <w:szCs w:val="22"/>
        </w:rPr>
        <w:t>, teils auch ein Anwalt), die den Vertrag prüft, Grundbuchauszüge einholt und die Übergabe (</w:t>
      </w:r>
      <w:r>
        <w:rPr>
          <w:rFonts w:eastAsia="Cambria" w:cs="Cambria"/>
          <w:b w:val="false"/>
          <w:bCs w:val="false"/>
          <w:i/>
          <w:iCs/>
          <w:sz w:val="22"/>
          <w:szCs w:val="22"/>
        </w:rPr>
        <w:t>Settlement</w:t>
      </w:r>
      <w:r>
        <w:rPr>
          <w:rFonts w:eastAsia="Cambria" w:cs="Cambria"/>
          <w:b w:val="false"/>
          <w:bCs w:val="false"/>
          <w:i w:val="false"/>
          <w:iCs w:val="false"/>
          <w:sz w:val="22"/>
          <w:szCs w:val="22"/>
        </w:rPr>
        <w:t>) abwickelt. Häuser werden entweder freihändig verkauft (</w:t>
      </w:r>
      <w:r>
        <w:rPr>
          <w:rFonts w:eastAsia="Cambria" w:cs="Cambria"/>
          <w:b w:val="false"/>
          <w:bCs w:val="false"/>
          <w:i/>
          <w:iCs/>
          <w:sz w:val="22"/>
          <w:szCs w:val="22"/>
        </w:rPr>
        <w:t>Private Treaty</w:t>
      </w:r>
      <w:r>
        <w:rPr>
          <w:rFonts w:eastAsia="Cambria" w:cs="Cambria"/>
          <w:b w:val="false"/>
          <w:bCs w:val="false"/>
          <w:i w:val="false"/>
          <w:iCs w:val="false"/>
          <w:sz w:val="22"/>
          <w:szCs w:val="22"/>
        </w:rPr>
        <w:t>, mit Verhandlung wie in Deutschland) oder öffentlich versteigert (</w:t>
      </w:r>
      <w:r>
        <w:rPr>
          <w:rFonts w:eastAsia="Cambria" w:cs="Cambria"/>
          <w:b w:val="false"/>
          <w:bCs w:val="false"/>
          <w:i/>
          <w:iCs/>
          <w:sz w:val="22"/>
          <w:szCs w:val="22"/>
        </w:rPr>
        <w:t>Auction</w:t>
      </w:r>
      <w:r>
        <w:rPr>
          <w:rFonts w:eastAsia="Cambria" w:cs="Cambria"/>
          <w:b w:val="false"/>
          <w:bCs w:val="false"/>
          <w:i w:val="false"/>
          <w:iCs w:val="false"/>
          <w:sz w:val="22"/>
          <w:szCs w:val="22"/>
        </w:rPr>
        <w:t>) –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üblicherweise eine gesetzliche Rücktrittsfrist (</w:t>
      </w:r>
      <w:r>
        <w:rPr>
          <w:rFonts w:eastAsia="Cambria" w:cs="Cambria"/>
          <w:b w:val="false"/>
          <w:bCs w:val="false"/>
          <w:i/>
          <w:iCs/>
          <w:sz w:val="22"/>
          <w:szCs w:val="22"/>
        </w:rPr>
        <w:t>Cooling-off Period</w:t>
      </w:r>
      <w:r>
        <w:rPr>
          <w:rFonts w:eastAsia="Cambria" w:cs="Cambria"/>
          <w:b w:val="false"/>
          <w:bCs w:val="false"/>
          <w:i w:val="false"/>
          <w:iCs w:val="false"/>
          <w:sz w:val="22"/>
          <w:szCs w:val="22"/>
        </w:rPr>
        <w:t>) von wenigen Werktagen nach Vertragsunterzeichnung –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w:t>
      </w:r>
      <w:r>
        <w:rPr>
          <w:rFonts w:eastAsia="Cambria" w:cs="Cambria"/>
          <w:b w:val="false"/>
          <w:bCs w:val="false"/>
          <w:i/>
          <w:iCs/>
          <w:sz w:val="22"/>
          <w:szCs w:val="22"/>
        </w:rPr>
        <w:t>Mortgage Broker</w:t>
      </w:r>
      <w:r>
        <w:rPr>
          <w:rFonts w:eastAsia="Cambria" w:cs="Cambria"/>
          <w:b w:val="false"/>
          <w:bCs w:val="false"/>
          <w:i w:val="false"/>
          <w:iCs w:val="false"/>
          <w:sz w:val="22"/>
          <w:szCs w:val="22"/>
        </w:rPr>
        <w:t>) nach den konkreten Bedingungen für deinen Visumtyp, bevor du dich in eine Auktion mit fester Kaufabsicht begibst.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ausländische Käufer kommt seit dem 1. April 2025 eine deutliche Hürde hinzu: Ausländer und Inhaber befristeter Visa dürfen bis mindestens 30. Juni 2029 keine Bestandsimmobilien (</w:t>
      </w:r>
      <w:r>
        <w:rPr>
          <w:rFonts w:eastAsia="Cambria" w:cs="Cambria"/>
          <w:b w:val="false"/>
          <w:bCs w:val="false"/>
          <w:i/>
          <w:iCs/>
          <w:sz w:val="22"/>
          <w:szCs w:val="22"/>
        </w:rPr>
        <w:t>Established Dwellings</w:t>
      </w:r>
      <w:r>
        <w:rPr>
          <w:rFonts w:eastAsia="Cambria" w:cs="Cambria"/>
          <w:b w:val="false"/>
          <w:bCs w:val="false"/>
          <w:i w:val="false"/>
          <w:iCs w:val="false"/>
          <w:sz w:val="22"/>
          <w:szCs w:val="22"/>
        </w:rPr>
        <w:t>) mehr kaufen – ein Verbot, das die australische Prüfbehörde für Auslandsinvestitionen (</w:t>
      </w:r>
      <w:r>
        <w:rPr>
          <w:rFonts w:eastAsia="Cambria" w:cs="Cambria"/>
          <w:b w:val="false"/>
          <w:bCs w:val="false"/>
          <w:i/>
          <w:iCs/>
          <w:sz w:val="22"/>
          <w:szCs w:val="22"/>
        </w:rPr>
        <w:t>Foreign Investment Review Board</w:t>
      </w:r>
      <w:r>
        <w:rPr>
          <w:rFonts w:eastAsia="Cambria" w:cs="Cambria"/>
          <w:b w:val="false"/>
          <w:bCs w:val="false"/>
          <w:i w:val="false"/>
          <w:iCs w:val="false"/>
          <w:sz w:val="22"/>
          <w:szCs w:val="22"/>
        </w:rPr>
        <w:t>, FIRB) durchsetzt.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erhebt jeder Bundesstaat beim Immobilienkauf eine gestaffelte Grunderwerbsteuer (</w:t>
      </w:r>
      <w:r>
        <w:rPr>
          <w:rFonts w:eastAsia="Cambria" w:cs="Cambria"/>
          <w:b w:val="false"/>
          <w:bCs w:val="false"/>
          <w:i/>
          <w:iCs/>
          <w:sz w:val="22"/>
          <w:szCs w:val="22"/>
        </w:rPr>
        <w:t>Stamp Duty</w:t>
      </w:r>
      <w:r>
        <w:rPr>
          <w:rFonts w:eastAsia="Cambria" w:cs="Cambria"/>
          <w:b w:val="false"/>
          <w:bCs w:val="false"/>
          <w:i w:val="false"/>
          <w:iCs w:val="false"/>
          <w:sz w:val="22"/>
          <w:szCs w:val="22"/>
        </w:rPr>
        <w:t>);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du als „foreign person“ giltst, hängt am Visumstatus, nicht am Pass oder an der gefühlten Zugehörigkeit. Wer mit einem Permanent-Visum wie dem Skilled Independent Visa (Subclass 189) einreist, ist von der ersten Sekunde an Permanent Resident – FIRB-Verbot und Stamp-Duty-Zuschlag gelten dann nicht. Wer dagegen mit einem befristeten Skilled-Visum kommt, zählt so lange als „foreign person“, bis eine unbefristete Aufenthaltserlaubnis vorliegt – unabhängig davon, wie lange er schon in Australien lebt oder ob er hier bereits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zieht mit dem Skilled Independent Visa (Subclass 189) nach Melbourne – und damit von Anfang an mit Permanent Residence. Thomas und Sandra mieten die ersten Monate in Richmond, während sie Schuldistrikte für Emil (10) und Clara (6) vergleichen. Als sie nach einem Jahr ein Reihenhaus für 780.000 AUD kaufen, zahlen sie die reguläre Stamp Duty, aber keinen Foreign-Buyer-Zuschlag und brauchen keine FIRB-Genehmigung. Ein früherer Kollege aus Sandras Krankenhaus, der mit einem befristeten Arbeitgebervisum nach Australien kam, hätte für dasselbe Haus rund 62.400 AUD mehr drauflegen müssen (8 % Zuschlag in Victoria). Der Unterschied liegt allein im Visumtyp, nicht im Einkommen oder in der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„beste“ Stadt gibt es nicht – nur die, die zu deinem Beruf, deinem Budget und deiner Risikobereitschaft passt. Verbreiteter Irrtum: „Sydney ist teuer, der Rest ist günstig.“ Tatsächlich haben Perth, Brisbane und Adelaide beim Kaufpreis zuletzt kräftig aufgeholt und liegen inzwischen über Melbourne – Perth allein legte binnen eines Jahres um 15,6 % zu. Was für Deutsche zusätzlich gewöhnungsbedürftig ist: Jede Stadt trägt ihr eigenes Naturgefahren-Risiko –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pPr>
        <w:pStyle w:val="Normal"/>
        <w:keepNext w:val="false"/>
        <w:keepLines w:val="false"/>
        <w:spacing w:lineRule="exact" w:line="288" w:before="0" w:after="140"/>
        <w:jc w:val="left"/>
        <w:rPr/>
      </w:pPr>
      <w:r>
        <w:rPr>
          <w:rFonts w:eastAsia="Cambria" w:cs="Cambria"/>
          <w:b/>
          <w:bCs/>
          <w:i w:val="false"/>
          <w:iCs w:val="false"/>
          <w:sz w:val="22"/>
          <w:szCs w:val="22"/>
        </w:rPr>
        <w:t>Sydney (New South Wales)</w:t>
      </w:r>
      <w:r>
        <w:rPr>
          <w:rFonts w:eastAsia="Cambria" w:cs="Cambria"/>
          <w:b w:val="false"/>
          <w:bCs w:val="false"/>
          <w:i w:val="false"/>
          <w:iCs w:val="false"/>
          <w:sz w:val="22"/>
          <w:szCs w:val="22"/>
        </w:rPr>
        <w:t xml:space="preserve"> ist subtropisch-warm, mit heißen, teils schwülen Sommern – und einer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 über 300.000 offene Stellen, Schwerpunkt Finanzen, IT und Gesundheit, mit besonders starker Nachfrage nach Cybersecurity-Fachkräften.</w:t>
      </w:r>
    </w:p>
    <w:p>
      <w:pPr>
        <w:pStyle w:val="Normal"/>
        <w:keepNext w:val="false"/>
        <w:keepLines w:val="false"/>
        <w:spacing w:lineRule="exact" w:line="288" w:before="0" w:after="140"/>
        <w:jc w:val="left"/>
        <w:rPr/>
      </w:pPr>
      <w:r>
        <w:rPr>
          <w:rFonts w:eastAsia="Cambria" w:cs="Cambria"/>
          <w:b/>
          <w:bCs/>
          <w:i w:val="false"/>
          <w:iCs w:val="false"/>
          <w:sz w:val="22"/>
          <w:szCs w:val="22"/>
        </w:rPr>
        <w:t>Melbourne (Victoria)</w:t>
      </w:r>
      <w:r>
        <w:rPr>
          <w:rFonts w:eastAsia="Cambria" w:cs="Cambria"/>
          <w:b w:val="false"/>
          <w:bCs w:val="false"/>
          <w:i w:val="false"/>
          <w:iCs w:val="false"/>
          <w:sz w:val="22"/>
          <w:szCs w:val="22"/>
        </w:rPr>
        <w:t xml:space="preserve">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 bei Hausmieten mit rund 580 AUD pro Woche ebenfalls am günstigsten, während Wohnungsmieten mit 600 AUD auf Rekordniveau liegen. Der Jobmarkt bietet rund 220.000 Stellen in IT, Gesundheit, Infrastruktur und Kreativwirtschaft, dazu einen etablierten Biotech-Standort.</w:t>
      </w:r>
    </w:p>
    <w:p>
      <w:pPr>
        <w:pStyle w:val="Normal"/>
        <w:keepNext w:val="false"/>
        <w:keepLines w:val="false"/>
        <w:spacing w:lineRule="exact" w:line="288" w:before="0" w:after="140"/>
        <w:jc w:val="left"/>
        <w:rPr/>
      </w:pPr>
      <w:r>
        <w:rPr>
          <w:rFonts w:eastAsia="Cambria" w:cs="Cambria"/>
          <w:b/>
          <w:bCs/>
          <w:i w:val="false"/>
          <w:iCs w:val="false"/>
          <w:sz w:val="22"/>
          <w:szCs w:val="22"/>
        </w:rPr>
        <w:t>Brisbane (Queensland)</w:t>
      </w:r>
      <w:r>
        <w:rPr>
          <w:rFonts w:eastAsia="Cambria" w:cs="Cambria"/>
          <w:b w:val="false"/>
          <w:bCs w:val="false"/>
          <w:i w:val="false"/>
          <w:iCs w:val="false"/>
          <w:sz w:val="22"/>
          <w:szCs w:val="22"/>
        </w:rPr>
        <w:t xml:space="preserve"> ist subtropisch, mit heißen, feuchten Sommern und kräftigen Gewittern – und einem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Woche, beide auf Rekordniveau; der Kaufmedian stieg zuletzt um 10,8 % auf 1.080.142 AUD –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pPr>
        <w:pStyle w:val="Normal"/>
        <w:keepNext w:val="false"/>
        <w:keepLines w:val="false"/>
        <w:spacing w:lineRule="exact" w:line="288" w:before="0" w:after="140"/>
        <w:jc w:val="left"/>
        <w:rPr/>
      </w:pPr>
      <w:r>
        <w:rPr>
          <w:rFonts w:eastAsia="Cambria" w:cs="Cambria"/>
          <w:b/>
          <w:bCs/>
          <w:i w:val="false"/>
          <w:iCs w:val="false"/>
          <w:sz w:val="22"/>
          <w:szCs w:val="22"/>
        </w:rPr>
        <w:t>Perth (Western Australia)</w:t>
      </w:r>
      <w:r>
        <w:rPr>
          <w:rFonts w:eastAsia="Cambria" w:cs="Cambria"/>
          <w:b w:val="false"/>
          <w:bCs w:val="false"/>
          <w:i w:val="false"/>
          <w:iCs w:val="false"/>
          <w:sz w:val="22"/>
          <w:szCs w:val="22"/>
        </w:rPr>
        <w:t xml:space="preserve">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 Eisenerz in der Pilbara-Region, dazu bedeutende Goldminen –, und der anhaltende Mangel an qualifizierten Ingenieuren treibt die Gehälter: Ein </w:t>
      </w:r>
      <w:r>
        <w:rPr>
          <w:rFonts w:eastAsia="Cambria" w:cs="Cambria"/>
          <w:b w:val="false"/>
          <w:bCs w:val="false"/>
          <w:i/>
          <w:iCs/>
          <w:sz w:val="22"/>
          <w:szCs w:val="22"/>
        </w:rPr>
        <w:t>Mining Engineer</w:t>
      </w:r>
      <w:r>
        <w:rPr>
          <w:rFonts w:eastAsia="Cambria" w:cs="Cambria"/>
          <w:b w:val="false"/>
          <w:bCs w:val="false"/>
          <w:i w:val="false"/>
          <w:iCs w:val="false"/>
          <w:sz w:val="22"/>
          <w:szCs w:val="22"/>
        </w:rPr>
        <w:t xml:space="preserve"> verdient im Schnitt 155.000 AUD im Jahr, mit </w:t>
      </w:r>
      <w:r>
        <w:rPr>
          <w:rFonts w:eastAsia="Cambria" w:cs="Cambria"/>
          <w:b w:val="false"/>
          <w:bCs w:val="false"/>
          <w:i/>
          <w:iCs/>
          <w:sz w:val="22"/>
          <w:szCs w:val="22"/>
        </w:rPr>
        <w:t>Fly-in-Fly-out</w:t>
      </w:r>
      <w:r>
        <w:rPr>
          <w:rFonts w:eastAsia="Cambria" w:cs="Cambria"/>
          <w:b w:val="false"/>
          <w:bCs w:val="false"/>
          <w:i w:val="false"/>
          <w:iCs w:val="false"/>
          <w:sz w:val="22"/>
          <w:szCs w:val="22"/>
        </w:rPr>
        <w:t>-Zulagen (Unterkunft, Verpflegung und Zuschläge für den Wechsel zwischen Wohnort und entlegener Mine) oft 30.000 bis 60.000 AUD mehr.</w:t>
      </w:r>
    </w:p>
    <w:p>
      <w:pPr>
        <w:pStyle w:val="Normal"/>
        <w:keepNext w:val="false"/>
        <w:keepLines w:val="false"/>
        <w:spacing w:lineRule="exact" w:line="288" w:before="0" w:after="140"/>
        <w:jc w:val="left"/>
        <w:rPr/>
      </w:pPr>
      <w:r>
        <w:rPr>
          <w:rFonts w:eastAsia="Cambria" w:cs="Cambria"/>
          <w:b/>
          <w:bCs/>
          <w:i w:val="false"/>
          <w:iCs w:val="false"/>
          <w:sz w:val="22"/>
          <w:szCs w:val="22"/>
        </w:rPr>
        <w:t>Adelaide (South Australia)</w:t>
      </w:r>
      <w:r>
        <w:rPr>
          <w:rFonts w:eastAsia="Cambria" w:cs="Cambria"/>
          <w:b w:val="false"/>
          <w:bCs w:val="false"/>
          <w:i w:val="false"/>
          <w:iCs w:val="false"/>
          <w:sz w:val="22"/>
          <w:szCs w:val="22"/>
        </w:rPr>
        <w:t xml:space="preserve"> ist ebenfalls mediterran und verzeichnet den geringsten Jahresniederschlag aller australischen Landeshauptstädte –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gesucht werden vor allem Schweißer, Fertigungsspezialisten und Ingenieure.</w:t>
      </w:r>
    </w:p>
    <w:p>
      <w:pPr>
        <w:pStyle w:val="Normal"/>
        <w:keepNext w:val="false"/>
        <w:keepLines w:val="false"/>
        <w:spacing w:lineRule="exact" w:line="288" w:before="0" w:after="140"/>
        <w:jc w:val="left"/>
        <w:rPr/>
      </w:pPr>
      <w:r>
        <w:rPr>
          <w:rFonts w:eastAsia="Cambria" w:cs="Cambria"/>
          <w:b/>
          <w:bCs/>
          <w:i w:val="false"/>
          <w:iCs w:val="false"/>
          <w:sz w:val="22"/>
          <w:szCs w:val="22"/>
        </w:rPr>
        <w:t>Canberra (Australian Capital Territory)</w:t>
      </w:r>
      <w:r>
        <w:rPr>
          <w:rFonts w:eastAsia="Cambria" w:cs="Cambria"/>
          <w:b w:val="false"/>
          <w:bCs w:val="false"/>
          <w:i w:val="false"/>
          <w:iCs w:val="false"/>
          <w:sz w:val="22"/>
          <w:szCs w:val="22"/>
        </w:rPr>
        <w:t xml:space="preserve"> liegt als einzige der sechs Städte nicht an der Küste und hat ein deutlich kontinentaleres Klima: heiße, trockene Sommer, kalte Winter mit Frost. Das Buschfeuerrisiko ist real und historisch belegt –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 die Arbeitslosigkeit im Territorium stieg von 3,0 % Ende 2024 auf 4,4 % im Mai 2026. Nachfrage bleibt hoch in Steuer-Compliance, Verteidigung, Energie- und Umweltregulierung sowie Altenpflege.</w:t>
      </w:r>
    </w:p>
    <w:tbl>
      <w:tblPr>
        <w:tblW w:w="6480" w:type="dxa"/>
        <w:jc w:val="left"/>
        <w:tblInd w:w="0" w:type="dxa"/>
        <w:tblLayout w:type="fixed"/>
        <w:tblCellMar>
          <w:top w:w="50" w:type="dxa"/>
          <w:left w:w="80" w:type="dxa"/>
          <w:bottom w:w="50" w:type="dxa"/>
          <w:right w:w="80" w:type="dxa"/>
        </w:tblCellMar>
      </w:tblPr>
      <w:tblGrid>
        <w:gridCol w:w="986"/>
        <w:gridCol w:w="2616"/>
        <w:gridCol w:w="1167"/>
        <w:gridCol w:w="1710"/>
      </w:tblGrid>
      <w:tr>
        <w:trPr>
          <w:tblHeader w:val="true"/>
          <w:cantSplit w:val="true"/>
        </w:trPr>
        <w:tc>
          <w:tcPr>
            <w:tcW w:w="9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1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Haus/Woche · Kaufmedian)</w:t>
            </w:r>
          </w:p>
        </w:tc>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Buschfeuer am Stadtrand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850 AUD · 1.222.718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IT, Cybersecurity</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wechselhaft, Hitzewellen im Umland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580 AUD · 786.718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Gesundheit, Kreativwirtschaft</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Flusshochwasser, Zyklonausläufer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1.080.142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Bauboom Olympia 2032</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Perth</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Buschfeuer jeden Sommer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 AUD · 999.987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(Pilbara, Gold)</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Adelaide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trockenste Hauptstadt</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650 AUD · 937.207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Verteidigung, Schiffbau</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kontinental-binnenländisch, Buschfeuer (2003)</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864.998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 nicht erst danach, wenn der Vertrag schon unterschrieben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liegt treuhänderisch bei einer Behörde, nicht beim Vermieter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Mietmarkt in allen Hauptstädten auf Rekordniveau, hohe Konkurrenz bei Besichtigungen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Permanent-Resident-Visa wie Subclass 189 sparen sofort Stamp-Duty-Zuschlag und FIRB-Aufwand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dürfen bis mindestens 2029 kaum Bestandsimmobilien kaufen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Brisbane, Perth und Adelaide bieten spürbar günstigeren Wohnraum als Sydney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Foreign-Buyer-Zuschlag von 7–9 % trifft, wer noch keine Permanent Residence hat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Verteidigung und der Olympia-Bauboom schaffen gut bezahlte Nischenjobs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Jobs sind meist an eine einzelne Stadt oder Region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Kaufprozess mit Auktion und Conveyancer ist oft schneller als in Deutschland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Kaum Bedenkzeit bei Versteigerungen, kurze Cooling-off-Frist beim freihändigen Kauf</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Buschfeuer, Flut oder Zyklon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in deinem Berufsfeld und Naturgefahren-Profil der Zielstadt. Kläre früh, welchen Visumstatus du beim Umzug hast –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 anders als in Deutschland – sofort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Visumstatus geklärt: Permanent Resident oder „foreign person“ im Sinne des FIRB?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überhaupt eine Bestandsimmobilie infrage kommt oder nur ein Neubau mit FIRB-Genehmigung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Foreign-Buyer-Zuschlag des Zielbundesstaats in die Kaufpreisrechnung eingerechnet (7–9 %)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Kautionsstelle (Bond-Behörde) des Bundesstaats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Sydney oder Melbourne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Conveyancer oder Immobilienanwalt kontaktiert, Cooling-off-Regeln des Bundesstaats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für den eigenen Visumtyp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Foreign Investment Review Board — FIRB-Regeln, Established-Dwelling-Verbot (</w:t>
      </w:r>
      <w:hyperlink r:id="rId470">
        <w:r>
          <w:rPr>
            <w:rStyle w:val="ListLabel113"/>
            <w:rFonts w:eastAsia="Cambria" w:cs="Cambria"/>
            <w:b w:val="false"/>
            <w:bCs w:val="false"/>
            <w:i w:val="false"/>
            <w:iCs w:val="false"/>
            <w:color w:val="0563C1"/>
            <w:sz w:val="22"/>
            <w:szCs w:val="22"/>
            <w:u w:val="single"/>
          </w:rPr>
          <w:t>firb.gov.au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Gebühren und Fristen für Auslandsinvestitionen (</w:t>
      </w:r>
      <w:hyperlink r:id="rId47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Fair Trading — Mietrecht, Rental Bonds Online (</w:t>
      </w:r>
      <w:hyperlink r:id="rId472">
        <w:r>
          <w:rPr>
            <w:rStyle w:val="ListLabel113"/>
            <w:rFonts w:eastAsia="Cambria" w:cs="Cambria"/>
            <w:b w:val="false"/>
            <w:bCs w:val="false"/>
            <w:i w:val="false"/>
            <w:iCs w:val="false"/>
            <w:color w:val="0563C1"/>
            <w:sz w:val="22"/>
            <w:szCs w:val="22"/>
            <w:u w:val="single"/>
          </w:rPr>
          <w:t>fairtrading.nsw.gov.au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Domain Rental Report und Cotality Home Value Index — aktuelle Miet- und Kaufpreise (</w:t>
      </w:r>
      <w:hyperlink r:id="rId473">
        <w:r>
          <w:rPr>
            <w:rStyle w:val="ListLabel113"/>
            <w:rFonts w:eastAsia="Cambria" w:cs="Cambria"/>
            <w:b w:val="false"/>
            <w:bCs w:val="false"/>
            <w:i w:val="false"/>
            <w:iCs w:val="false"/>
            <w:color w:val="0563C1"/>
            <w:sz w:val="22"/>
            <w:szCs w:val="22"/>
            <w:u w:val="single"/>
          </w:rPr>
          <w:t>domain.com.au</w:t>
        </w:r>
      </w:hyperlink>
      <w:r>
        <w:rPr>
          <w:rFonts w:eastAsia="Cambria" w:cs="Cambria"/>
          <w:b w:val="false"/>
          <w:bCs w:val="false"/>
          <w:i w:val="false"/>
          <w:iCs w:val="false"/>
          <w:sz w:val="22"/>
          <w:szCs w:val="22"/>
        </w:rPr>
        <w:t xml:space="preserve">, </w:t>
      </w:r>
      <w:hyperlink r:id="rId474">
        <w:r>
          <w:rPr>
            <w:rStyle w:val="ListLabel113"/>
            <w:rFonts w:eastAsia="Cambria" w:cs="Cambria"/>
            <w:b w:val="false"/>
            <w:bCs w:val="false"/>
            <w:i w:val="false"/>
            <w:iCs w:val="false"/>
            <w:color w:val="0563C1"/>
            <w:sz w:val="22"/>
            <w:szCs w:val="22"/>
            <w:u w:val="single"/>
          </w:rPr>
          <w:t>cotality.com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Vertretungen vor Ort (</w:t>
      </w:r>
      <w:hyperlink r:id="rId475">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2" w:name="__RefHeading___Toc56550_3457424410"/>
      <w:bookmarkStart w:id="123" w:name="tau10"/>
      <w:bookmarkEnd w:id="122"/>
      <w:r>
        <w:rPr>
          <w:rFonts w:eastAsia="Amazon Ember" w:cs="Amazon Ember" w:ascii="Amazon Ember" w:hAnsi="Amazon Ember"/>
          <w:b/>
          <w:bCs/>
          <w:color w:val="0000FF"/>
          <w:sz w:val="36"/>
          <w:szCs w:val="36"/>
        </w:rPr>
        <w:t>Australien: Führerschein, Auto und Verkehrsregeln</w:t>
      </w:r>
      <w:bookmarkEnd w:id="1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sitzt zum ersten Mal hinter dem Lenkrad eines australischen Mietwagens, tastest routiniert nach dem Blinkerhebel links – und lässt stattdessen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 nur du musst es jetzt tun. Führerschein, Auto und Verkehrsregeln hängen in Australien eng zusammen, und wer die wichtigsten Unterschiede vor dem ersten Start kennt, erspart sich die teuersten Überraschungen.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Wichtigster Unterschied zu Deutschland: Australien fährt auf der linken Straßenseite. Kreisverkehre laufen im Uhrzeigersinn, Blinker und Scheibenwischer sitzen bei vielen Fahrzeugen vertauscht, und die Eingewöhnung braucht ein paar Tage bewusste Aufmerksamkeit.</w:t>
            </w:r>
          </w:p>
          <w:p>
            <w:pPr>
              <w:pStyle w:val="ListParagraph"/>
              <w:numPr>
                <w:ilvl w:val="0"/>
                <w:numId w:val="1"/>
              </w:numPr>
              <w:spacing w:lineRule="exact" w:line="264" w:before="0" w:after="50"/>
              <w:rPr/>
            </w:pPr>
            <w:r>
              <w:rPr>
                <w:rFonts w:eastAsia="Cambria" w:cs="Cambria"/>
                <w:b w:val="false"/>
                <w:bCs w:val="false"/>
                <w:i w:val="false"/>
                <w:iCs w:val="false"/>
                <w:sz w:val="20"/>
                <w:szCs w:val="20"/>
              </w:rPr>
              <w:t>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Alkoholgrenze liegt bei 0,05 % BAC (Blutalkoholkonzentration) für volle Lizenzen, bei 0,00 % für Fahranfänger – und wird durch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mit rund 15 Millionen Tests im Jahr flächendeckend kontrolliert.</w:t>
            </w:r>
          </w:p>
          <w:p>
            <w:pPr>
              <w:pStyle w:val="ListParagraph"/>
              <w:numPr>
                <w:ilvl w:val="0"/>
                <w:numId w:val="1"/>
              </w:numPr>
              <w:spacing w:lineRule="exact" w:line="264" w:before="0" w:after="50"/>
              <w:rPr/>
            </w:pPr>
            <w:r>
              <w:rPr>
                <w:rFonts w:eastAsia="Cambria" w:cs="Cambria"/>
                <w:b w:val="false"/>
                <w:bCs w:val="false"/>
                <w:i w:val="false"/>
                <w:iCs w:val="false"/>
                <w:sz w:val="20"/>
                <w:szCs w:val="20"/>
              </w:rPr>
              <w:t>Mobile Speed Cameras stehen in mehreren Bundesstaaten unmarkiert am Straßenrand, und Bußgelder fürs Handy am Steuer erreichen je nach Bundesstaat vierstellige Beträge.</w:t>
            </w:r>
          </w:p>
          <w:p>
            <w:pPr>
              <w:pStyle w:val="ListParagraph"/>
              <w:numPr>
                <w:ilvl w:val="0"/>
                <w:numId w:val="1"/>
              </w:numPr>
              <w:spacing w:lineRule="exact" w:line="264" w:before="0" w:after="50"/>
              <w:rPr/>
            </w:pPr>
            <w:r>
              <w:rPr>
                <w:rFonts w:eastAsia="Cambria" w:cs="Cambria"/>
                <w:b w:val="false"/>
                <w:bCs w:val="false"/>
                <w:i w:val="false"/>
                <w:iCs w:val="false"/>
                <w:sz w:val="20"/>
                <w:szCs w:val="20"/>
              </w:rPr>
              <w:t>Das Demerit-Points-System ist streng gestaffelt: Volle Lizenzen verlieren sie bei 11 bis 13 Punkten binnen drei Jahren, Fahranfänger schon bei 4.</w:t>
            </w:r>
          </w:p>
          <w:p>
            <w:pPr>
              <w:pStyle w:val="ListParagraph"/>
              <w:numPr>
                <w:ilvl w:val="0"/>
                <w:numId w:val="1"/>
              </w:numPr>
              <w:spacing w:lineRule="exact" w:line="264" w:before="0" w:after="50"/>
              <w:rPr/>
            </w:pPr>
            <w:r>
              <w:rPr>
                <w:rFonts w:eastAsia="Cambria" w:cs="Cambria"/>
                <w:b w:val="false"/>
                <w:bCs w:val="false"/>
                <w:i w:val="false"/>
                <w:iCs w:val="false"/>
                <w:sz w:val="20"/>
                <w:szCs w:val="20"/>
              </w:rPr>
              <w:t>Im Outback zählen Kängurus zu den größten Unfallrisiken, und die Entfernungen zwischen Städten sind so groß, dass Pausenplanung Pflicht ist, nicht Kür.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wichtigste Punkt: Linksverkehr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fährt links, mit rechtsgesteuerten Fahrzeugen – ein Erbe der britischen Kolonialzeit, das nie zur Debatte stand und auch nie zur Debatte stehen wird. Für deutsche Neuankömmlinge ist das der strukturell größte Umstellungspunkt am ganzen Thema Auto: Es ändert sich nicht nur eine Tempo-Einheit oder eine Vorfahrtsregel, sondern die gesamte körperliche Routine des Fahrens.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Alltag zeigt sich das an vielen kleinen Stellen gleichzeitig. Kreisverkehre werden im Uhrzeigersinn durchfahren, nicht gegen ihn. Blinker- und Scheibenwischerhebel sitzen je nach Fahrzeug und Hersteller oft vertauscht, weil die Fahrerposition gespiegelt ist –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 exakt umgekehrt zur deutschen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eine australische Besonderheit, die mit dem Linksverkehr nichts zu tun hat, aber ebenfalls neu ist: An unbeschilderten Kreuzungen ohne Ampeln oder Markierungen (und die keine T-Kreuzung sind) hat grundsätzlich das von rechts kommende Fahrzeug Vorfahrt, unabhängig davon, ob es abbiegt oder geradeaus fährt. Treffen zwei Fahrzeuge gleichzeitig ein, muss das Fahrzeug von links dem Fahrzeug von rechts weichen. Das Prinzip ähnelt dem 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 dieses Prinzip gilt in Australien schon deutlich länger als im benachbarten Neuseeland, das eine vergleichbare Regel erst 2012 eingeführt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 die ersten Fahrten möglichst auf einem leeren Parkplatz oder in einer ruhigen Wohnstraße, bevor du dich in den Stadtverkehr wagst – besonders Kreisverkehre und Linksabbiegen an belebten Kreuzungen. Der Fehler mit der falschen Fahrspur passiert nicht aus Leichtsinn, sondern aus Jahrzehnten eingeübter Reflexe, die sich nicht per Willenskraft, sondern nur durch Wiederholung umgewöhnen lassen.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kauft in ihrer dritten Woche in Melbourne einen gebrauchten Kombi. Thomas nimmt sich extra einen Vormittag frei, um auf einem leeren Parkplatz das Linksfahren zu üben – und greift beim ersten Abbiegen trotzdem routiniert nach dem Blinkerhebel links, während rechts die Scheibenwischer über die trockene Scheibe quietschen. Sandra findet das nicht halb so komisch wie ihre eigene erste Kreisverkehr-Runde, in der sie entschlossen gegen den Uhrzeigersinn losfährt, bis ein höflicher Hupton sie umdirigiert. Nach zwei Wochen sitzt der Griff zum richtigen Hebel, und der Kreisverkehr ist nur noch Routine – die Anekdote bleibt der Familie trotzdem noch lange erhalten.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 das Fahren an sich ist in Australien das Problem, sondern die ersten reflexhaften Sekunden – Blinker, Schulterblick, Kreisverkehr, der Blick zuerst nach rechts. Nach ein bis zwei Wochen bewusster Übung wird daraus Routine, danach denkst du nicht mehr darüber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 ein reiner Verwaltungsvorgang, sofern der deutsche Führerschein auf Englisch vorliegt oder durch eine amtliche Übersetzung beziehungsweise einen </w:t>
      </w:r>
      <w:r>
        <w:rPr>
          <w:rFonts w:eastAsia="Cambria" w:cs="Cambria"/>
          <w:b w:val="false"/>
          <w:bCs w:val="false"/>
          <w:i/>
          <w:iCs/>
          <w:sz w:val="22"/>
          <w:szCs w:val="22"/>
        </w:rPr>
        <w:t>Internationalen Führerschein</w:t>
      </w:r>
      <w:r>
        <w:rPr>
          <w:rFonts w:eastAsia="Cambria" w:cs="Cambria"/>
          <w:b w:val="false"/>
          <w:bCs w:val="false"/>
          <w:i w:val="false"/>
          <w:iCs w:val="false"/>
          <w:sz w:val="22"/>
          <w:szCs w:val="22"/>
        </w:rPr>
        <w:t xml:space="preserve"> (IDP, eine mehrsprachige Zusatzurkunde zum nationalen Führerschein) ergänzt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zuständige Behörde heißt zudem nicht überall gleich, was die Suche nach der richtigen Anlaufstelle erschwert: In Victoria ist es VicRoads beziehungsweise das Department of Transport, in New South Wales Transport for NSW (Service NSW), in Queensland das Department of Transport and Main Roads (TMR), in South Australia Service SA, in Western Australia das Department of Transport. Im Buch steht der Einfachheit halber „DMV-Äquivalent“ dafür, wenn allgemein von der Führerscheinbehörde die Rede ist. Deutlich uneinheitlicher als der Name sind ohnehin die Fristen, bis wann du überhaupt umtauschen musst:</w:t>
      </w:r>
    </w:p>
    <w:tbl>
      <w:tblPr>
        <w:tblW w:w="6480" w:type="dxa"/>
        <w:jc w:val="left"/>
        <w:tblInd w:w="0" w:type="dxa"/>
        <w:tblLayout w:type="fixed"/>
        <w:tblCellMar>
          <w:top w:w="50" w:type="dxa"/>
          <w:left w:w="80" w:type="dxa"/>
          <w:bottom w:w="50" w:type="dxa"/>
          <w:right w:w="80" w:type="dxa"/>
        </w:tblCellMar>
      </w:tblPr>
      <w:tblGrid>
        <w:gridCol w:w="1936"/>
        <w:gridCol w:w="2399"/>
        <w:gridCol w:w="2145"/>
      </w:tblGrid>
      <w:tr>
        <w:trPr>
          <w:tblHeader w:val="true"/>
          <w:cantSplit w:val="true"/>
        </w:trPr>
        <w:tc>
          <w:tcPr>
            <w:tcW w:w="1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Bundesstaat/Territorium</w:t>
            </w:r>
          </w:p>
        </w:tc>
        <w:tc>
          <w:tcPr>
            <w:tcW w:w="2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für befristete Visa-Inhaber</w:t>
            </w:r>
          </w:p>
        </w:tc>
        <w:tc>
          <w:tcPr>
            <w:tcW w:w="21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für Permanent Residents/Staatsbürger</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Victoria, Queensland, South Australia, Tasmanien, ACT</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unbegrenzt mit gültigem deutschem Führerschein</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 d. R. 3 Monate nach Wohnsitznahme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South Wales</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Northern Territory</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Western Australia</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 unabhängig vom Visumstatus</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„Der deutsche Führerschein gilt doch, solange das Visum läuft.“ Tatsächlich ist die Frist an den Wohnsitz gekoppelt, nicht an das Visum – und sie beginnt bei jedem Umzug innerhalb Australiens neu zu laufen. Wer von einem kulanten Bundesstaat wie Victoria nach New South Wales oder Western Australia zieht, sollte die dortige Frist ab dem Tag der Wohnsitznahme neu prüfen, statt sich auf die alte Regel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seines Bundesstaats verpasst, fährt ohne gültige Lizenz – mit Folgen für Bußgelder, Versicherungsschutz im Schadensfall und im schlimmsten Fall den Aufenthaltsstatus. Prüfe die Frist deines Zielbundesstaats direkt bei der zuständigen Behörde, bevor du fliegst,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englische Übersetzung oder den IDP schon in Deutschland bei deiner Führerscheinstelle –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Kfz-Haftpflicht-Basisversicherung, die </w:t>
      </w:r>
      <w:r>
        <w:rPr>
          <w:rFonts w:eastAsia="Cambria" w:cs="Cambria"/>
          <w:b w:val="false"/>
          <w:bCs w:val="false"/>
          <w:i/>
          <w:iCs/>
          <w:sz w:val="22"/>
          <w:szCs w:val="22"/>
        </w:rPr>
        <w:t>Compulsory Third Party</w:t>
      </w:r>
      <w:r>
        <w:rPr>
          <w:rFonts w:eastAsia="Cambria" w:cs="Cambria"/>
          <w:b w:val="false"/>
          <w:bCs w:val="false"/>
          <w:i w:val="false"/>
          <w:iCs w:val="false"/>
          <w:sz w:val="22"/>
          <w:szCs w:val="22"/>
        </w:rPr>
        <w:t>-Versicherung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bzw. </w:t>
      </w:r>
      <w:r>
        <w:rPr>
          <w:rFonts w:eastAsia="Cambria" w:cs="Cambria"/>
          <w:b w:val="false"/>
          <w:bCs w:val="false"/>
          <w:i/>
          <w:iCs/>
          <w:sz w:val="22"/>
          <w:szCs w:val="22"/>
        </w:rPr>
        <w:t>Third Party Property Damage</w:t>
      </w:r>
      <w:r>
        <w:rPr>
          <w:rFonts w:eastAsia="Cambria" w:cs="Cambria"/>
          <w:b w:val="false"/>
          <w:bCs w:val="false"/>
          <w:i w:val="false"/>
          <w:iCs w:val="false"/>
          <w:sz w:val="22"/>
          <w:szCs w:val="22"/>
        </w:rPr>
        <w:t>, entspricht Voll- beziehungsweise Teilkasko) ist freiwillig, aber marktüblich; konkrete Prämienhöhen hängen stark von Fahrzeug, Wohnort und Fahrerprofil ab und lohnen einen Vergleich mehrerer Angebote.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Gebrauchtwagenkauf lohnt ein zweiter Blick auf den Bundesstaat: Nur Victoria und Queensland verlangen gesetzlich ein </w:t>
      </w:r>
      <w:r>
        <w:rPr>
          <w:rFonts w:eastAsia="Cambria" w:cs="Cambria"/>
          <w:b w:val="false"/>
          <w:bCs w:val="false"/>
          <w:i/>
          <w:iCs/>
          <w:sz w:val="22"/>
          <w:szCs w:val="22"/>
        </w:rPr>
        <w:t>Roadworthy Certificate</w:t>
      </w:r>
      <w:r>
        <w:rPr>
          <w:rFonts w:eastAsia="Cambria" w:cs="Cambria"/>
          <w:b w:val="false"/>
          <w:bCs w:val="false"/>
          <w:i w:val="false"/>
          <w:iCs w:val="false"/>
          <w:sz w:val="22"/>
          <w:szCs w:val="22"/>
        </w:rPr>
        <w:t xml:space="preserve"> (eine Zustandsprüfung des Fahrzeugs) beim Verkauf, mit Kosten von rund 80 bis 150 AUD (in Victoria eher rund 200 AUD) und einer Gültigkeit von meist 30 Tagen. In New South Wales, Western Australia, South Australia und Tasmanien gibt es diese Pflicht nicht – hier lohnt sich eine unabhängige Inspektion vor dem Kauf besonders, weil niemand sonst für den technischen Zustand geradesteht.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Kaufst du außerhalb von Victoria oder Queensland, lass das Fahrzeug vor dem Kauf von einer unabhängigen Werkstatt prüfen – die Kosten dafür liegen deutlich unter dem, was ein übersehener Mangel später kostet. Und hole für die Versicherung mindestens zwei bis drei Angebote mit identischer Deckung ein, denn die Preisunterschiede zwischen Anbietern sind spürbar.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Zulassung selbst (umgangssprachlich </w:t>
      </w:r>
      <w:r>
        <w:rPr>
          <w:rFonts w:eastAsia="Cambria" w:cs="Cambria"/>
          <w:b w:val="false"/>
          <w:bCs w:val="false"/>
          <w:i/>
          <w:iCs/>
          <w:sz w:val="22"/>
          <w:szCs w:val="22"/>
        </w:rPr>
        <w:t>Rego</w:t>
      </w:r>
      <w:r>
        <w:rPr>
          <w:rFonts w:eastAsia="Cambria" w:cs="Cambria"/>
          <w:b w:val="false"/>
          <w:bCs w:val="false"/>
          <w:i w:val="false"/>
          <w:iCs w:val="false"/>
          <w:sz w:val="22"/>
          <w:szCs w:val="22"/>
        </w:rPr>
        <w:t xml:space="preserve">, kurz für </w:t>
      </w:r>
      <w:r>
        <w:rPr>
          <w:rFonts w:eastAsia="Cambria" w:cs="Cambria"/>
          <w:b w:val="false"/>
          <w:bCs w:val="false"/>
          <w:i/>
          <w:iCs/>
          <w:sz w:val="22"/>
          <w:szCs w:val="22"/>
        </w:rPr>
        <w:t>Registration</w:t>
      </w:r>
      <w:r>
        <w:rPr>
          <w:rFonts w:eastAsia="Cambria" w:cs="Cambria"/>
          <w:b w:val="false"/>
          <w:bCs w:val="false"/>
          <w:i w:val="false"/>
          <w:iCs w:val="false"/>
          <w:sz w:val="22"/>
          <w:szCs w:val="22"/>
        </w:rPr>
        <w:t>)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in der Regel jährlich und wird meist automatisch per Brief oder SMS angekündigt, bezahlt wird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Zulassungskosten inklusive CTP reichen je nach Bundesstaat und Fahrzeug von wenigen hundert bis über 1.000 AUD im Jahr – eine grobe Richtgröße, keine feste Zahl, die du beim zuständigen Amt deines Bundesstaats konkret erfragst.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am Steuer und die Kultur der Random Breath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Inhaber einer vollen Lizenz gilt bundesweit einheitlich eine Grenze von 0,05 %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xml:space="preserve">, Blutalkoholkonzentration) – niedriger als die deutschen 0,5 Promille. Für Lern- und Anfängerfahrer mit </w:t>
      </w:r>
      <w:r>
        <w:rPr>
          <w:rFonts w:eastAsia="Cambria" w:cs="Cambria"/>
          <w:b w:val="false"/>
          <w:bCs w:val="false"/>
          <w:i/>
          <w:iCs/>
          <w:sz w:val="22"/>
          <w:szCs w:val="22"/>
        </w:rPr>
        <w:t>P-Plates</w:t>
      </w:r>
      <w:r>
        <w:rPr>
          <w:rFonts w:eastAsia="Cambria" w:cs="Cambria"/>
          <w:b w:val="false"/>
          <w:bCs w:val="false"/>
          <w:i w:val="false"/>
          <w:iCs w:val="false"/>
          <w:sz w:val="22"/>
          <w:szCs w:val="22"/>
        </w:rPr>
        <w:t xml:space="preserve"> (der Kennzeichnung für Fahranfänger, vergleichbar der deutschen Probezeit) gilt bundesweit 0,00 %: Jede messbare Menge Alkohol ist ein Verstoß, unabhängig von tatsächlicher Beeinträchtigung.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diese Zahl im Alltag deutlich greifbarer macht als in Deutschland, ist die Kontrolldichte.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verdachtsunabhängige Atemalkoholkontrolle direkt auf der Straße) ist seit der Einführung in New South Wales 1982 ein fester Bestandteil der australischen Verkehrssicherheitskultur: Landesweit werden inzwischen rund 15 Millionen Atemtests pro Jahr durchgeführt, gegenüber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Kontrollstellen, an denen reihenweise Fahrzeuge ohne konkreten Anlass zum Atemtest herausgewunken werden, begegnen dir im Lauf eines Jahres so gut wie sicher – meist am Straßenrand, oft abends oder am Wochenende, manchmal auch tagsüber. Das ist kein Zeichen, dass etwas Besonderes vorgefallen ist, sondern schlicht Alltag.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Australien ist es der Normalfall, nicht die Ausnahme, im Lauf eines Jahres mindestens einmal in eine Random-Breath-Test-Kontrolle zu geraten. Führerschein und Ausweis griffbereit zu haben, gehört ebenso zur Routine wie der Sicherheitsgurt.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Mobile Speed Cameras, Handy-Verbot und das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7.300 Kamerastandorte, fest und mobil, werden australienweit erfasst –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wird teuer geahndet, mit deutlichen Unterschieden zwischen den Bundesstaaten: In New South Wales kostet ein Verstoß 362 bis 481 AUD und 5 bis 10 Demeritpunkte, in Victoria seit einer Anhebung 2026 mindestens 577 AUD (bis 1.731 AUD je nach Verstoß) und 4 Punkte, in Queensland 1.161 AUD und 4 Punkte. Verschiedene Quellen bezeichnen jeweils ihren eigenen Bundesstaat als den mit der höchsten Strafe – Fakt ist: Alle drei liegen deutlich über dem, was in Deutschland für dasselbe Vergehen fällig wird. KI-gestützte Erkennungskameras für Handynutzung sind inzwischen in New South Wales, Victoria und Queensland im Einsatz und erkennen die Handhaltung durch die Windschutzscheibe automatisch.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Demerit-Points</w:t>
      </w:r>
      <w:r>
        <w:rPr>
          <w:rFonts w:eastAsia="Cambria" w:cs="Cambria"/>
          <w:b w:val="false"/>
          <w:bCs w:val="false"/>
          <w:i w:val="false"/>
          <w:iCs w:val="false"/>
          <w:sz w:val="22"/>
          <w:szCs w:val="22"/>
        </w:rPr>
        <w:t>-System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beziehungsweise Probationary-Lizenzen. Ist die Grenze erreicht, drohen Sperre oder alternativ ein „Good Behaviour“-Zeitraum mit strengeren Auflagen.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einziger Handyverstoß kann bei knappem Punktestand schon zur Sperre führen, besonders bei P-Plate-Fahrern mit ihrer niedrigen Schwelle. Rechne Bußgeld und Punktabzug realistisch mit ein, bevor du zum Telefon greifst – eine kurze Nachricht ist selten die Fahrerlaubnis wert.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Große Distanzen: Outback, Kängurus und Tempolimits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Herausforderung im Outback sind aber selten die Tempolimits, sondern die Entfernungen selbst –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kommen </w:t>
      </w:r>
      <w:r>
        <w:rPr>
          <w:rFonts w:eastAsia="Cambria" w:cs="Cambria"/>
          <w:b w:val="false"/>
          <w:bCs w:val="false"/>
          <w:i/>
          <w:iCs/>
          <w:sz w:val="22"/>
          <w:szCs w:val="22"/>
        </w:rPr>
        <w:t>Roadtrains</w:t>
      </w:r>
      <w:r>
        <w:rPr>
          <w:rFonts w:eastAsia="Cambria" w:cs="Cambria"/>
          <w:b w:val="false"/>
          <w:bCs w:val="false"/>
          <w:i w:val="false"/>
          <w:iCs w:val="false"/>
          <w:sz w:val="22"/>
          <w:szCs w:val="22"/>
        </w:rPr>
        <w:t xml:space="preserve">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 im Zweifel lieber einmal zu oft warten als knapp einscheren.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 gerade dort, wo die Distanz zur nächsten Werkstatt in Autostunden, nicht in Kilometern gedacht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leiht sich zwischen zwei Jobs einen Gebrauchtwagen und fährt mit einer Freundin von Sydney Richtung Outback. Auf dem Rückweg, kurz nach Sonnenuntergang, taucht ohne Vorwarnung ein Känguru mitten auf der Fahrbahn auf; nur eine Vollbremsung verhindert Schlimmeres. Von da an fährt sie zwischen Dämmerung und Sonnenaufgang nicht mehr, sondern plant lange Pausen ein und bricht lieber vor Tagesanbruch neu auf. Auf der Rückfahrt hält sie eine Random-Breath-Test-Kontrolle an einer unscheinbaren Straßensperre an – kurzer Atemtest, ein knappes „Have a good night“, weiter geht’s. Für Nina ist es die erste von mehreren solchen Kontrollen in diesem Jahr; Ausweis und Führerschein liegen seitdem griffbereit im Handschuhfach.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läuft in den meisten Bundesstaaten ohne Prüfung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und Regeln unterscheiden sich stark, ein Umzug setzt die Uhr neu</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Straßen und Fernstraßen sind gut ausgebaut und meist mautfrei</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Entfernungen zwischen Städten, im Outback kaum Handyempfang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RBT-Kontrollen machen Alkohol am Steuer sichtbar unattraktiv</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sind für Neuankömmlinge gewöhnungsbedürftig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CTP-Pflichtversicherung deckt Personenschäden von Beginn an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Zusatzversicherung und Roadworthy-Prüfung sind je Bundesstaat unterschiedlich geregelt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Kreisverkehr, Vorfahrt und Tempolimits folgen klaren, lernbaren Regeln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erfordert echte Umgewöhnung, Fehler passieren vor allem in den ersten Wochen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Speed Cameras und KI-Erkennung erhöhen die Verkehrssicherheit spürbar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fürs Handy am Steuer erreichen vierstellige Beträge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1"/>
        </w:numPr>
        <w:spacing w:lineRule="exact" w:line="288" w:before="0" w:after="60"/>
        <w:rPr/>
      </w:pPr>
      <w:r>
        <w:rPr>
          <w:rFonts w:eastAsia="Cambria" w:cs="Cambria"/>
          <w:b w:val="false"/>
          <w:bCs w:val="false"/>
          <w:i w:val="false"/>
          <w:iCs w:val="false"/>
          <w:sz w:val="22"/>
          <w:szCs w:val="22"/>
        </w:rPr>
        <w:t>Vor dem Abflug: Umtauschfrist und Prüfungspflicht deines Zielbundesstaats klären, englische Übersetzung oder IDP beantragen.</w:t>
      </w:r>
    </w:p>
    <w:p>
      <w:pPr>
        <w:pStyle w:val="ListParagraph"/>
        <w:numPr>
          <w:ilvl w:val="0"/>
          <w:numId w:val="232"/>
        </w:numPr>
        <w:spacing w:lineRule="exact" w:line="288" w:before="0" w:after="60"/>
        <w:rPr/>
      </w:pPr>
      <w:r>
        <w:rPr>
          <w:rFonts w:eastAsia="Cambria" w:cs="Cambria"/>
          <w:b w:val="false"/>
          <w:bCs w:val="false"/>
          <w:i w:val="false"/>
          <w:iCs w:val="false"/>
          <w:sz w:val="22"/>
          <w:szCs w:val="22"/>
        </w:rPr>
        <w:t>In der ersten Woche: Erste Fahrten auf ruhigen Strecken üben, CTP-Versicherung klären, Termin bei der zuständigen Behörde vereinbaren.</w:t>
      </w:r>
    </w:p>
    <w:p>
      <w:pPr>
        <w:pStyle w:val="ListParagraph"/>
        <w:numPr>
          <w:ilvl w:val="0"/>
          <w:numId w:val="233"/>
        </w:numPr>
        <w:spacing w:lineRule="exact" w:line="288" w:before="0" w:after="60"/>
        <w:rPr/>
      </w:pPr>
      <w:r>
        <w:rPr>
          <w:rFonts w:eastAsia="Cambria" w:cs="Cambria"/>
          <w:b w:val="false"/>
          <w:bCs w:val="false"/>
          <w:i w:val="false"/>
          <w:iCs w:val="false"/>
          <w:sz w:val="22"/>
          <w:szCs w:val="22"/>
        </w:rPr>
        <w:t>Vor dem Autokauf: Bei Bedarf unabhängige Fahrzeuginspektion organisieren und mehrere Versicherungsangebote vergleichen.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deines Zielbundesstaats bei der zuständigen Verkehrsbehörde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Führerscheins oder Internationalen Führerschein (IDP) vor der Abreise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Fahrten in ruhiger Umgebung eingeplant, v. a. Kreisverkehre und Linksabbiegen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CTP-Pflichtversicherung geklärt (in Victoria automatisch, sonst separat zu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Gebrauchtwagenkauf außerhalb Victoria/Queensland unabhängige Inspektion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bis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Ausweis und Führerschein für Random-Breath-Test-Kontrollen griffbereit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Handy-Regeln des Bundesstaats gekannt und Halterung fürs Fahrzeug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Demerit-Punktestand und dessen Schwelle im Zielbundesstaat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Outback-Fahrten mit Pausen, Wasser und möglichst viel Tageslicht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Bundesstaaten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Verkehrsbehörden der Bundesstaaten — Führerschein-Umtausch, Fristen: </w:t>
      </w:r>
      <w:hyperlink r:id="rId476">
        <w:r>
          <w:rPr>
            <w:rStyle w:val="ListLabel113"/>
            <w:rFonts w:eastAsia="Cambria" w:cs="Cambria"/>
            <w:b w:val="false"/>
            <w:bCs w:val="false"/>
            <w:i w:val="false"/>
            <w:iCs w:val="false"/>
            <w:color w:val="0563C1"/>
            <w:sz w:val="22"/>
            <w:szCs w:val="22"/>
            <w:u w:val="single"/>
          </w:rPr>
          <w:t>transport.vic.gov.au</w:t>
        </w:r>
      </w:hyperlink>
      <w:r>
        <w:rPr>
          <w:rFonts w:eastAsia="Cambria" w:cs="Cambria"/>
          <w:b w:val="false"/>
          <w:bCs w:val="false"/>
          <w:i w:val="false"/>
          <w:iCs w:val="false"/>
          <w:sz w:val="22"/>
          <w:szCs w:val="22"/>
        </w:rPr>
        <w:t xml:space="preserve">, </w:t>
      </w:r>
      <w:hyperlink r:id="rId477">
        <w:r>
          <w:rPr>
            <w:rStyle w:val="ListLabel113"/>
            <w:rFonts w:eastAsia="Cambria" w:cs="Cambria"/>
            <w:b w:val="false"/>
            <w:bCs w:val="false"/>
            <w:i w:val="false"/>
            <w:iCs w:val="false"/>
            <w:color w:val="0563C1"/>
            <w:sz w:val="22"/>
            <w:szCs w:val="22"/>
            <w:u w:val="single"/>
          </w:rPr>
          <w:t>service.nsw.gov.au</w:t>
        </w:r>
      </w:hyperlink>
      <w:r>
        <w:rPr>
          <w:rFonts w:eastAsia="Cambria" w:cs="Cambria"/>
          <w:b w:val="false"/>
          <w:bCs w:val="false"/>
          <w:i w:val="false"/>
          <w:iCs w:val="false"/>
          <w:sz w:val="22"/>
          <w:szCs w:val="22"/>
        </w:rPr>
        <w:t xml:space="preserve">, </w:t>
      </w:r>
      <w:hyperlink r:id="rId478">
        <w:r>
          <w:rPr>
            <w:rStyle w:val="ListLabel113"/>
            <w:rFonts w:eastAsia="Cambria" w:cs="Cambria"/>
            <w:b w:val="false"/>
            <w:bCs w:val="false"/>
            <w:i w:val="false"/>
            <w:iCs w:val="false"/>
            <w:color w:val="0563C1"/>
            <w:sz w:val="22"/>
            <w:szCs w:val="22"/>
            <w:u w:val="single"/>
          </w:rPr>
          <w:t>tmr.qld.gov.au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 Führerschein, IDP: </w:t>
      </w:r>
      <w:hyperlink r:id="rId479">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Austroads — Tempolimits, Verkehrsregeln im Ländervergleich: </w:t>
      </w:r>
      <w:hyperlink r:id="rId480">
        <w:r>
          <w:rPr>
            <w:rStyle w:val="ListLabel113"/>
            <w:rFonts w:eastAsia="Cambria" w:cs="Cambria"/>
            <w:b w:val="false"/>
            <w:bCs w:val="false"/>
            <w:i w:val="false"/>
            <w:iCs w:val="false"/>
            <w:color w:val="0563C1"/>
            <w:sz w:val="22"/>
            <w:szCs w:val="22"/>
            <w:u w:val="single"/>
          </w:rPr>
          <w:t>austroads.gov.au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South Wales Police / Bundesstaats-Polizeibehörden — Random Breath Testing: </w:t>
      </w:r>
      <w:hyperlink r:id="rId481">
        <w:r>
          <w:rPr>
            <w:rStyle w:val="ListLabel113"/>
            <w:rFonts w:eastAsia="Cambria" w:cs="Cambria"/>
            <w:b w:val="false"/>
            <w:bCs w:val="false"/>
            <w:i w:val="false"/>
            <w:iCs w:val="false"/>
            <w:color w:val="0563C1"/>
            <w:sz w:val="22"/>
            <w:szCs w:val="22"/>
            <w:u w:val="single"/>
          </w:rPr>
          <w:t>nsw.gov.au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Kangaroo Management Taskforce, CSIRO — Wildtierunfälle im Outback: </w:t>
      </w:r>
      <w:hyperlink r:id="rId482">
        <w:r>
          <w:rPr>
            <w:rStyle w:val="ListLabel113"/>
            <w:rFonts w:eastAsia="Cambria" w:cs="Cambria"/>
            <w:b w:val="false"/>
            <w:bCs w:val="false"/>
            <w:i w:val="false"/>
            <w:iCs w:val="false"/>
            <w:color w:val="0563C1"/>
            <w:sz w:val="22"/>
            <w:szCs w:val="22"/>
            <w:u w:val="single"/>
          </w:rPr>
          <w:t>kangaroomanagementtaskforce.com.au</w:t>
        </w:r>
      </w:hyperlink>
      <w:r>
        <w:rPr>
          <w:rFonts w:eastAsia="Cambria" w:cs="Cambria"/>
          <w:b w:val="false"/>
          <w:bCs w:val="false"/>
          <w:i w:val="false"/>
          <w:iCs w:val="false"/>
          <w:sz w:val="22"/>
          <w:szCs w:val="22"/>
        </w:rPr>
        <w:t xml:space="preserve">, </w:t>
      </w:r>
      <w:hyperlink r:id="rId483">
        <w:r>
          <w:rPr>
            <w:rStyle w:val="ListLabel113"/>
            <w:rFonts w:eastAsia="Cambria" w:cs="Cambria"/>
            <w:b w:val="false"/>
            <w:bCs w:val="false"/>
            <w:i w:val="false"/>
            <w:iCs w:val="false"/>
            <w:color w:val="0563C1"/>
            <w:sz w:val="22"/>
            <w:szCs w:val="22"/>
            <w:u w:val="single"/>
          </w:rPr>
          <w:t>csiro.au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Motorclubs — Praxisratgeber für Neuankömmlinge: </w:t>
      </w:r>
      <w:hyperlink r:id="rId484">
        <w:r>
          <w:rPr>
            <w:rStyle w:val="ListLabel113"/>
            <w:rFonts w:eastAsia="Cambria" w:cs="Cambria"/>
            <w:b w:val="false"/>
            <w:bCs w:val="false"/>
            <w:i w:val="false"/>
            <w:iCs w:val="false"/>
            <w:color w:val="0563C1"/>
            <w:sz w:val="22"/>
            <w:szCs w:val="22"/>
            <w:u w:val="single"/>
          </w:rPr>
          <w:t>nrma.com.au</w:t>
        </w:r>
      </w:hyperlink>
      <w:r>
        <w:rPr>
          <w:rFonts w:eastAsia="Cambria" w:cs="Cambria"/>
          <w:b w:val="false"/>
          <w:bCs w:val="false"/>
          <w:i w:val="false"/>
          <w:iCs w:val="false"/>
          <w:sz w:val="22"/>
          <w:szCs w:val="22"/>
        </w:rPr>
        <w:t xml:space="preserve">, </w:t>
      </w:r>
      <w:hyperlink r:id="rId485">
        <w:r>
          <w:rPr>
            <w:rStyle w:val="ListLabel113"/>
            <w:rFonts w:eastAsia="Cambria" w:cs="Cambria"/>
            <w:b w:val="false"/>
            <w:bCs w:val="false"/>
            <w:i w:val="false"/>
            <w:iCs w:val="false"/>
            <w:color w:val="0563C1"/>
            <w:sz w:val="22"/>
            <w:szCs w:val="22"/>
            <w:u w:val="single"/>
          </w:rPr>
          <w:t>racv.com.au</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4" w:name="__RefHeading___Toc56552_3457424410"/>
      <w:bookmarkStart w:id="125" w:name="tau11"/>
      <w:bookmarkEnd w:id="124"/>
      <w:r>
        <w:rPr>
          <w:rFonts w:eastAsia="Amazon Ember" w:cs="Amazon Ember" w:ascii="Amazon Ember" w:hAnsi="Amazon Ember"/>
          <w:b/>
          <w:bCs/>
          <w:color w:val="0000FF"/>
          <w:sz w:val="36"/>
          <w:szCs w:val="36"/>
        </w:rPr>
        <w:t>Australien: Alltagskultur und Umgangsformen</w:t>
      </w:r>
      <w:bookmarkEnd w:id="12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Umgangsformen sind betont informell: Vornamen statt Titel, „mate“ für fast jeden, flache Hierarchien selbst gegenüber Fremden und Vorgesetzten.</w:t>
            </w:r>
          </w:p>
          <w:p>
            <w:pPr>
              <w:pStyle w:val="ListParagraph"/>
              <w:numPr>
                <w:ilvl w:val="0"/>
                <w:numId w:val="1"/>
              </w:numPr>
              <w:spacing w:lineRule="exact" w:line="264" w:before="0" w:after="50"/>
              <w:rPr/>
            </w:pPr>
            <w:r>
              <w:rPr>
                <w:rFonts w:eastAsia="Cambria" w:cs="Cambria"/>
                <w:b w:val="false"/>
                <w:bCs w:val="false"/>
                <w:i w:val="false"/>
                <w:iCs w:val="false"/>
                <w:sz w:val="20"/>
                <w:szCs w:val="20"/>
              </w:rPr>
              <w:t>Direktheit gilt schnell als unhöflich; Konflikte werden eher umschifft oder mit Humor entschärft – deutsche Sachlichkeit kommt hier oft härter an, als sie gemeint ist.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sind mehr als Floskeln – sie beschreiben eine Grundhaltung, über die du dich erst wunderst und die du dann zu schätzen lernst.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Einladungen sind locker, aber nicht beliebig: </w:t>
            </w:r>
            <w:r>
              <w:rPr>
                <w:rFonts w:eastAsia="Cambria" w:cs="Cambria"/>
                <w:b w:val="false"/>
                <w:bCs w:val="false"/>
                <w:i/>
                <w:iCs/>
                <w:sz w:val="20"/>
                <w:szCs w:val="20"/>
              </w:rPr>
              <w:t>BYO</w:t>
            </w:r>
            <w:r>
              <w:rPr>
                <w:rFonts w:eastAsia="Cambria" w:cs="Cambria"/>
                <w:b w:val="false"/>
                <w:bCs w:val="false"/>
                <w:i w:val="false"/>
                <w:iCs w:val="false"/>
                <w:sz w:val="20"/>
                <w:szCs w:val="20"/>
              </w:rPr>
              <w:t xml:space="preserve"> (</w:t>
            </w:r>
            <w:r>
              <w:rPr>
                <w:rFonts w:eastAsia="Cambria" w:cs="Cambria"/>
                <w:b w:val="false"/>
                <w:bCs w:val="false"/>
                <w:i/>
                <w:iCs/>
                <w:sz w:val="20"/>
                <w:szCs w:val="20"/>
              </w:rPr>
              <w:t>Bring Your Own</w:t>
            </w:r>
            <w:r>
              <w:rPr>
                <w:rFonts w:eastAsia="Cambria" w:cs="Cambria"/>
                <w:b w:val="false"/>
                <w:bCs w:val="false"/>
                <w:i w:val="false"/>
                <w:iCs w:val="false"/>
                <w:sz w:val="20"/>
                <w:szCs w:val="20"/>
              </w:rPr>
              <w:t>, eigene Getränke mitbringen) ist beim Barbecue die Regel, „We should catch up sometime“ dagegen selten wörtlich gemeint.</w:t>
            </w:r>
          </w:p>
          <w:p>
            <w:pPr>
              <w:pStyle w:val="ListParagraph"/>
              <w:numPr>
                <w:ilvl w:val="0"/>
                <w:numId w:val="1"/>
              </w:numPr>
              <w:spacing w:lineRule="exact" w:line="264" w:before="0" w:after="50"/>
              <w:rPr/>
            </w:pPr>
            <w:r>
              <w:rPr>
                <w:rFonts w:eastAsia="Cambria" w:cs="Cambria"/>
                <w:b w:val="false"/>
                <w:bCs w:val="false"/>
                <w:i w:val="false"/>
                <w:iCs w:val="false"/>
                <w:sz w:val="20"/>
                <w:szCs w:val="20"/>
              </w:rPr>
              <w:t>Small Talk läuft über Wetter, Sport und Wochenende, so gut wie nie über Gehalt, Herkunftsdetails oder ernste Themen beim ersten Treffen.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Entfernung zu Deutschland ist mehr als eine Zahl auf der Landkarte: Ohne Direktflug und mit über 20 Stunden Reisezeit liegt Australien gefühlt weiter weg als jedes andere Land in diesem Buch.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Mate“ und die flache Hierarchie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Pr>
            <w:rStyle w:val="ListLabel113"/>
            <w:rFonts w:eastAsia="Cambria" w:cs="Cambria"/>
            <w:b w:val="false"/>
            <w:bCs w:val="false"/>
            <w:i w:val="false"/>
            <w:iCs w:val="false"/>
            <w:color w:val="0563C1"/>
            <w:sz w:val="22"/>
            <w:szCs w:val="22"/>
            <w:u w:val="single"/>
          </w:rPr>
          <w:t>Kapitel zur Arbeitswelt</w:t>
        </w:r>
      </w:hyperlink>
      <w:r>
        <w:rPr>
          <w:rFonts w:eastAsia="Cambria" w:cs="Cambria"/>
          <w:b w:val="false"/>
          <w:bCs w:val="false"/>
          <w:i w:val="false"/>
          <w:iCs w:val="false"/>
          <w:sz w:val="22"/>
          <w:szCs w:val="22"/>
        </w:rPr>
        <w:t>, hier geht es um den Alltag außerhalb des Büros.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w:t>
      </w:r>
      <w:r>
        <w:rPr>
          <w:rFonts w:eastAsia="Cambria" w:cs="Cambria"/>
          <w:b w:val="false"/>
          <w:bCs w:val="false"/>
          <w:i/>
          <w:iCs/>
          <w:sz w:val="22"/>
          <w:szCs w:val="22"/>
        </w:rPr>
        <w:t>„Mateship“</w:t>
      </w:r>
      <w:r>
        <w:rPr>
          <w:rFonts w:eastAsia="Cambria" w:cs="Cambria"/>
          <w:b w:val="false"/>
          <w:bCs w:val="false"/>
          <w:i w:val="false"/>
          <w:iCs w:val="false"/>
          <w:sz w:val="22"/>
          <w:szCs w:val="22"/>
        </w:rPr>
        <w:t xml:space="preserve"> – eines Ideals von Gleichheit und gegenseitiger Unterstützung, das sich durch die australische Alltagskultur zieht wie ein roter Faden, der nirgends offiziell verlegt wurde, aber überall gegenwärtig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dazugehörige Begrüßung lautet meist „How ya going?“ oder „G’day“ –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 xml:space="preserve">Mate“ zu sein heißt nicht, Freund zu sein. Die Informalität gilt für so gut wie jede Begegnung, unabhängig davon, ob daraus etwas Tieferes wird. Verwechsle die entspannte Anrede nicht mit echter Nähe – wie du aus Bekanntschaften tatsächliche Freundschaften machst, steht im </w:t>
            </w:r>
            <w:hyperlink w:anchor="tau12">
              <w:r>
                <w:rPr>
                  <w:rStyle w:val="ListLabel116"/>
                  <w:rFonts w:eastAsia="Cambria" w:cs="Cambria"/>
                  <w:b w:val="false"/>
                  <w:bCs w:val="false"/>
                  <w:i w:val="false"/>
                  <w:iCs w:val="false"/>
                  <w:color w:val="0563C1"/>
                  <w:sz w:val="20"/>
                  <w:szCs w:val="20"/>
                  <w:u w:val="single"/>
                </w:rPr>
                <w:t>Kapitel zum Freundefinden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Small Talk: Wetter, Sport, Wochenende – nie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tbl>
      <w:tblPr>
        <w:tblW w:w="6480" w:type="dxa"/>
        <w:jc w:val="left"/>
        <w:tblInd w:w="0" w:type="dxa"/>
        <w:tblLayout w:type="fixed"/>
        <w:tblCellMar>
          <w:top w:w="50" w:type="dxa"/>
          <w:left w:w="80" w:type="dxa"/>
          <w:bottom w:w="50" w:type="dxa"/>
          <w:right w:w="80" w:type="dxa"/>
        </w:tblCellMar>
      </w:tblPr>
      <w:tblGrid>
        <w:gridCol w:w="1413"/>
        <w:gridCol w:w="1650"/>
        <w:gridCol w:w="2003"/>
        <w:gridCol w:w="1413"/>
      </w:tblGrid>
      <w:tr>
        <w:trPr>
          <w:tblHeader w:val="true"/>
          <w:cantSplit w:val="true"/>
        </w:trPr>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Australien</w:t>
            </w:r>
          </w:p>
        </w:tc>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Gespräch beginnen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zum Thema</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Small Talk, dann zur Sache</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bis zwei Sätze Small Talk einplanen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Frage nach dem Befinden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ausführliche Antwort erwartet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 positive Standardantwort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Good thanks, and you?“ genügt</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Themenwahl bei Fremden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 gefasst, auch Persönliches</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 Sport, Wochenende, Urlaub</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Politik meiden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offen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oft mit Humor entschärft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loben, dann vorsichtig einwenden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im Alltag: Abkürzungen und der eigene 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Englisch verkürzt mit Vorliebe fast jedes Wort und hängt ein „-o“ oder „-ie“ an: Aus </w:t>
      </w:r>
      <w:r>
        <w:rPr>
          <w:rFonts w:eastAsia="Cambria" w:cs="Cambria"/>
          <w:b w:val="false"/>
          <w:bCs w:val="false"/>
          <w:i/>
          <w:iCs/>
          <w:sz w:val="22"/>
          <w:szCs w:val="22"/>
        </w:rPr>
        <w:t>afternoon</w:t>
      </w:r>
      <w:r>
        <w:rPr>
          <w:rFonts w:eastAsia="Cambria" w:cs="Cambria"/>
          <w:b w:val="false"/>
          <w:bCs w:val="false"/>
          <w:i w:val="false"/>
          <w:iCs w:val="false"/>
          <w:sz w:val="22"/>
          <w:szCs w:val="22"/>
        </w:rPr>
        <w:t xml:space="preserve"> (Nachmittag) wird „arvo“, aus </w:t>
      </w:r>
      <w:r>
        <w:rPr>
          <w:rFonts w:eastAsia="Cambria" w:cs="Cambria"/>
          <w:b w:val="false"/>
          <w:bCs w:val="false"/>
          <w:i/>
          <w:iCs/>
          <w:sz w:val="22"/>
          <w:szCs w:val="22"/>
        </w:rPr>
        <w:t>service station</w:t>
      </w:r>
      <w:r>
        <w:rPr>
          <w:rFonts w:eastAsia="Cambria" w:cs="Cambria"/>
          <w:b w:val="false"/>
          <w:bCs w:val="false"/>
          <w:i w:val="false"/>
          <w:iCs w:val="false"/>
          <w:sz w:val="22"/>
          <w:szCs w:val="22"/>
        </w:rPr>
        <w:t xml:space="preserve"> (Tankstelle) „servo“, aus </w:t>
      </w:r>
      <w:r>
        <w:rPr>
          <w:rFonts w:eastAsia="Cambria" w:cs="Cambria"/>
          <w:b w:val="false"/>
          <w:bCs w:val="false"/>
          <w:i/>
          <w:iCs/>
          <w:sz w:val="22"/>
          <w:szCs w:val="22"/>
        </w:rPr>
        <w:t>breakfast</w:t>
      </w:r>
      <w:r>
        <w:rPr>
          <w:rFonts w:eastAsia="Cambria" w:cs="Cambria"/>
          <w:b w:val="false"/>
          <w:bCs w:val="false"/>
          <w:i w:val="false"/>
          <w:iCs w:val="false"/>
          <w:sz w:val="22"/>
          <w:szCs w:val="22"/>
        </w:rPr>
        <w:t xml:space="preserve"> „brekkie“, aus </w:t>
      </w:r>
      <w:r>
        <w:rPr>
          <w:rFonts w:eastAsia="Cambria" w:cs="Cambria"/>
          <w:b w:val="false"/>
          <w:bCs w:val="false"/>
          <w:i/>
          <w:iCs/>
          <w:sz w:val="22"/>
          <w:szCs w:val="22"/>
        </w:rPr>
        <w:t>mosquito</w:t>
      </w:r>
      <w:r>
        <w:rPr>
          <w:rFonts w:eastAsia="Cambria" w:cs="Cambria"/>
          <w:b w:val="false"/>
          <w:bCs w:val="false"/>
          <w:i w:val="false"/>
          <w:iCs w:val="false"/>
          <w:sz w:val="22"/>
          <w:szCs w:val="22"/>
        </w:rPr>
        <w:t xml:space="preserve"> „mozzie“, aus </w:t>
      </w:r>
      <w:r>
        <w:rPr>
          <w:rFonts w:eastAsia="Cambria" w:cs="Cambria"/>
          <w:b w:val="false"/>
          <w:bCs w:val="false"/>
          <w:i/>
          <w:iCs/>
          <w:sz w:val="22"/>
          <w:szCs w:val="22"/>
        </w:rPr>
        <w:t>McDonald’s</w:t>
      </w:r>
      <w:r>
        <w:rPr>
          <w:rFonts w:eastAsia="Cambria" w:cs="Cambria"/>
          <w:b w:val="false"/>
          <w:bCs w:val="false"/>
          <w:i w:val="false"/>
          <w:iCs w:val="false"/>
          <w:sz w:val="22"/>
          <w:szCs w:val="22"/>
        </w:rPr>
        <w:t xml:space="preserve"> schlicht „Maccas“. Ein </w:t>
      </w:r>
      <w:r>
        <w:rPr>
          <w:rFonts w:eastAsia="Cambria" w:cs="Cambria"/>
          <w:b w:val="false"/>
          <w:bCs w:val="false"/>
          <w:i/>
          <w:iCs/>
          <w:sz w:val="22"/>
          <w:szCs w:val="22"/>
        </w:rPr>
        <w:t>ute</w:t>
      </w:r>
      <w:r>
        <w:rPr>
          <w:rFonts w:eastAsia="Cambria" w:cs="Cambria"/>
          <w:b w:val="false"/>
          <w:bCs w:val="false"/>
          <w:i w:val="false"/>
          <w:iCs w:val="false"/>
          <w:sz w:val="22"/>
          <w:szCs w:val="22"/>
        </w:rPr>
        <w:t xml:space="preserve"> (von </w:t>
      </w:r>
      <w:r>
        <w:rPr>
          <w:rFonts w:eastAsia="Cambria" w:cs="Cambria"/>
          <w:b w:val="false"/>
          <w:bCs w:val="false"/>
          <w:i/>
          <w:iCs/>
          <w:sz w:val="22"/>
          <w:szCs w:val="22"/>
        </w:rPr>
        <w:t>utility vehicle</w:t>
      </w:r>
      <w:r>
        <w:rPr>
          <w:rFonts w:eastAsia="Cambria" w:cs="Cambria"/>
          <w:b w:val="false"/>
          <w:bCs w:val="false"/>
          <w:i w:val="false"/>
          <w:iCs w:val="false"/>
          <w:sz w:val="22"/>
          <w:szCs w:val="22"/>
        </w:rPr>
        <w:t xml:space="preserve">) ist ein Pick-up, eine </w:t>
      </w:r>
      <w:r>
        <w:rPr>
          <w:rFonts w:eastAsia="Cambria" w:cs="Cambria"/>
          <w:b w:val="false"/>
          <w:bCs w:val="false"/>
          <w:i/>
          <w:iCs/>
          <w:sz w:val="22"/>
          <w:szCs w:val="22"/>
        </w:rPr>
        <w:t>esky</w:t>
      </w:r>
      <w:r>
        <w:rPr>
          <w:rFonts w:eastAsia="Cambria" w:cs="Cambria"/>
          <w:b w:val="false"/>
          <w:bCs w:val="false"/>
          <w:i w:val="false"/>
          <w:iCs w:val="false"/>
          <w:sz w:val="22"/>
          <w:szCs w:val="22"/>
        </w:rPr>
        <w:t xml:space="preserve"> eine Kühlbox für den Ausflug an den Strand oder zum Barbecue –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paar dieser Abkürzungen vorab zu lernen, kostet nichts und erspart dir in den ersten Wochen etliche kurze Verständnispausen im Gespräch – die Verkäuferin an der „servo“-Kasse schaltet nicht extra auf Hochenglisch um, nur weil du gerade erst angekommen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zusätzlich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Filme und Serien im Originalton schulen das Ohr am besten: „The Castle“ (australischer Kult-Klassiker voller Alltagsslang) und die Netflix-Serie „Heartbreak High“ (Teenager-Slang von heute) sind gute Startpunkte; die Kinderserie „Bluey“ läuft auf Disney+ Deutschland mit wählbarer englischer Originaltonspur und eignet sich, mit sehr einfachem Englisch, auch für Erwachsene zum Einhören. Prüfe die aktuelle Verfügbarkeit auf JustWatch.de, da Streaming-Kataloge sich laufend ändern. Stelle Untertitel wenn möglich auf Englisch statt Deutsch, und schau dir eine Serie, die du schon auf Deutsch kennst, noch einmal im englischen Original an – die bekannte Handlung senkt die Einstiegshürde erheblich. Wer lieber strukturiert lernt: „Telekolleg Englisch“ (ARD-alpha, 51 kostenlose Lektionen in der ARD-Mediathek, ardalpha.de) ist weniger unterhaltsam, aber solide.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Nichts davon kostet extra, wenn du ohnehin ein Streaming-Abo hast oder eine Mediathek nutzt – der Umstieg auf Originalton ist reine Gewöhnungssache, kein zusätzliches Budget.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Serien, Bücher und eine konkrete Umgewöhnungstechnik dazu stehen im </w:t>
      </w:r>
      <w:hyperlink w:anchor="tau13">
        <w:r>
          <w:rPr>
            <w:rStyle w:val="ListLabel113"/>
            <w:rFonts w:eastAsia="Cambria" w:cs="Cambria"/>
            <w:b w:val="false"/>
            <w:bCs w:val="false"/>
            <w:i w:val="false"/>
            <w:iCs w:val="false"/>
            <w:color w:val="0563C1"/>
            <w:sz w:val="22"/>
            <w:szCs w:val="22"/>
            <w:u w:val="single"/>
          </w:rPr>
          <w:t>Kapitel zu Kindern, Schule und Sprache</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 Understatement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No worries“ und „She’ll be right“ (sinngemäß: „Das wird schon wieder“) sind in Australien weniger Redewendung als Lebensphilosophie. Probleme werden selten dramatisiert, selbst dann nicht, wenn sie es objektiv wären –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 dann hört der Spaß auch für Australier auf. Ein weiteres, oft beschriebenes Muster ist eine Zurückhaltung gegenüber demonstrativem Erfolg: Wer zu offensichtlich mit Leistung oder Besitz prahlt, wird gern eine Nummer kleiner gemacht – eine Neigung zur Bescheidenheit, die dem deutschen Understatement gar nicht so fremd ist, nur mit mehr Humor verpackt.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Understatement ist kein Zeichen dafür, dass ein Problem klein ist, sondern dafür, wie Australier über Probleme sprechen. Nimm „not too bad“ nicht automatisch wörtlich, sondern frage im Zweifel freundlich 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Gelassenheit zeigt sich auch im Umgang mit den klimatischen Risiken des Landes. Die Buschfeuersaison, meist von Spätfrühling bis Ende Sommer, ist ein reales, medial präsentes Thema –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Kleidungsstil und die entspannte Bürokratie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Formelle Kleidung ist im australischen Alltag eher die Ausnahme als die Regel. In vielen Büros gilt „business casual“ auch dort, wo in Deutschland ein Anzug erwartet würde, und Flip-Flops – in Australien „thongs“ genannt, ein Wort, das anderswo etwas ganz anderes bedeutet und für manche Verwechslung sorgt – sind selbst beim Einkaufen oder auf dem Weg zur Bank ein völlig normaler Anblick.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Dieselbe Gelassenheit gilt oft für Termine: Ein Handwerker mit einem angekündigten Zeitfenster von „irgendwann zwischen 9 und 13 Uhr“ ist keine Ausnahme, sondern eher die Regel, und Behördengänge dauern gefühlt einen Tick länger, als die Ankündigung vermuten ließ – beides wird mit derselben „she’ll be right“-Gelassenheit hingenommen, mit der auch sonst auf Verzögerungen reagiert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entspannte Grundhaltung gilt für Wartezeiten und Kleidungsfragen, nicht für Fristen mit rechtlicher Bindung. Visumsauflagen, Steuertermine und Einwanderungsfristen verzeihen kein „she’ll be right“ – hier zählt der Kalender, nicht das Bauchgefühl. Mehr zu Fristen im Einwanderungsprozess im </w:t>
            </w:r>
            <w:hyperlink w:anchor="tau05">
              <w:r>
                <w:rPr>
                  <w:rStyle w:val="ListLabel116"/>
                  <w:rFonts w:eastAsia="Cambria" w:cs="Cambria"/>
                  <w:b w:val="false"/>
                  <w:bCs w:val="false"/>
                  <w:i w:val="false"/>
                  <w:iCs w:val="false"/>
                  <w:color w:val="0563C1"/>
                  <w:sz w:val="20"/>
                  <w:szCs w:val="20"/>
                  <w:u w:val="single"/>
                </w:rPr>
                <w:t>Kapitel zum Antrag</w:t>
              </w:r>
            </w:hyperlink>
            <w:r>
              <w:rPr>
                <w:rFonts w:eastAsia="Cambria" w:cs="Cambria"/>
                <w:b w:val="false"/>
                <w:bCs w:val="false"/>
                <w:i w:val="false"/>
                <w:iCs w:val="false"/>
                <w:sz w:val="20"/>
                <w:szCs w:val="20"/>
              </w:rPr>
              <w:t xml:space="preserve"> und im </w:t>
            </w:r>
            <w:hyperlink w:anchor="tau02">
              <w:r>
                <w:rPr>
                  <w:rStyle w:val="ListLabel116"/>
                  <w:rFonts w:eastAsia="Cambria" w:cs="Cambria"/>
                  <w:b w:val="false"/>
                  <w:bCs w:val="false"/>
                  <w:i w:val="false"/>
                  <w:iCs w:val="false"/>
                  <w:color w:val="0563C1"/>
                  <w:sz w:val="20"/>
                  <w:szCs w:val="20"/>
                  <w:u w:val="single"/>
                </w:rPr>
                <w:t>Kapitel zu den Einwanderungswegen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Einladungen: BYO, Barbecue und die Sache mit „We should catch up“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Barbecue, kurz „barbie“, ist die zentrale australische Sozialveranstaltung – im eigenen Garten, im Park oder am Strand, oft mit öffentlich zugänglichen Grillplätzen, die kostenlos genutzt werden können. Wer eingeladen wird, bringt in aller Regel etwas mit: </w:t>
      </w:r>
      <w:r>
        <w:rPr>
          <w:rFonts w:eastAsia="Cambria" w:cs="Cambria"/>
          <w:b w:val="false"/>
          <w:bCs w:val="false"/>
          <w:i/>
          <w:iCs/>
          <w:sz w:val="22"/>
          <w:szCs w:val="22"/>
        </w:rPr>
        <w:t>BYO</w:t>
      </w:r>
      <w:r>
        <w:rPr>
          <w:rFonts w:eastAsia="Cambria" w:cs="Cambria"/>
          <w:b w:val="false"/>
          <w:bCs w:val="false"/>
          <w:i w:val="false"/>
          <w:iCs w:val="false"/>
          <w:sz w:val="22"/>
          <w:szCs w:val="22"/>
        </w:rPr>
        <w:t xml:space="preserve"> steht für </w:t>
      </w:r>
      <w:r>
        <w:rPr>
          <w:rFonts w:eastAsia="Cambria" w:cs="Cambria"/>
          <w:b w:val="false"/>
          <w:bCs w:val="false"/>
          <w:i/>
          <w:iCs/>
          <w:sz w:val="22"/>
          <w:szCs w:val="22"/>
        </w:rPr>
        <w:t>Bring Your Own</w:t>
      </w:r>
      <w:r>
        <w:rPr>
          <w:rFonts w:eastAsia="Cambria" w:cs="Cambria"/>
          <w:b w:val="false"/>
          <w:bCs w:val="false"/>
          <w:i w:val="false"/>
          <w:iCs w:val="false"/>
          <w:sz w:val="22"/>
          <w:szCs w:val="22"/>
        </w:rPr>
        <w:t xml:space="preserve"> und bedeutet meistens eigene Getränke, gelegentlich auch das eigene Fleisch zum Grillen. Das ist kein Geiz des Gastgebers, sondern gelebte Gleichheit: Jeder trägt bei, niemand ist nur Bewirteter.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Bar gilt ein ähnliches Prinzip, das „Shout“: In einer Runde Freunde kauft reihum jeder eine Bestellung für alle, statt dass jeder für sich zahlt. Wer eine Runde auslässt, ohne selbst einmal „dran zu sein“, fällt unangenehm auf – auch hier zählt die stille Erwartung von Gegenseitigkeit mehr als jede ausdrückliche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wird in ihrer zweiten Woche in Melbourne von den Nachbarn zu einem Barbecue am Samstag eingeladen – mit dem Zusatz „just bring a few drinks“. Thomas kauft sicherheitshalber für die ganze Familie plus Reserve ein, Sandra fragt vorsichtshalber nach, ob sie auch etwas zum Essen beisteuern sollen; die Antwort ist ein entspanntes „Nah, we’re right, mate“. Am Grill lernt Thomas das Prinzip des „Shout“ an der improvisierten Bierkiste kennen, als ein Nachbar wortlos die nächste Runde aus der Kühlbox holt und erwartungsvoll in seine Richtung schaut. Emil und Clara sind nach einer Stunde mit den Nachbarskindern im Garten verschwunden – für Kinder, stellt Sandra fest, ist die Sprache der Freundschaft ohnehin universell.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Direktheit trifft Lässigkeit: typische Missverständnisse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 manchmal ist genau das Gegenteil gemeint, nur eben höflich verpackt.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sprachliches Kuriosum, das Neuankömmlinge zuverlässig verwirrt, ist die Doppeldeutigkeit von „yeah, nah“ und „nah, yeah“: Ersteres läuft meist auf ein Nein hinaus, das erst höflich mit Zustimmung eingeleitet wird, Letzteres eher auf ein Ja nach kurzem Zögern. Ähnlich vorsichtig zu lesen sind Sätze wie „It’s not the worst idea“ (eher zurückhaltende Zustimmung als Lob) oder ein zu schnelles „Sure, sounds good“ auf einen Vorschlag, der eigentlich noch einmal überdacht werden sollte. Wer sich nicht sicher ist, was gerade gemeint war, fragt am besten direkt, aber freundlich nach – das gilt als völlig legitim und wird nicht als Schwäche ausgelegt, eher im Gegenteil: als Zeichen, dass man zuhört.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Distanz zur Heimat: mehr als eine Zeitzone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 beide Länder wechseln zu unterschiedlichen Terminen, was die Kopfrechnung vor jedem Anruf nach Hause zusätzlich erschwert.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Entfernung ist mehr als eine Reisekosten- oder Zeitplanungsfrage. Ein spontanes Wochenende bei den Eltern, wie es innerhalb Europas möglich wäre, ist von Australien aus schlicht keine Option, sondern eine mehrtägige Reiseplanung mit entsprechendem Preis. Wichtige Familienereignisse – ein runder Geburtstag, eine Operation, ein Todesfall –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bei einem Umzug innerhalb Europas ist ein spontaner Kurzbesuch in Deutschland aus Australien keine Option, sondern eine Reise, die Wochen im Voraus geplant wird. Das ist zuerst ein emotionaler Faktor und erst in zweiter Linie eine Kostenfrage – plane beides bewusst ein, statt es zu verdrängen.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verabredet sich in ihren ersten Wochen in Sydney mehrfach mit neuen Bekannten aus dem Working-Holiday-Kreis, die alle „yeah, we should totally hang out again“ sagen und danach tagelang nichts von sich hören lassen. Erst als eine Kollegin ihr konkret einen Ort und eine Uhrzeit für den Freitagabend vorschlägt, merkt Nina den Unterschied zwischen Höflichkeitsfloskel und echter Einladung. Beim ersten Telefonat mit ihrer Mutter in Hamburg rechnet sie sich verkehrt: Statt des erwarteten Vormittags ruft sie mitten in der Nacht an – die Zeitverschiebung braucht, wie sie feststellt, mehr Übung als jede neue Vokabel.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Informeller Umgangston senkt die Hemmschwelle für den ersten Kontakt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Mate“ zu sein heißt nicht automatisch, Freund zu sein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Grundhaltung erleichtert das Ankommen im Alltag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No worries“ kann echte Probleme unter den Teppich kehren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Talk über Wetter und Sport ist überall ein einfacher Einstieg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 Themen wie Gehalt oder Herkunft bleiben lange tabu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sind unkompliziert, BYO senkt die Hürde mitzukommen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catch up sometime“ bleibt oft folgenlose Höflichkeit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wird selten mit voller Härte ausgesprochen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Deutsche schwer zu entschlüsseln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Videoanrufe und seltene, lange Heimatbesuche schaffen eigene Rituale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Spontane Kurzbesuche in Deutschland sind praktisch unmöglich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4"/>
        </w:numPr>
        <w:spacing w:lineRule="exact" w:line="288" w:before="0" w:after="60"/>
        <w:rPr/>
      </w:pPr>
      <w:r>
        <w:rPr>
          <w:rFonts w:eastAsia="Cambria" w:cs="Cambria"/>
          <w:b w:val="false"/>
          <w:bCs w:val="false"/>
          <w:i w:val="false"/>
          <w:iCs w:val="false"/>
          <w:sz w:val="22"/>
          <w:szCs w:val="22"/>
        </w:rPr>
        <w:t>Vor dem Umzug: Erwartungen an Freundschaft und Nähe realistisch anpassen, spontane Heimatbesuche gedanklich abschreiben.</w:t>
      </w:r>
    </w:p>
    <w:p>
      <w:pPr>
        <w:pStyle w:val="ListParagraph"/>
        <w:numPr>
          <w:ilvl w:val="0"/>
          <w:numId w:val="235"/>
        </w:numPr>
        <w:spacing w:lineRule="exact" w:line="288" w:before="0" w:after="60"/>
        <w:rPr/>
      </w:pPr>
      <w:r>
        <w:rPr>
          <w:rFonts w:eastAsia="Cambria" w:cs="Cambria"/>
          <w:b w:val="false"/>
          <w:bCs w:val="false"/>
          <w:i w:val="false"/>
          <w:iCs w:val="false"/>
          <w:sz w:val="22"/>
          <w:szCs w:val="22"/>
        </w:rPr>
        <w:t>In den ersten Wochen: Small Talk aktiv üben, Einladungen zu Barbecue oder Bar verbindlich annehmen und selbst aussprechen.</w:t>
      </w:r>
    </w:p>
    <w:p>
      <w:pPr>
        <w:pStyle w:val="ListParagraph"/>
        <w:numPr>
          <w:ilvl w:val="0"/>
          <w:numId w:val="236"/>
        </w:numPr>
        <w:spacing w:lineRule="exact" w:line="288" w:before="0" w:after="60"/>
        <w:rPr/>
      </w:pPr>
      <w:r>
        <w:rPr>
          <w:rFonts w:eastAsia="Cambria" w:cs="Cambria"/>
          <w:b w:val="false"/>
          <w:bCs w:val="false"/>
          <w:i w:val="false"/>
          <w:iCs w:val="false"/>
          <w:sz w:val="22"/>
          <w:szCs w:val="22"/>
        </w:rPr>
        <w:t>Laufend: Bei Unsicherheit über den Ton einer Aussage freundlich nachfragen, statt zu spekulieren.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Sport, Wochenende) parat, Tabuthemen (Gehalt, Politik) gemieden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BYO- und Shout-Prinzip bei Einladungen und Barbecues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vager Einladung „We should catch up“ selbst einen Tag und Ort vorgeschlagen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„yeah, nah“ und ähnliche Wendungen geachtet, im Zweifel nachgefragt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Zeitverschiebung zu Deutschland (8 bis 10 Stunden, je nach Sommer-/Winterzeit) für Anrufe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Reisezeit und Kosten für einen Heimatbesuch (21 bis 24 Stunden, kein Direktflug)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Regelmäßige Videoanruf-Termine mit Familie und Freunden in Deutschland verabredet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Abreise: ein bis zwei Serien oder Filme im australischen Originalton angeschaut, Untertitel auf Englisch umgestellt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SBS Cultural Atlas — Kommunikationsstil und Alltagskultur in Australien: </w:t>
      </w:r>
      <w:hyperlink r:id="rId486">
        <w:r>
          <w:rPr>
            <w:rStyle w:val="ListLabel113"/>
            <w:rFonts w:eastAsia="Cambria" w:cs="Cambria"/>
            <w:b w:val="false"/>
            <w:bCs w:val="false"/>
            <w:i w:val="false"/>
            <w:iCs w:val="false"/>
            <w:color w:val="0563C1"/>
            <w:sz w:val="22"/>
            <w:szCs w:val="22"/>
            <w:u w:val="single"/>
          </w:rPr>
          <w:t>culturalatlas.sbs.com.au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Canberra und Generalkonsulate in Australien — Leben vor Ort: </w:t>
      </w:r>
      <w:hyperlink r:id="rId487">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Umgangsformen und Umgangsregeln am Arbeitsplatz: </w:t>
      </w:r>
      <w:hyperlink r:id="rId488">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Tourism Australia — Alltag und Umgangsformen für Neuankömmlinge: </w:t>
      </w:r>
      <w:hyperlink r:id="rId489">
        <w:r>
          <w:rPr>
            <w:rStyle w:val="ListLabel113"/>
            <w:rFonts w:eastAsia="Cambria" w:cs="Cambria"/>
            <w:b w:val="false"/>
            <w:bCs w:val="false"/>
            <w:i w:val="false"/>
            <w:iCs w:val="false"/>
            <w:color w:val="0563C1"/>
            <w:sz w:val="22"/>
            <w:szCs w:val="22"/>
            <w:u w:val="single"/>
          </w:rPr>
          <w:t>australia.com</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WIRED — „Accent Expert“-Reihe mit Dialektcoach Erik Singer: </w:t>
      </w:r>
      <w:hyperlink r:id="rId490">
        <w:r>
          <w:rPr>
            <w:rStyle w:val="ListLabel113"/>
            <w:rFonts w:eastAsia="Cambria" w:cs="Cambria"/>
            <w:b w:val="false"/>
            <w:bCs w:val="false"/>
            <w:i w:val="false"/>
            <w:iCs w:val="false"/>
            <w:color w:val="0563C1"/>
            <w:sz w:val="22"/>
            <w:szCs w:val="22"/>
            <w:u w:val="single"/>
          </w:rPr>
          <w:t>youtube.com/@wired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ARD-alpha — Telekolleg Englisch, kostenlose Sprachkurse: </w:t>
      </w:r>
      <w:hyperlink r:id="rId491">
        <w:r>
          <w:rPr>
            <w:rStyle w:val="ListLabel113"/>
            <w:rFonts w:eastAsia="Cambria" w:cs="Cambria"/>
            <w:b w:val="false"/>
            <w:bCs w:val="false"/>
            <w:i w:val="false"/>
            <w:iCs w:val="false"/>
            <w:color w:val="0563C1"/>
            <w:sz w:val="22"/>
            <w:szCs w:val="22"/>
            <w:u w:val="single"/>
          </w:rPr>
          <w:t>ardalpha.de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JustWatch — aktuelle Streaming-Verfügbarkeit in Deutschland prüfen: </w:t>
      </w:r>
      <w:hyperlink r:id="rId492">
        <w:r>
          <w:rPr>
            <w:rStyle w:val="ListLabel113"/>
            <w:rFonts w:eastAsia="Cambria" w:cs="Cambria"/>
            <w:b w:val="false"/>
            <w:bCs w:val="false"/>
            <w:i w:val="false"/>
            <w:iCs w:val="false"/>
            <w:color w:val="0563C1"/>
            <w:sz w:val="22"/>
            <w:szCs w:val="22"/>
            <w:u w:val="single"/>
          </w:rPr>
          <w:t>justwatch.de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Australiens sind groß, und eine Generation Australier tickt nicht wie die andere. Flugverbindungen, Reisezeiten und Zeitverschiebung ändern sich; prüfe sie vor jeder konkreten Reiseplanung neu.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6" w:name="__RefHeading___Toc56554_3457424410"/>
      <w:bookmarkStart w:id="127" w:name="tau12"/>
      <w:bookmarkEnd w:id="126"/>
      <w:r>
        <w:rPr>
          <w:rFonts w:eastAsia="Amazon Ember" w:cs="Amazon Ember" w:ascii="Amazon Ember" w:hAnsi="Amazon Ember"/>
          <w:b/>
          <w:bCs/>
          <w:color w:val="0000FF"/>
          <w:sz w:val="36"/>
          <w:szCs w:val="36"/>
        </w:rPr>
        <w:t>Australien: Freunde finden und der Kulturschock der großen Distanz</w:t>
      </w:r>
      <w:bookmarkEnd w:id="1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How ya going, mate?“ ruft der Nachbar über den Zaun, während er den Rasen mäht –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Freundlichkeit öffnet die erste Tür sehr leicht, sagt aber wenig über eine echte Freundschaft aus; Tiefe entsteht durch Wiederholung, nicht durch das erste nette Gespräch.</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freiwillige Feuerwehr und Katastrophenschutz, Nachbarschaft und Kinder sind die schnellsten Wege zu festen Kontakten.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Schulen konzentrieren sich auf Sydney und Melbourne; in anderen Großstädten bleibt vor allem die eigene 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 liegt für deutsche Verhältnisse ungewöhnlich weit weg: keine Direktflüge, 21 bis 24 Stunden Reisezeit, 8 bis 10 Stunden Zeitverschiebung – das prägt Heimweh anders als in näher gelegenen Zielländern.</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dazu das erste Weihnachtsfest in Badehose statt am beschneiten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Australien erreichbare Hilfe, auch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Mateship und Understatement: Wie Australier Nähe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gelten in Alltagsgesprächen häufig als direkt und sachbezogen; Australier kommunizieren eher entspannt, indirekt und ausgesprochen konfliktscheu – eine Meinungsverschiedenheit wird gern mit einem Scherz entschärft statt mit einem Widerspruch ausgetragen. </w:t>
      </w:r>
      <w:r>
        <w:rPr>
          <w:rFonts w:eastAsia="Cambria" w:cs="Cambria"/>
          <w:b w:val="false"/>
          <w:bCs w:val="false"/>
          <w:i/>
          <w:iCs/>
          <w:sz w:val="22"/>
          <w:szCs w:val="22"/>
        </w:rPr>
        <w:t>Mate</w:t>
      </w:r>
      <w:r>
        <w:rPr>
          <w:rFonts w:eastAsia="Cambria" w:cs="Cambria"/>
          <w:b w:val="false"/>
          <w:bCs w:val="false"/>
          <w:i w:val="false"/>
          <w:iCs w:val="false"/>
          <w:sz w:val="22"/>
          <w:szCs w:val="22"/>
        </w:rPr>
        <w:t xml:space="preserve"> (wörtlich „Kumpel“, in Wirklichkeit eine Anrede für praktisch jeden – Kollegen, Verkäuferinnen, gelegentlich sogar den eigenen Hund) signalisiert Zugänglichkeit, nicht Freundschaft. Vornamen sind selbst gegenüber Vorgesetzten üblich, und wer im Bewerbungsgespräch versehentlich „Mr. Smith“ sagt, erntet eher ein amüsiertes Stirnrunzeln als Respekt.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 nur die erste Tür schwingt williger auf. „We should catch up sometime“ ist eine Höflichkeitsformel, kein Termin; wer daraus einen machen will, braucht wie überall ein konkretes Datum, keinen vagen Wunsch.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britisch geprägte Humor dieses Länder-Teils zeigt sich hier besonders deutlich: Wo ein Deutscher sagen würde „Das war heute chaotisch“, sagt ein Australier eher „Bit of a day, that“ – und meint damit womöglich, dass gerade die Küche abgebrannt ist. Wer diese Untertreibung nicht mitbekommt, hält jede Krise für eine Kleinigkeit und wundert sich später, warum niemand um Hilfe gebeten hat. Sicherer Gesprächsstoff für den Anfang sind Wetter, Sport – vor allem die eigene Lieblingsmannschaft – und der letzte Urlaub; Gehalt, Politik und die eigene Steuererklärung bleiben, ähnlich wie in Deutschland, eher hintenan.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offenes „G’day“ ist ein Türöffner, keine Einladung ins Wohnzimmer. Nimm die erste Freundlichkeit dankbar an, aber erwarte die eigentliche Freundschaft erst nach mehreren Wiederholungen.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Eng damit verwandt ist das </w:t>
      </w:r>
      <w:r>
        <w:rPr>
          <w:rFonts w:eastAsia="Cambria" w:cs="Cambria"/>
          <w:b w:val="false"/>
          <w:bCs w:val="false"/>
          <w:i/>
          <w:iCs/>
          <w:sz w:val="22"/>
          <w:szCs w:val="22"/>
        </w:rPr>
        <w:t>Tall Poppy Syndrome</w:t>
      </w:r>
      <w:r>
        <w:rPr>
          <w:rFonts w:eastAsia="Cambria" w:cs="Cambria"/>
          <w:b w:val="false"/>
          <w:bCs w:val="false"/>
          <w:i w:val="false"/>
          <w:iCs w:val="false"/>
          <w:sz w:val="22"/>
          <w:szCs w:val="22"/>
        </w:rPr>
        <w:t xml:space="preserve"> (wörtlich „Syndrom der hohen Mohnblume“): Wer zu offensichtlich mit Erfolg, Titel oder Gehalt prahlt, wird in Australien nicht bewundert, sondern sozial „gestutzt“ –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 der verkorkste erste Linksverkehr-Versuch, die falsch ausgesprochenen Ortsnamen –, kommt in Australien meist erheblich weiter als mit einer Erfolgsliste.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Vereinswesen im deutschen Sinn – mit Satzung, Vorstand und Vereinsheim – ist in Australien selten; stattdessen dominieren Sportclubs, die zugleich soziale Zentren sind. Cricket ist im Sommer (Oktober bis März) überall präsent, im Winter wechselt es je nach Bundesstaat zu </w:t>
      </w:r>
      <w:r>
        <w:rPr>
          <w:rFonts w:eastAsia="Cambria" w:cs="Cambria"/>
          <w:b w:val="false"/>
          <w:bCs w:val="false"/>
          <w:i/>
          <w:iCs/>
          <w:sz w:val="22"/>
          <w:szCs w:val="22"/>
        </w:rPr>
        <w:t>Australian Football</w:t>
      </w:r>
      <w:r>
        <w:rPr>
          <w:rFonts w:eastAsia="Cambria" w:cs="Cambria"/>
          <w:b w:val="false"/>
          <w:bCs w:val="false"/>
          <w:i w:val="false"/>
          <w:iCs w:val="false"/>
          <w:sz w:val="22"/>
          <w:szCs w:val="22"/>
        </w:rPr>
        <w:t xml:space="preserve"> (AFL, mit Ursprüngen und größter Fangemeinde in Victoria, Western Australia und South Australia) oder </w:t>
      </w:r>
      <w:r>
        <w:rPr>
          <w:rFonts w:eastAsia="Cambria" w:cs="Cambria"/>
          <w:b w:val="false"/>
          <w:bCs w:val="false"/>
          <w:i/>
          <w:iCs/>
          <w:sz w:val="22"/>
          <w:szCs w:val="22"/>
        </w:rPr>
        <w:t>Rugby League</w:t>
      </w:r>
      <w:r>
        <w:rPr>
          <w:rFonts w:eastAsia="Cambria" w:cs="Cambria"/>
          <w:b w:val="false"/>
          <w:bCs w:val="false"/>
          <w:i w:val="false"/>
          <w:iCs w:val="false"/>
          <w:sz w:val="22"/>
          <w:szCs w:val="22"/>
        </w:rPr>
        <w:t xml:space="preserve"> (NRL, Schwerpunkt New South Wales und Queensland);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zieht landesweit vor allem Frauen und Mädchen an Wochenenden auf die Plätze. Wer an der Küste lebt, findet in einem </w:t>
      </w:r>
      <w:r>
        <w:rPr>
          <w:rFonts w:eastAsia="Cambria" w:cs="Cambria"/>
          <w:b w:val="false"/>
          <w:bCs w:val="false"/>
          <w:i/>
          <w:iCs/>
          <w:sz w:val="22"/>
          <w:szCs w:val="22"/>
        </w:rPr>
        <w:t>Surf Life Saving Club</w:t>
      </w:r>
      <w:r>
        <w:rPr>
          <w:rFonts w:eastAsia="Cambria" w:cs="Cambria"/>
          <w:b w:val="false"/>
          <w:bCs w:val="false"/>
          <w:i w:val="false"/>
          <w:iCs w:val="false"/>
          <w:sz w:val="22"/>
          <w:szCs w:val="22"/>
        </w:rPr>
        <w:t xml:space="preserve"> eine typisch australische Kombination aus Rettungsschwimmer-Ausbildung, Wettkampfsport und Vereinsleben am Strand: Mitglieder patrouillieren ehrenamtlich die Strände und feiern danach gemeinsam im Clubhaus.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sehr australische Tür ist der Katastrophenschutz: Die freiwillige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(RFS, ländliche Feuerwehr, in einzelnen Bundesstaaten unter anderem Namen organisiert) und der </w:t>
      </w:r>
      <w:r>
        <w:rPr>
          <w:rFonts w:eastAsia="Cambria" w:cs="Cambria"/>
          <w:b w:val="false"/>
          <w:bCs w:val="false"/>
          <w:i/>
          <w:iCs/>
          <w:sz w:val="22"/>
          <w:szCs w:val="22"/>
        </w:rPr>
        <w:t>State Emergency Service</w:t>
      </w:r>
      <w:r>
        <w:rPr>
          <w:rFonts w:eastAsia="Cambria" w:cs="Cambria"/>
          <w:b w:val="false"/>
          <w:bCs w:val="false"/>
          <w:i w:val="false"/>
          <w:iCs w:val="false"/>
          <w:sz w:val="22"/>
          <w:szCs w:val="22"/>
        </w:rPr>
        <w:t xml:space="preserve"> (SES, freiwilliger Katastrophenschutz für Stürme und Fluten) suchen laufend Mitglieder. Wer sich in einer Region mit Buschfeuer- oder Flutrisiko niederlässt (siehe das </w:t>
      </w:r>
      <w:hyperlink w:anchor="tau09">
        <w:r>
          <w:rPr>
            <w:rStyle w:val="ListLabel113"/>
            <w:rFonts w:eastAsia="Cambria" w:cs="Cambria"/>
            <w:b w:val="false"/>
            <w:bCs w:val="false"/>
            <w:i w:val="false"/>
            <w:iCs w:val="false"/>
            <w:color w:val="0563C1"/>
            <w:sz w:val="22"/>
            <w:szCs w:val="22"/>
            <w:u w:val="single"/>
          </w:rPr>
          <w:t>Kapitel zu Wohnen und den besten Orten in diesem Teil</w:t>
        </w:r>
      </w:hyperlink>
      <w:r>
        <w:rPr>
          <w:rFonts w:eastAsia="Cambria" w:cs="Cambria"/>
          <w:b w:val="false"/>
          <w:bCs w:val="false"/>
          <w:i w:val="false"/>
          <w:iCs w:val="false"/>
          <w:sz w:val="22"/>
          <w:szCs w:val="22"/>
        </w:rPr>
        <w:t>), lernt darüber ungewöhnlich schnell Nachbarn kennen, die ohnehin zusammenhalten müssen – eine Freundschaft, die im Ernstfall entsteht, hält oft länger als eine, die am Kaffeetisch begann.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Nachbarschaft ersetzt der </w:t>
      </w:r>
      <w:r>
        <w:rPr>
          <w:rFonts w:eastAsia="Cambria" w:cs="Cambria"/>
          <w:b w:val="false"/>
          <w:bCs w:val="false"/>
          <w:i/>
          <w:iCs/>
          <w:sz w:val="22"/>
          <w:szCs w:val="22"/>
        </w:rPr>
        <w:t>Nature Strip</w:t>
      </w:r>
      <w:r>
        <w:rPr>
          <w:rFonts w:eastAsia="Cambria" w:cs="Cambria"/>
          <w:b w:val="false"/>
          <w:bCs w:val="false"/>
          <w:i w:val="false"/>
          <w:iCs w:val="false"/>
          <w:sz w:val="22"/>
          <w:szCs w:val="22"/>
        </w:rPr>
        <w:t xml:space="preserve"> (der Grünstreifen zwischen Gehweg und Straße, den viele Anwohner gemeinsam pflegen und für spontane Plaudereien nutzen) den deutschen Gartenzaun; ein informelles „Barbie“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Grillfest) am Wochenende ist die häufigste Einladung überhaupt und erwartet wenig mehr als eine Flasche Wein oder ein paar Getränke im Gepäck. Für Erwachsene ohne Kinder oder festen Sportverein bieten </w:t>
      </w:r>
      <w:r>
        <w:rPr>
          <w:rFonts w:eastAsia="Cambria" w:cs="Cambria"/>
          <w:b w:val="false"/>
          <w:bCs w:val="false"/>
          <w:i/>
          <w:iCs/>
          <w:sz w:val="22"/>
          <w:szCs w:val="22"/>
        </w:rPr>
        <w:t>TAFE</w:t>
      </w:r>
      <w:r>
        <w:rPr>
          <w:rFonts w:eastAsia="Cambria" w:cs="Cambria"/>
          <w:b w:val="false"/>
          <w:bCs w:val="false"/>
          <w:i w:val="false"/>
          <w:iCs w:val="false"/>
          <w:sz w:val="22"/>
          <w:szCs w:val="22"/>
        </w:rPr>
        <w:t>-Kurse (</w:t>
      </w:r>
      <w:r>
        <w:rPr>
          <w:rFonts w:eastAsia="Cambria" w:cs="Cambria"/>
          <w:b w:val="false"/>
          <w:bCs w:val="false"/>
          <w:i/>
          <w:iCs/>
          <w:sz w:val="22"/>
          <w:szCs w:val="22"/>
        </w:rPr>
        <w:t>Technical and Further Education</w:t>
      </w:r>
      <w:r>
        <w:rPr>
          <w:rFonts w:eastAsia="Cambria" w:cs="Cambria"/>
          <w:b w:val="false"/>
          <w:bCs w:val="false"/>
          <w:i w:val="false"/>
          <w:iCs w:val="false"/>
          <w:sz w:val="22"/>
          <w:szCs w:val="22"/>
        </w:rPr>
        <w:t>, die staatliche berufliche Weiterbildung, am ehesten mit der Volkshochschule vergleichbar) günstigen Zugang zu Gleichgesinnten, von Töpfern bis Spanisch. Wer allein und mit befristetem Visum unterwegs ist, findet zusätzlich über den Working-Holiday-Kreislauf aus Hostels, Farmarbeit und Backpacker-Touren schnell Bekanntschaften – nur wechselt diese Gruppe selbst ständig weiter, sodass feste Freundschaften hier besonders von eigener Beharrlichkeit abhängen.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gebackener Kuchen oder Salat ist immer richtig; Nachfragen bei der Gastgeberin oder dem Gastgeber räumt jeden Zweifel aus.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erwartet wird</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Barbie“ am Nachbarhaus</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Kleinigkeit zum Grillen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Bring a plate“ (Schulfest, Straßenfest)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mitgebrachtes Gericht zum Teilen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Abendessen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 für die Gastgeber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der Baumarkt wird in Australien zum sozialen Ort: Vor vielen Filialen der Kette Bunnings steht am Wochenende ein Grillstand, an dem Schulen, Sportvereine oder Feuerwehren Würstchen im Brot (</w:t>
      </w:r>
      <w:r>
        <w:rPr>
          <w:rFonts w:eastAsia="Cambria" w:cs="Cambria"/>
          <w:b w:val="false"/>
          <w:bCs w:val="false"/>
          <w:i/>
          <w:iCs/>
          <w:sz w:val="22"/>
          <w:szCs w:val="22"/>
        </w:rPr>
        <w:t>Sausage Sizzle</w:t>
      </w:r>
      <w:r>
        <w:rPr>
          <w:rFonts w:eastAsia="Cambria" w:cs="Cambria"/>
          <w:b w:val="false"/>
          <w:bCs w:val="false"/>
          <w:i w:val="false"/>
          <w:iCs w:val="false"/>
          <w:sz w:val="22"/>
          <w:szCs w:val="22"/>
        </w:rPr>
        <w:t xml:space="preserve">) für den guten Zweck verkaufen – ein paar Dollar, ein Plausch in der Schlange, und plötzlich kennst du den Namen des Vereins, der gerade sammelt. In Städten mit dünner deutscher Infrastruktur wie Perth oder Adelaide (siehe oben) lohnt sich außerdem ein zweiter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sowie auf die städtische Freizeitverwaltung (</w:t>
      </w:r>
      <w:r>
        <w:rPr>
          <w:rFonts w:eastAsia="Cambria" w:cs="Cambria"/>
          <w:b w:val="false"/>
          <w:bCs w:val="false"/>
          <w:i/>
          <w:iCs/>
          <w:sz w:val="22"/>
          <w:szCs w:val="22"/>
        </w:rPr>
        <w:t>Council</w:t>
      </w:r>
      <w:r>
        <w:rPr>
          <w:rFonts w:eastAsia="Cambria" w:cs="Cambria"/>
          <w:b w:val="false"/>
          <w:bCs w:val="false"/>
          <w:i w:val="false"/>
          <w:iCs w:val="false"/>
          <w:sz w:val="22"/>
          <w:szCs w:val="22"/>
        </w:rPr>
        <w:t>), die günstige Kurse und Ligen für Erwachsene anbietet.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kommt mit dem Skilled Independent Visa nach Melbourne. Thomas meldet sich beim örtlichen Cricketclub an, in dem samstags die halbe Straße mitspielt; Sandra übernimmt nach einem halben Jahr eine Schicht im Elterncafé der Grundschule, die Emil (10) und Clara (6) besuchen. Am schnellsten öffnet sich aber die Tür über die Kinder: Emil wird bei Auskick angemeldet, dem spielerischen Einstiegsprogramm der australischen Football-Liga für Grundschulkinder, und binnen zweier Trainingsabende kennt Thomas drei Väter beim Vornamen. Aus „Wie war das Training?“ wird über die Wochen ein festes Bier danach – die Art Freundschaft, die mit einer Aktivität beginnt und erst später zu mehr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In Perth, Adelaide, Brisbane und Canberra bleiben vor allem ehrenamtliche Konsularvertretungen und lose Stammtische, meist über Facebook- oder Meetup-Gruppen organisiert.</w:t>
      </w:r>
    </w:p>
    <w:tbl>
      <w:tblPr>
        <w:tblW w:w="6480" w:type="dxa"/>
        <w:jc w:val="left"/>
        <w:tblInd w:w="0" w:type="dxa"/>
        <w:tblLayout w:type="fixed"/>
        <w:tblCellMar>
          <w:top w:w="50" w:type="dxa"/>
          <w:left w:w="80" w:type="dxa"/>
          <w:bottom w:w="50" w:type="dxa"/>
          <w:right w:w="80" w:type="dxa"/>
        </w:tblCellMar>
      </w:tblPr>
      <w:tblGrid>
        <w:gridCol w:w="1185"/>
        <w:gridCol w:w="1837"/>
        <w:gridCol w:w="1838"/>
        <w:gridCol w:w="1619"/>
      </w:tblGrid>
      <w:tr>
        <w:trPr>
          <w:tblHeader w:val="true"/>
          <w:cantSplit w:val="true"/>
        </w:trPr>
        <w:tc>
          <w:tcPr>
            <w:tcW w:w="11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8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Schule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1974</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Sydney</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Sydney/Honorarkonsuln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 Melbourne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 (kein Privatkonsulat)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 Perth, Adelaide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Sydney/Melbourne)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Meetup und Facebook. Landsleute kennen Ärzte, Schulen und Behördenwege aus erster Hand und ersparen dir Monate an Ausprobieren.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bei manchen US-Visa dürfen Partnerinnen und Partner auf permanenten und den meisten befristeten australischen Visa in aller Regel von Anfang an arbeiten – das nimmt zumindest den rechtlichen Druck aus der Situation. Trotzdem trifft der Neustart häufig eine Person stärker als die andere: Während der Hauptantragsteller über den neuen Arbeitgeber sofort Kollegen und Struktur hat, muss der mitreisende Partner eigene Kontakte, eine eigene Zulassung im Beruf und oft ein neues Netzwerk von null aufbauen. Bei reglementierten Berufen wie der Pflege kommt hinzu, dass die australische Berufszulassung (etwa bei der </w:t>
      </w:r>
      <w:r>
        <w:rPr>
          <w:rFonts w:eastAsia="Cambria" w:cs="Cambria"/>
          <w:b w:val="false"/>
          <w:bCs w:val="false"/>
          <w:i/>
          <w:iCs/>
          <w:sz w:val="22"/>
          <w:szCs w:val="22"/>
        </w:rPr>
        <w:t>Australian Health Practitioner Regulation Agency</w:t>
      </w:r>
      <w:r>
        <w:rPr>
          <w:rFonts w:eastAsia="Cambria" w:cs="Cambria"/>
          <w:b w:val="false"/>
          <w:bCs w:val="false"/>
          <w:i w:val="false"/>
          <w:iCs w:val="false"/>
          <w:sz w:val="22"/>
          <w:szCs w:val="22"/>
        </w:rPr>
        <w:t>, kurz AHPRA, der zuständigen Zulassungsstelle für Gesundheitsberufe) einige Monate dauern kann, bevor die eigentliche Stellensuche überhaupt beginnt. Wer diese Wartezeit mit einem Kurs, einem Ehrenamt oder festen Terminen außerhalb der Wohnung überbrückt statt sie nur abzusitzen, baut nebenbei schon das Netzwerk auf, das die spätere Jobsuche erleichtert.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Netzwerkaufbau nicht, bis die Berufszulassung durch ist. Wer die Wartemonate isoliert zu Hause verbringt, verstärkt genau die Talsohle, die im nächsten Abschnitt beschrieben wird – ein Kurs oder ein fester Wochentermin wirkt dagegen doppelt: gegen die Einsamkeit und für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16.000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 ein „kurzer Sprung übers Wochenende nach Hause“ ist damit, nüchtern betrachtet, keine Option, die man ernsthaft erwägt, sondern eher eine Schlafentzugsübung mit Gepäck. Dazu kommt eine Zeitverschiebung von 8 bis 10 Stunden gegenüber Deutschland, je nachdem, welches der beiden Länder gerade seine eigene Sommer- oder Winterzeit hat: Während in Köln das Frühstücksei noch dampft, geht in Sydney oder Melbourne bereits das Licht aus. Ein spontaner Anruf wird so zur logistischen Übung, kein Zufallsprodukt eines freien Abends.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 spontan ein Last-Minute-Ticket kauft, zahlt oft ein Vielfaches des Normalpreises für einen Flug, der wegen Jetlag und Kürze kaum erholsam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 nicht erst, wenn nachts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zusätzlich würzt, ist die verkehrte Jahreszeit: Weihnachten fällt auf der Südhalbkugel mitten in den Hochsommer, mit Strand, Grillfleisch und Klimaanlage statt Schnee und Glühwein. Für die einen ist das ein hübsches Kuriosum, für andere – gerade im ersten Jahr – ein weiterer Stich, wenn Fotos vom verschneiten Weihnachtsmarkt zu Hause auf dem Handy aufploppen, während man selbst in Badeshorts am Grill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kommt mit einem Working-Holiday-Visum nach Sydney, wohnt die ersten Wochen im Hostel in Bondi und wechselt danach mehrfach die WG. Nach drei Monaten hat sie viele nette Bekanntschaften, aber niemanden, den sie wirklich vermissen würde, wenn sie abreist – und genau das macht ihr an einem regnerischen Sonntagabend plötzlich zu schaffen. Sie meldet sich für einen festen Volleyball-Abend am Bondi Beach an und bleibt bewusst sechs Wochen bei derselben Gruppe, statt weiterzuziehen. Aus der losen Runde wird eine Mitbewohnerin, mit der sie später zusammenzieht, als sie über einen Arbeitgeber auf ein Skilled-Visum wechselt.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Sportvereine und Nachbarschaft sind offene Türen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bei RFS oder SES öffnet ungewöhnlich schnell feste Bindungen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Ehrenämter setzen oft Wohnorte mit Buschfeuer- oder Flutrisiko voraus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Sydney und Melbourne gut organisiert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anderen Großstädten kaum deutsche Infrastruktur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21 bis 24 Stunden Reisezeit, hohe Preise bei Last-Minute-Buchungen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offene Umgangsformen erleichtern erste Kontakte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erreichbar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Zeitverschiebung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oder ein Ehrenamt in deiner Zielstadt aus, tritt den passenden Online-Gruppen bei und plane feste Rituale mit der Familie zu Hause trotz Zeitverschiebung ein. Bereite dich außerdem darauf vor, dass Heimatbesuche in Australien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 Ehrenamt (RFS, SES, Surf Life Saving) oder eine TAFE-Kursliste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und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Lifeline (13 11 14) und den Notruf 000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Zuständigkeiten, Kontakt (</w:t>
      </w:r>
      <w:hyperlink r:id="rId493">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494">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Australia — Krisenhilfe rund um die Uhr (</w:t>
      </w:r>
      <w:hyperlink r:id="rId495">
        <w:r>
          <w:rPr>
            <w:rStyle w:val="ListLabel113"/>
            <w:rFonts w:eastAsia="Cambria" w:cs="Cambria"/>
            <w:b w:val="false"/>
            <w:bCs w:val="false"/>
            <w:i w:val="false"/>
            <w:iCs w:val="false"/>
            <w:color w:val="0563C1"/>
            <w:sz w:val="22"/>
            <w:szCs w:val="22"/>
            <w:u w:val="single"/>
          </w:rPr>
          <w:t>lifeline.org.au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Surf Life Saving Australia — Clubs und Mitgliedschaft (</w:t>
      </w:r>
      <w:hyperlink r:id="rId496">
        <w:r>
          <w:rPr>
            <w:rStyle w:val="ListLabel113"/>
            <w:rFonts w:eastAsia="Cambria" w:cs="Cambria"/>
            <w:b w:val="false"/>
            <w:bCs w:val="false"/>
            <w:i w:val="false"/>
            <w:iCs w:val="false"/>
            <w:color w:val="0563C1"/>
            <w:sz w:val="22"/>
            <w:szCs w:val="22"/>
            <w:u w:val="single"/>
          </w:rPr>
          <w:t>sls.com.au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Rural Fire Service und State Emergency Service — freiwillige Mitarbeit (</w:t>
      </w:r>
      <w:hyperlink r:id="rId497">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w:t>
      </w:r>
      <w:hyperlink r:id="rId498">
        <w:r>
          <w:rPr>
            <w:rStyle w:val="ListLabel113"/>
            <w:rFonts w:eastAsia="Cambria" w:cs="Cambria"/>
            <w:b w:val="false"/>
            <w:bCs w:val="false"/>
            <w:i w:val="false"/>
            <w:iCs w:val="false"/>
            <w:color w:val="0563C1"/>
            <w:sz w:val="22"/>
            <w:szCs w:val="22"/>
            <w:u w:val="single"/>
          </w:rPr>
          <w:t>ses.nsw.gov.au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Konsulaten und Goethe-Instituten,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8" w:name="__RefHeading___Toc56556_3457424410"/>
      <w:bookmarkStart w:id="129" w:name="tau13"/>
      <w:bookmarkEnd w:id="128"/>
      <w:r>
        <w:rPr>
          <w:rFonts w:eastAsia="Amazon Ember" w:cs="Amazon Ember" w:ascii="Amazon Ember" w:hAnsi="Amazon Ember"/>
          <w:b/>
          <w:bCs/>
          <w:color w:val="0000FF"/>
          <w:sz w:val="36"/>
          <w:szCs w:val="36"/>
        </w:rPr>
        <w:t>Australien: Kinder, Schule und Spracheingewöhnung</w:t>
      </w:r>
      <w:bookmarkEnd w:id="12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Schulbeginn im neuen Jahr ist in Australien wörtlich gemeint: Während deutsche Klassenkameraden im Januar mitten im zweiten Schulhalbjahr stecken, startet Emil (10, fiktiv, Familie Reinhardt) sein erstes australisches Schuljahr am Ende des australischen Sommers – in kurzen Hosen und mit Sonnencreme im Ranzen statt mit Mütze und Schal. Für Eltern ist das mehr als eine Kuriosität: Der Zeitpunkt des Umzugs entscheidet mit, wie glatt der Schulwechsel gelingt.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Australiens Schuljahr läuft von Ende Januar/Anfang Februar bis Mitte Dezember, in vier Terms mit kurzen Pausen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Primary School dauert meist von Kindergarten/Prep bis Year 6, Secondary School von Year 7 bis Year 12; jeder Bundesstaat zählt und benennt die Anfangsstufe leicht anders.</w:t>
            </w:r>
          </w:p>
          <w:p>
            <w:pPr>
              <w:pStyle w:val="ListParagraph"/>
              <w:numPr>
                <w:ilvl w:val="0"/>
                <w:numId w:val="1"/>
              </w:numPr>
              <w:spacing w:lineRule="exact" w:line="264" w:before="0" w:after="50"/>
              <w:rPr/>
            </w:pPr>
            <w:r>
              <w:rPr>
                <w:rFonts w:eastAsia="Cambria" w:cs="Cambria"/>
                <w:b w:val="false"/>
                <w:bCs w:val="false"/>
                <w:i w:val="false"/>
                <w:iCs w:val="false"/>
                <w:sz w:val="20"/>
                <w:szCs w:val="20"/>
              </w:rPr>
              <w:t>Rund 63 % der Kinder besuchen staatliche, kostenlose Schulen; katholische und unabhängige Privatschulen kosten von wenigen Tausend bis über 50.000 AUD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kommen ohne Statusprüfung aus,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(EAL/D) ist an australischen Schulen Standard, nicht die Ausnahme – Kinder lernen meist deutlich schneller Englisch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fast nur in Sydney und Melbourne;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Primary, Secondary und ein Flickenteppich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Bildung ist in Australien, ähnlich wie in Deutschland, Ländersache – hier eben Sache der sechs Bundesstaaten und zwei Territorien, nicht eines Bundesministeriums. Ein nationaler Rahmenlehrplan (</w:t>
      </w:r>
      <w:r>
        <w:rPr>
          <w:rFonts w:eastAsia="Cambria" w:cs="Cambria"/>
          <w:b w:val="false"/>
          <w:bCs w:val="false"/>
          <w:i/>
          <w:iCs/>
          <w:sz w:val="22"/>
          <w:szCs w:val="22"/>
        </w:rPr>
        <w:t>Australian Curriculum</w:t>
      </w:r>
      <w:r>
        <w:rPr>
          <w:rFonts w:eastAsia="Cambria" w:cs="Cambria"/>
          <w:b w:val="false"/>
          <w:bCs w:val="false"/>
          <w:i w:val="false"/>
          <w:iCs w:val="false"/>
          <w:sz w:val="22"/>
          <w:szCs w:val="22"/>
        </w:rPr>
        <w:t>) sorgt für eine gewisse Einheitlichkeit; die konkrete Umsetzung, Stufenzählung und Bezeichnung bleiben aber Ländersache – ein Flickenteppich, an den sich deutsche Eltern erst gewöhnen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Aufbau folgt überall demselben Grundmuster: einem freiwilligen, aber weitverbreiteten Vorschuljahr (je nach Bundesstaat </w:t>
      </w:r>
      <w:r>
        <w:rPr>
          <w:rFonts w:eastAsia="Cambria" w:cs="Cambria"/>
          <w:b w:val="false"/>
          <w:bCs w:val="false"/>
          <w:i/>
          <w:iCs/>
          <w:sz w:val="22"/>
          <w:szCs w:val="22"/>
        </w:rPr>
        <w:t>Kindergarten</w:t>
      </w:r>
      <w:r>
        <w:rPr>
          <w:rFonts w:eastAsia="Cambria" w:cs="Cambria"/>
          <w:b w:val="false"/>
          <w:bCs w:val="false"/>
          <w:i w:val="false"/>
          <w:iCs w:val="false"/>
          <w:sz w:val="22"/>
          <w:szCs w:val="22"/>
        </w:rPr>
        <w:t xml:space="preserve">, </w:t>
      </w:r>
      <w:r>
        <w:rPr>
          <w:rFonts w:eastAsia="Cambria" w:cs="Cambria"/>
          <w:b w:val="false"/>
          <w:bCs w:val="false"/>
          <w:i/>
          <w:iCs/>
          <w:sz w:val="22"/>
          <w:szCs w:val="22"/>
        </w:rPr>
        <w:t>Prep</w:t>
      </w:r>
      <w:r>
        <w:rPr>
          <w:rFonts w:eastAsia="Cambria" w:cs="Cambria"/>
          <w:b w:val="false"/>
          <w:bCs w:val="false"/>
          <w:i w:val="false"/>
          <w:iCs w:val="false"/>
          <w:sz w:val="22"/>
          <w:szCs w:val="22"/>
        </w:rPr>
        <w:t xml:space="preserve">, </w:t>
      </w:r>
      <w:r>
        <w:rPr>
          <w:rFonts w:eastAsia="Cambria" w:cs="Cambria"/>
          <w:b w:val="false"/>
          <w:bCs w:val="false"/>
          <w:i/>
          <w:iCs/>
          <w:sz w:val="22"/>
          <w:szCs w:val="22"/>
        </w:rPr>
        <w:t>Foundation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Reception</w:t>
      </w:r>
      <w:r>
        <w:rPr>
          <w:rFonts w:eastAsia="Cambria" w:cs="Cambria"/>
          <w:b w:val="false"/>
          <w:bCs w:val="false"/>
          <w:i w:val="false"/>
          <w:iCs w:val="false"/>
          <w:sz w:val="22"/>
          <w:szCs w:val="22"/>
        </w:rPr>
        <w:t xml:space="preserve"> genannt) mit rund fünf Jahren, gefolgt von der </w:t>
      </w:r>
      <w:r>
        <w:rPr>
          <w:rFonts w:eastAsia="Cambria" w:cs="Cambria"/>
          <w:b w:val="false"/>
          <w:bCs w:val="false"/>
          <w:i/>
          <w:iCs/>
          <w:sz w:val="22"/>
          <w:szCs w:val="22"/>
        </w:rPr>
        <w:t>Primary School</w:t>
      </w:r>
      <w:r>
        <w:rPr>
          <w:rFonts w:eastAsia="Cambria" w:cs="Cambria"/>
          <w:b w:val="false"/>
          <w:bCs w:val="false"/>
          <w:i w:val="false"/>
          <w:iCs w:val="false"/>
          <w:sz w:val="22"/>
          <w:szCs w:val="22"/>
        </w:rPr>
        <w:t xml:space="preserve"> (Grundschule) bis Year 6 und der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(weiterführende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Den Abschluss der Schulzeit markiert kein bundesweit einheitliches Zeugnis, sondern ein Zertifikat je Bundesstaat: das </w:t>
      </w:r>
      <w:r>
        <w:rPr>
          <w:rFonts w:eastAsia="Cambria" w:cs="Cambria"/>
          <w:b w:val="false"/>
          <w:bCs w:val="false"/>
          <w:i/>
          <w:iCs/>
          <w:sz w:val="22"/>
          <w:szCs w:val="22"/>
        </w:rPr>
        <w:t>Higher School Certificate</w:t>
      </w:r>
      <w:r>
        <w:rPr>
          <w:rFonts w:eastAsia="Cambria" w:cs="Cambria"/>
          <w:b w:val="false"/>
          <w:bCs w:val="false"/>
          <w:i w:val="false"/>
          <w:iCs w:val="false"/>
          <w:sz w:val="22"/>
          <w:szCs w:val="22"/>
        </w:rPr>
        <w:t xml:space="preserve"> (HSC) in New South Wales, das </w:t>
      </w:r>
      <w:r>
        <w:rPr>
          <w:rFonts w:eastAsia="Cambria" w:cs="Cambria"/>
          <w:b w:val="false"/>
          <w:bCs w:val="false"/>
          <w:i/>
          <w:iCs/>
          <w:sz w:val="22"/>
          <w:szCs w:val="22"/>
        </w:rPr>
        <w:t>Victorian Certificate of Education</w:t>
      </w:r>
      <w:r>
        <w:rPr>
          <w:rFonts w:eastAsia="Cambria" w:cs="Cambria"/>
          <w:b w:val="false"/>
          <w:bCs w:val="false"/>
          <w:i w:val="false"/>
          <w:iCs w:val="false"/>
          <w:sz w:val="22"/>
          <w:szCs w:val="22"/>
        </w:rPr>
        <w:t xml:space="preserve"> (VCE) in Victoria, das </w:t>
      </w:r>
      <w:r>
        <w:rPr>
          <w:rFonts w:eastAsia="Cambria" w:cs="Cambria"/>
          <w:b w:val="false"/>
          <w:bCs w:val="false"/>
          <w:i/>
          <w:iCs/>
          <w:sz w:val="22"/>
          <w:szCs w:val="22"/>
        </w:rPr>
        <w:t>Queensland Certificate of Education</w:t>
      </w:r>
      <w:r>
        <w:rPr>
          <w:rFonts w:eastAsia="Cambria" w:cs="Cambria"/>
          <w:b w:val="false"/>
          <w:bCs w:val="false"/>
          <w:i w:val="false"/>
          <w:iCs w:val="false"/>
          <w:sz w:val="22"/>
          <w:szCs w:val="22"/>
        </w:rPr>
        <w:t xml:space="preserve"> (QCE) in Queensland und ähnliche Zertifikate in den übrigen Staaten – inhaltlich vergleichbar mit dem Abitur, aber ohne dessen bundesweite Einheitlichkeit. Für die Universitätszulassung zählt zusätzlich der </w:t>
      </w:r>
      <w:r>
        <w:rPr>
          <w:rFonts w:eastAsia="Cambria" w:cs="Cambria"/>
          <w:b w:val="false"/>
          <w:bCs w:val="false"/>
          <w:i/>
          <w:iCs/>
          <w:sz w:val="22"/>
          <w:szCs w:val="22"/>
        </w:rPr>
        <w:t>ATAR</w:t>
      </w:r>
      <w:r>
        <w:rPr>
          <w:rFonts w:eastAsia="Cambria" w:cs="Cambria"/>
          <w:b w:val="false"/>
          <w:bCs w:val="false"/>
          <w:i w:val="false"/>
          <w:iCs w:val="false"/>
          <w:sz w:val="22"/>
          <w:szCs w:val="22"/>
        </w:rPr>
        <w:t xml:space="preserve"> (</w:t>
      </w:r>
      <w:r>
        <w:rPr>
          <w:rFonts w:eastAsia="Cambria" w:cs="Cambria"/>
          <w:b w:val="false"/>
          <w:bCs w:val="false"/>
          <w:i/>
          <w:iCs/>
          <w:sz w:val="22"/>
          <w:szCs w:val="22"/>
        </w:rPr>
        <w:t>Australian Tertiary Admission Rank</w:t>
      </w:r>
      <w:r>
        <w:rPr>
          <w:rFonts w:eastAsia="Cambria" w:cs="Cambria"/>
          <w:b w:val="false"/>
          <w:bCs w:val="false"/>
          <w:i w:val="false"/>
          <w:iCs w:val="false"/>
          <w:sz w:val="22"/>
          <w:szCs w:val="22"/>
        </w:rPr>
        <w:t>), eine Rangzahl zwischen 0 und 99,95, die die Leistung eines Schülers relativ zum gesamten Jahrgang ausdrückt – ein Prinzip, das es in dieser Form in Deutschland nicht gibt und das sich beim ersten Elternabend gern zweimal erklären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 als Vergleichsgröße. Wichtiger als die Year-Zahl sind der Stichtag des jeweiligen Bundesstaats und das, was die Schule vor Ort über den Wissensstand deines Kindes sagt.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Alltagsdetails überraschen deutsche Familien fast immer: Erstens tragen australische Schulkinder, staatlich wie privat, fast überall eine Schuluniform –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w:t>
      </w:r>
      <w:r>
        <w:rPr>
          <w:rFonts w:eastAsia="Cambria" w:cs="Cambria"/>
          <w:b w:val="false"/>
          <w:bCs w:val="false"/>
          <w:i/>
          <w:iCs/>
          <w:sz w:val="22"/>
          <w:szCs w:val="22"/>
        </w:rPr>
        <w:t>Voluntary Contribution</w:t>
      </w:r>
      <w:r>
        <w:rPr>
          <w:rFonts w:eastAsia="Cambria" w:cs="Cambria"/>
          <w:b w:val="false"/>
          <w:bCs w:val="false"/>
          <w:i w:val="false"/>
          <w:iCs w:val="false"/>
          <w:sz w:val="22"/>
          <w:szCs w:val="22"/>
        </w:rPr>
        <w:t>, oft im niedrigen dreistelligen AUD-Bereich) für Materialien, Exkursionen und Ausstattung – rechtlich freiwillig, sozial aber meist erwartet.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katholisch oder unabhängig: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traditionell drei große Schulsektoren nebeneinander, und alle drei sind fest im Alltag verankert. Rund 63 % der Kinder besuchen staatliche </w:t>
      </w:r>
      <w:r>
        <w:rPr>
          <w:rFonts w:eastAsia="Cambria" w:cs="Cambria"/>
          <w:b w:val="false"/>
          <w:bCs w:val="false"/>
          <w:i/>
          <w:iCs/>
          <w:sz w:val="22"/>
          <w:szCs w:val="22"/>
        </w:rPr>
        <w:t>Public Schools</w:t>
      </w:r>
      <w:r>
        <w:rPr>
          <w:rFonts w:eastAsia="Cambria" w:cs="Cambria"/>
          <w:b w:val="false"/>
          <w:bCs w:val="false"/>
          <w:i w:val="false"/>
          <w:iCs w:val="false"/>
          <w:sz w:val="22"/>
          <w:szCs w:val="22"/>
        </w:rPr>
        <w:t xml:space="preserve">: kostenlos, konfessionsfrei, mit Aufnahme nach Wohnadresse – ganz ähnlich dem deutschen Prinzip „Schulbezirk bestimmt Schule“. Etwa 20 % gehen auf katholische </w:t>
      </w:r>
      <w:r>
        <w:rPr>
          <w:rFonts w:eastAsia="Cambria" w:cs="Cambria"/>
          <w:b w:val="false"/>
          <w:bCs w:val="false"/>
          <w:i/>
          <w:iCs/>
          <w:sz w:val="22"/>
          <w:szCs w:val="22"/>
        </w:rPr>
        <w:t>Systemic Schools</w:t>
      </w:r>
      <w:r>
        <w:rPr>
          <w:rFonts w:eastAsia="Cambria" w:cs="Cambria"/>
          <w:b w:val="false"/>
          <w:bCs w:val="false"/>
          <w:i w:val="false"/>
          <w:iCs w:val="false"/>
          <w:sz w:val="22"/>
          <w:szCs w:val="22"/>
        </w:rPr>
        <w:t xml:space="preserve">,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w:t>
      </w:r>
      <w:r>
        <w:rPr>
          <w:rFonts w:eastAsia="Cambria" w:cs="Cambria"/>
          <w:b w:val="false"/>
          <w:bCs w:val="false"/>
          <w:i/>
          <w:iCs/>
          <w:sz w:val="22"/>
          <w:szCs w:val="22"/>
        </w:rPr>
        <w:t>Independent Schools</w:t>
      </w:r>
      <w:r>
        <w:rPr>
          <w:rFonts w:eastAsia="Cambria" w:cs="Cambria"/>
          <w:b w:val="false"/>
          <w:bCs w:val="false"/>
          <w:i w:val="false"/>
          <w:iCs w:val="false"/>
          <w:sz w:val="22"/>
          <w:szCs w:val="22"/>
        </w:rPr>
        <w:t>, deren Schulgeld von rund 25.000 AUD bis, an renommierten Schulen der großen Städte, über 50.000 AUD im letzten Schuljahr reicht – ein Anteil, der in den letzten Jahren spürbar gewachsen ist, während der staatliche Sektor leicht schrumpft.</w:t>
      </w:r>
    </w:p>
    <w:tbl>
      <w:tblPr>
        <w:tblW w:w="6480" w:type="dxa"/>
        <w:jc w:val="left"/>
        <w:tblInd w:w="0" w:type="dxa"/>
        <w:tblLayout w:type="fixed"/>
        <w:tblCellMar>
          <w:top w:w="50" w:type="dxa"/>
          <w:left w:w="80" w:type="dxa"/>
          <w:bottom w:w="50" w:type="dxa"/>
          <w:right w:w="80" w:type="dxa"/>
        </w:tblCellMar>
      </w:tblPr>
      <w:tblGrid>
        <w:gridCol w:w="2549"/>
        <w:gridCol w:w="1475"/>
        <w:gridCol w:w="2456"/>
      </w:tblGrid>
      <w:tr>
        <w:trPr>
          <w:tblHeader w:val="true"/>
          <w:cantSplit w:val="true"/>
        </w:trPr>
        <w:tc>
          <w:tcPr>
            <w:tcW w:w="25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 Schüler</w:t>
            </w:r>
          </w:p>
        </w:tc>
        <w:tc>
          <w:tcPr>
            <w:tcW w:w="24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pro Jahr</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 School (staatlich)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63 %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Catholic School (katholisch)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4.000–10.000 AUD</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(unabhängig)</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25.000–55.000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Schulqualität gilt Ähnliches wie anderswo: Privatschulen erzielen im Schnitt bessere ATAR-Ergebnisse, doch ein erheblicher Teil dieses Vorsprungs erklärt sich eher durch die soziale Herkunft der Schülerschaft als durch bessere Lehre – die besten staatlichen Schulen mit Aufnahmeprüfung (</w:t>
      </w:r>
      <w:r>
        <w:rPr>
          <w:rFonts w:eastAsia="Cambria" w:cs="Cambria"/>
          <w:b w:val="false"/>
          <w:bCs w:val="false"/>
          <w:i/>
          <w:iCs/>
          <w:sz w:val="22"/>
          <w:szCs w:val="22"/>
        </w:rPr>
        <w:t>Selective Schools</w:t>
      </w:r>
      <w:r>
        <w:rPr>
          <w:rFonts w:eastAsia="Cambria" w:cs="Cambria"/>
          <w:b w:val="false"/>
          <w:bCs w:val="false"/>
          <w:i w:val="false"/>
          <w:iCs w:val="false"/>
          <w:sz w:val="22"/>
          <w:szCs w:val="22"/>
        </w:rPr>
        <w:t>, vor allem in New South Wales) übertreffen renommierte Privatschulen bei den Ergebnissen regelmäßig, und das kostenlos.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Privatschule bezahlst, prüfe zuerst das staatliche Angebot deines Wohnorts. Auch ohne Spitzenplatz auf großen Bewertungsportalen kann die staatliche Schule um die Ecke der katholischen oder unabhängigen Alternative in nichts nachstehen.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 mitten im australischen Sommer, während in Deutschland zur gleichen Zeit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jeweils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33"/>
        <w:gridCol w:w="2680"/>
        <w:gridCol w:w="2567"/>
      </w:tblGrid>
      <w:tr>
        <w:trPr>
          <w:tblHeader w:val="true"/>
          <w:cantSplit w:val="true"/>
        </w:trPr>
        <w:tc>
          <w:tcPr>
            <w:tcW w:w="12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6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w:t>
            </w:r>
          </w:p>
        </w:tc>
        <w:tc>
          <w:tcPr>
            <w:tcW w:w="25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Ende März/Mitte April</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(oft mit Ostern)</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April – Ende Juni</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(Winter)</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 Juli – Mitte September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(Frühling)</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 Oktober – Mitte Dezember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jeder Bundesstaat einzeln fest und veröffentlicht sie auf der Website seiner Bildungsbehörde; sie unterscheiden sich von Jahr zu Jahr und zwischen den Staaten um bis zu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australischen Terms verpflanzt, erwischt einen vergleichsweise glatten Einstieg –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w:t>
            </w:r>
            <w:hyperlink w:anchor="tau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dem Termsystem gibt es landesweit standardisierte Tests: </w:t>
      </w:r>
      <w:r>
        <w:rPr>
          <w:rFonts w:eastAsia="Cambria" w:cs="Cambria"/>
          <w:b w:val="false"/>
          <w:bCs w:val="false"/>
          <w:i/>
          <w:iCs/>
          <w:sz w:val="22"/>
          <w:szCs w:val="22"/>
        </w:rPr>
        <w:t>NAPLAN</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Assessment Program – Literacy and Numeracy</w:t>
      </w:r>
      <w:r>
        <w:rPr>
          <w:rFonts w:eastAsia="Cambria" w:cs="Cambria"/>
          <w:b w:val="false"/>
          <w:bCs w:val="false"/>
          <w:i w:val="false"/>
          <w:iCs w:val="false"/>
          <w:sz w:val="22"/>
          <w:szCs w:val="22"/>
        </w:rPr>
        <w:t>)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an einer staatlichen Schule läuft über die zuständige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beziehungsweise jeder Bundesstaat im Detail selbst fest –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klärt vor dem Umzug nach Melbourne schriftlich mit zwei staatlichen Grundschulen, welche zu ihrer künftigen Adresse in Richmond gehört, und vereinbart für Emil (10) und Clara (6) je ein kurzes Einstufungsgespräch. Weil der Umzug im November stattfindet, starten beide Kinder erst mit dem regulären Term-1-Beginn im späten Januar. Für die Wochen davor meldet Sandra beide probeweise zu einem Ferienprogramm an, damit der Wechsel nicht mitten in ein fremdes, schon laufendes Schuljahr fällt, sondern mit einem sanften Übergang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 der Schule: Kinderbetreuung und Randzeiten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anders als in Deutschland, kein flächendeckendes öffentliches Kita-Netz. Verbreitet sind private oder gemeinnützige </w:t>
      </w:r>
      <w:r>
        <w:rPr>
          <w:rFonts w:eastAsia="Cambria" w:cs="Cambria"/>
          <w:b w:val="false"/>
          <w:bCs w:val="false"/>
          <w:i/>
          <w:iCs/>
          <w:sz w:val="22"/>
          <w:szCs w:val="22"/>
        </w:rPr>
        <w:t>Long Day Care</w:t>
      </w:r>
      <w:r>
        <w:rPr>
          <w:rFonts w:eastAsia="Cambria" w:cs="Cambria"/>
          <w:b w:val="false"/>
          <w:bCs w:val="false"/>
          <w:i w:val="false"/>
          <w:iCs w:val="false"/>
          <w:sz w:val="22"/>
          <w:szCs w:val="22"/>
        </w:rPr>
        <w:t xml:space="preserve">-Zentren (ganztägige Kindertagesstätten) und </w:t>
      </w:r>
      <w:r>
        <w:rPr>
          <w:rFonts w:eastAsia="Cambria" w:cs="Cambria"/>
          <w:b w:val="false"/>
          <w:bCs w:val="false"/>
          <w:i/>
          <w:iCs/>
          <w:sz w:val="22"/>
          <w:szCs w:val="22"/>
        </w:rPr>
        <w:t>Family Day Care</w:t>
      </w:r>
      <w:r>
        <w:rPr>
          <w:rFonts w:eastAsia="Cambria" w:cs="Cambria"/>
          <w:b w:val="false"/>
          <w:bCs w:val="false"/>
          <w:i w:val="false"/>
          <w:iCs w:val="false"/>
          <w:sz w:val="22"/>
          <w:szCs w:val="22"/>
        </w:rPr>
        <w:t xml:space="preserve"> (Kindertagespflege in einem privaten Haushalt); die Bundesregierung bezuschusst beide Formen über die </w:t>
      </w:r>
      <w:r>
        <w:rPr>
          <w:rFonts w:eastAsia="Cambria" w:cs="Cambria"/>
          <w:b w:val="false"/>
          <w:bCs w:val="false"/>
          <w:i/>
          <w:iCs/>
          <w:sz w:val="22"/>
          <w:szCs w:val="22"/>
        </w:rPr>
        <w:t>Child Care Subsidy</w:t>
      </w:r>
      <w:r>
        <w:rPr>
          <w:rFonts w:eastAsia="Cambria" w:cs="Cambria"/>
          <w:b w:val="false"/>
          <w:bCs w:val="false"/>
          <w:i w:val="false"/>
          <w:iCs w:val="false"/>
          <w:sz w:val="22"/>
          <w:szCs w:val="22"/>
        </w:rPr>
        <w:t>,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der Einschulung endet die Betreuung nicht automatisch mit dem Schultag: Die meisten Grundschulen bieten oder vermitteln </w:t>
      </w:r>
      <w:r>
        <w:rPr>
          <w:rFonts w:eastAsia="Cambria" w:cs="Cambria"/>
          <w:b w:val="false"/>
          <w:bCs w:val="false"/>
          <w:i/>
          <w:iCs/>
          <w:sz w:val="22"/>
          <w:szCs w:val="22"/>
        </w:rPr>
        <w:t>Outside School Hours Care</w:t>
      </w:r>
      <w:r>
        <w:rPr>
          <w:rFonts w:eastAsia="Cambria" w:cs="Cambria"/>
          <w:b w:val="false"/>
          <w:bCs w:val="false"/>
          <w:i w:val="false"/>
          <w:iCs w:val="false"/>
          <w:sz w:val="22"/>
          <w:szCs w:val="22"/>
        </w:rPr>
        <w:t xml:space="preserve"> (OSHC), kostenpflichtige Betreuung vor und nach dem Unterricht sowie in einem Teil der Ferien. Wer beide Elternteile berufstätig hat, bucht OSHC am besten direkt bei der Schulanmeldung mit, statt es erst im laufenden Schuljahr nachzuholen – begehrte Plätze sind auch hier knapp.</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EAL/D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w:t>
      </w:r>
      <w:r>
        <w:rPr>
          <w:rFonts w:eastAsia="Cambria" w:cs="Cambria"/>
          <w:b w:val="false"/>
          <w:bCs w:val="false"/>
          <w:i/>
          <w:iCs/>
          <w:sz w:val="22"/>
          <w:szCs w:val="22"/>
        </w:rPr>
        <w:t>EAL/D</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an Additional Language or Dialect</w:t>
      </w:r>
      <w:r>
        <w:rPr>
          <w:rFonts w:eastAsia="Cambria" w:cs="Cambria"/>
          <w:b w:val="false"/>
          <w:bCs w:val="false"/>
          <w:i w:val="false"/>
          <w:iCs w:val="false"/>
          <w:sz w:val="22"/>
          <w:szCs w:val="22"/>
        </w:rPr>
        <w: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zusätzlich zweisprachige Assistenzkräfte oder Verbindungspersonen zur Familie, die bei Elterngesprächen übersetzen.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ein Skilled-Visum einwandert, hat die Englischprüfung (meist IELTS, PTE oder TOEFL, mit Kosten von rund 300 bis 400 AUD je Test) ohnehin schon für den Visumsantrag hinter sich (siehe das </w:t>
      </w:r>
      <w:hyperlink w:anchor="tau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wer mit einem Working-Holiday-Visum kommt, hat diese Hürde oft nicht durchlaufen und merkt die Lücke im Alltag deutlicher. Für beide Gruppen helfen TAFE-Kurse in Alltags- und Berufsenglisch, häufig zu deutlich niedrigeren Kosten als private Sprachschulen, sowie das Gespräch mit anderen Eltern am Schultor – der pragmatischste, wenn auch langsamste Weg zur Alltagssicherheit.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verarbeiten den Sprachwechsel zudem altersabhängig unterschiedlich: Jüngere Grundschulkinder gewöhnen sich oft binnen weniger Monate ein und wechseln erstaunlich schnell ins australische Schulenglisch samt Akzent, während ältere Kinder und Teenager die Fachsprache in Geschichte oder Biologie länger brauchen und sozial stärker unter der Sprachlücke leiden, weil Freundschaften in dieser Lebensphase stärker über Wortwitz und schnelle Antworten laufen. Mehr zu dieser Dynamik über die Schule hinaus – Freundeskreis, Vereine, der erste Winter, der in Australien gar keiner ist – steht im </w:t>
      </w:r>
      <w:hyperlink w:anchor="tau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HSC, VCE, QCE und die übrigen Landeszertifikate jeweils über zwei Jahre angelegt sind und Kurswahl, laufende Bewertungen und der ATAR eng ineinandergreifen, lässt sich ein begonnenes Jahr 11 oder 12 aus Deutschland selten nahtlos fortsetzen. Schulen prüfen mitgebrachte Zeugnisse und Kurse einzeln und entscheiden von Fall zu Fall, welche Fächer und Halbjahre anerkannt werden; oft bedeutet das eine zusätzliche Klassenstufe oder ein angepasstes Fächerprofil.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und, falls vorhanden, mit einer deutschen Auslandsschule zu rechnen: Reicht die Zeit noch für einen sauberen Abschluss in Australien, oder ist ein Umzug erst nach dem deutschen oder australischen Abschluss die bessere Wahl? Diese Entscheidung früh zu klären erspart Kindern in einer ohnehin schon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Die bekannte Handlung nimmt den Druck, jedes Wort zu verstehen. Untertitel zuerst auf Englisch stellen, nicht auf Deutsch – Lesen und Hören gleichzeitig festigt mehr als reines Übersetzen.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Goethe-Institut, deutsche Schulen, Samstagsschule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dem australischen Englisch auch ihr Deutsch behalten, findet organisierte Angebote fast ausschließlich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 dafür bleibt der Anschluss an ein deutsches Zeugnis oder sogar an einen deutschen Abschluss realistisch. In beiden Städten ergänzen die Goethe-Institute (Sydney seit 1974, Melbourne seit 1972) das Angebot mit Sprachkursen auch für Kinder und Jugendliche.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von Sydney und Melbourne – in Brisbane, Perth, Adelaide, Canberra oder kleineren Städten – bleibt organisierte deutsche Sprachförderung dünn gesät bis gar nicht vorhanden. Hier hilft am ehesten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ohne Statusprüfung zugänglich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und Ruf hängen stark von Bundesstaat und Schule ab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EAL/D-Sprachförderung ist an vielen Schulen Standard, nicht Ausnahme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Sydney/Melbourne kaum organisierte deutsche Sprachangebote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lässt sich mit etwas Planung passgenau auf den Term-Start legen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echte Wahlmöglichkeit nach Budget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Renommierte Privatschulen kosten bis über 50.000 AUD im Jahr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Schools und gute staatliche Schulen erzielen Spitzenleistungen kostenlos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Plätze an guten staatlichen Schulen sind entsprechend begehrt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Bundesstaat-Stichtag für Einschulung und Einstufung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katholisch oder unabhängig,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gefragt, nicht nur auf Erfahrungsberichte anderer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EAL/D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deutsche Auslandsschule (Sydney, Melbourne)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Zeit für die soziale Eingewöhnung eingeplant, nicht nur für die Sprache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Bureau of Statistics — Schulstatistik, Anteile der Schulsektoren (</w:t>
      </w:r>
      <w:hyperlink r:id="rId499">
        <w:r>
          <w:rPr>
            <w:rStyle w:val="ListLabel113"/>
            <w:rFonts w:eastAsia="Cambria" w:cs="Cambria"/>
            <w:b w:val="false"/>
            <w:bCs w:val="false"/>
            <w:i w:val="false"/>
            <w:iCs w:val="false"/>
            <w:color w:val="0563C1"/>
            <w:sz w:val="22"/>
            <w:szCs w:val="22"/>
            <w:u w:val="single"/>
          </w:rPr>
          <w:t>abs.gov.au/statistics/people/education/schools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Curriculum, Assessment and Reporting Authority (ACARA) — Rahmenlehrplan, NAPLAN, EAL/D (</w:t>
      </w:r>
      <w:hyperlink r:id="rId500">
        <w:r>
          <w:rPr>
            <w:rStyle w:val="ListLabel113"/>
            <w:rFonts w:eastAsia="Cambria" w:cs="Cambria"/>
            <w:b w:val="false"/>
            <w:bCs w:val="false"/>
            <w:i w:val="false"/>
            <w:iCs w:val="false"/>
            <w:color w:val="0563C1"/>
            <w:sz w:val="22"/>
            <w:szCs w:val="22"/>
            <w:u w:val="single"/>
          </w:rPr>
          <w:t>acara.edu.au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Bildungsbehörden der Bundesstaaten, z. B. NSW Department of Education — Term- und Ferientermine (</w:t>
      </w:r>
      <w:hyperlink r:id="rId501">
        <w:r>
          <w:rPr>
            <w:rStyle w:val="ListLabel113"/>
            <w:rFonts w:eastAsia="Cambria" w:cs="Cambria"/>
            <w:b w:val="false"/>
            <w:bCs w:val="false"/>
            <w:i w:val="false"/>
            <w:iCs w:val="false"/>
            <w:color w:val="0563C1"/>
            <w:sz w:val="22"/>
            <w:szCs w:val="22"/>
            <w:u w:val="single"/>
          </w:rPr>
          <w:t>education.nsw.gov.au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502">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503">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Universities Admissions Centre — Erklärung und Berechnung des ATAR (</w:t>
      </w:r>
      <w:hyperlink r:id="rId504">
        <w:r>
          <w:rPr>
            <w:rStyle w:val="ListLabel113"/>
            <w:rFonts w:eastAsia="Cambria" w:cs="Cambria"/>
            <w:b w:val="false"/>
            <w:bCs w:val="false"/>
            <w:i w:val="false"/>
            <w:iCs w:val="false"/>
            <w:color w:val="0563C1"/>
            <w:sz w:val="22"/>
            <w:szCs w:val="22"/>
            <w:u w:val="single"/>
          </w:rPr>
          <w:t>uac.edu.au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und jeder Bundesstaat neu), Schulgelder der Privatschulen und deutschen Auslandsschulen sowie die Einstufungsregeln der Bundesstaaten.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0" w:name="__RefHeading___Toc56558_3457424410"/>
      <w:bookmarkStart w:id="131" w:name="tau14"/>
      <w:bookmarkEnd w:id="130"/>
      <w:r>
        <w:rPr>
          <w:rFonts w:eastAsia="Amazon Ember" w:cs="Amazon Ember" w:ascii="Amazon Ember" w:hAnsi="Amazon Ember"/>
          <w:b/>
          <w:bCs/>
          <w:color w:val="0000FF"/>
          <w:sz w:val="36"/>
          <w:szCs w:val="36"/>
        </w:rPr>
        <w:t>Australien: Arbeitswelt und Jobwechsel</w:t>
      </w:r>
      <w:bookmarkEnd w:id="131"/>
    </w:p>
    <w:p>
      <w:pPr>
        <w:pStyle w:val="Normal"/>
        <w:keepNext w:val="false"/>
        <w:keepLines w:val="false"/>
        <w:spacing w:lineRule="exact" w:line="288" w:before="0" w:after="140"/>
        <w:jc w:val="left"/>
        <w:rPr/>
      </w:pPr>
      <w:r>
        <w:rPr>
          <w:rFonts w:eastAsia="Cambria" w:cs="Cambria"/>
          <w:b w:val="false"/>
          <w:bCs w:val="false"/>
          <w:i w:val="false"/>
          <w:iCs w:val="false"/>
          <w:sz w:val="22"/>
          <w:szCs w:val="22"/>
        </w:rPr>
        <w:t>Thomas Reinhardt sitzt in seiner ersten Woche auf einer Baustelle im Melbourner Umland, als sein Vorarbeiter um Punkt fünf Uhr den Helm auf den Container legt und sagt: „Right, that’s me for today, mate.“ Kein Blick auf die halbfertige Bewehrungszeichnung, kein schlechtes Gewissen, kein „Wir müssten das eigentlich noch fertig machen“. Thomas braucht ein paar Wochen, um zu begreifen: Das ist keine Nachlässigkeit, das ist die Regel. Willkommen in einer Arbeitswelt, die entspannter wirkt, als sie ist – und die eigene Fallstricke hat, sobald ein Visum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Fair Work Act</w:t>
            </w:r>
            <w:r>
              <w:rPr>
                <w:rFonts w:eastAsia="Cambria" w:cs="Cambria"/>
                <w:b w:val="false"/>
                <w:bCs w:val="false"/>
                <w:i w:val="false"/>
                <w:iCs w:val="false"/>
                <w:sz w:val="20"/>
                <w:szCs w:val="20"/>
              </w:rPr>
              <w:t xml:space="preserve"> setzt mit den </w:t>
            </w:r>
            <w:r>
              <w:rPr>
                <w:rFonts w:eastAsia="Cambria" w:cs="Cambria"/>
                <w:b w:val="false"/>
                <w:bCs w:val="false"/>
                <w:i/>
                <w:iCs/>
                <w:sz w:val="20"/>
                <w:szCs w:val="20"/>
              </w:rPr>
              <w:t>National Employment Standards</w:t>
            </w:r>
            <w:r>
              <w:rPr>
                <w:rFonts w:eastAsia="Cambria" w:cs="Cambria"/>
                <w:b w:val="false"/>
                <w:bCs w:val="false"/>
                <w:i w:val="false"/>
                <w:iCs w:val="false"/>
                <w:sz w:val="20"/>
                <w:szCs w:val="20"/>
              </w:rPr>
              <w:t xml:space="preserve"> bundesweite Mindestansprüche: mindestens vier Wochen bezahlter Jahresurlaub, zehn Tage Krankheits- und Pflegeurlaub, gestaffelte Kündigungsfristen.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 nach deutschem Muster existiert nicht von Anfang an: Der Schutz vor unfairer Kündigung (</w:t>
            </w:r>
            <w:r>
              <w:rPr>
                <w:rFonts w:eastAsia="Cambria" w:cs="Cambria"/>
                <w:b w:val="false"/>
                <w:bCs w:val="false"/>
                <w:i/>
                <w:iCs/>
                <w:sz w:val="20"/>
                <w:szCs w:val="20"/>
              </w:rPr>
              <w:t>Unfair Dismissal</w:t>
            </w:r>
            <w:r>
              <w:rPr>
                <w:rFonts w:eastAsia="Cambria" w:cs="Cambria"/>
                <w:b w:val="false"/>
                <w:bCs w:val="false"/>
                <w:i w:val="false"/>
                <w:iCs w:val="false"/>
                <w:sz w:val="20"/>
                <w:szCs w:val="20"/>
              </w:rPr>
              <w:t>) greift erst nach sechs Monaten (größere Arbeitgeber) oder zwölf Monaten (Kleinbetriebe unter 15 Beschäftigten).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Arbeitskultur ist informell und flach: Vornamen bis zur Chefetage, „mate“ für fast jeden, und seit 2024/25 sogar ein Recht auf Nichterreichbarkeit außerhalb der Arbeitszeit.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Skilled-Visum Subclass 482 bist du an den sponsernden Arbeitgeber gebunden: Ein Wechsel braucht dessen neue Nominierung, bevor du beim neuen Betrieb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Verlierst du den Job auf dem 482, bleiben seit dem 1. Juli 2024 bis zu 180 Tage am Stück, um einen neuen Sponsor zu finden – deutlich mehr als die frühere 60-Tage-Regel.</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Netzwerken läuft über Empfehlungen und Small Talk; ein deutsches Arbeitszeugnis kennt hier niemand, gefragt sind </w:t>
            </w:r>
            <w:r>
              <w:rPr>
                <w:rFonts w:eastAsia="Cambria" w:cs="Cambria"/>
                <w:b w:val="false"/>
                <w:bCs w:val="false"/>
                <w:i/>
                <w:iCs/>
                <w:sz w:val="20"/>
                <w:szCs w:val="20"/>
              </w:rPr>
              <w:t>Referees</w:t>
            </w:r>
            <w:r>
              <w:rPr>
                <w:rFonts w:eastAsia="Cambria" w:cs="Cambria"/>
                <w:b w:val="false"/>
                <w:bCs w:val="false"/>
                <w:i w:val="false"/>
                <w:iCs w:val="false"/>
                <w:sz w:val="20"/>
                <w:szCs w:val="20"/>
              </w:rPr>
              <w:t xml:space="preserve"> (Referenzpersonen).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Fair Work Act und National Employment Standards: die Grundlage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Arbeitsrecht ist, anders als in Deutschland mit seinem Nebeneinander aus Bundes-, Landes- und Tarifrecht, weitgehend bundeseinheitlich geregelt. Der </w:t>
      </w:r>
      <w:r>
        <w:rPr>
          <w:rFonts w:eastAsia="Cambria" w:cs="Cambria"/>
          <w:b w:val="false"/>
          <w:bCs w:val="false"/>
          <w:i/>
          <w:iCs/>
          <w:sz w:val="22"/>
          <w:szCs w:val="22"/>
        </w:rPr>
        <w:t>Fair Work Act 2009</w:t>
      </w:r>
      <w:r>
        <w:rPr>
          <w:rFonts w:eastAsia="Cambria" w:cs="Cambria"/>
          <w:b w:val="false"/>
          <w:bCs w:val="false"/>
          <w:i w:val="false"/>
          <w:iCs w:val="false"/>
          <w:sz w:val="22"/>
          <w:szCs w:val="22"/>
        </w:rPr>
        <w:t xml:space="preserve"> (das zentrale Arbeitsgesetz) gilt für fast alle privaten Arbeitsverhältnisse im Land. Er legt mit den </w:t>
      </w:r>
      <w:r>
        <w:rPr>
          <w:rFonts w:eastAsia="Cambria" w:cs="Cambria"/>
          <w:b w:val="false"/>
          <w:bCs w:val="false"/>
          <w:i/>
          <w:iCs/>
          <w:sz w:val="22"/>
          <w:szCs w:val="22"/>
        </w:rPr>
        <w:t>National Employment Standards</w:t>
      </w:r>
      <w:r>
        <w:rPr>
          <w:rFonts w:eastAsia="Cambria" w:cs="Cambria"/>
          <w:b w:val="false"/>
          <w:bCs w:val="false"/>
          <w:i w:val="false"/>
          <w:iCs w:val="false"/>
          <w:sz w:val="22"/>
          <w:szCs w:val="22"/>
        </w:rPr>
        <w:t xml:space="preserve"> (NES, elf gesetzliche Mindestansprüche) eine Untergrenze fest, die kein Vertrag unterschreiten darf: Höchstarbeitszeit, Urlaub, Kündigungsfristen, Elternzeit und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Darüber liegen zwei weitere Ebenen. Ein </w:t>
      </w:r>
      <w:r>
        <w:rPr>
          <w:rFonts w:eastAsia="Cambria" w:cs="Cambria"/>
          <w:b w:val="false"/>
          <w:bCs w:val="false"/>
          <w:i/>
          <w:iCs/>
          <w:sz w:val="22"/>
          <w:szCs w:val="22"/>
        </w:rPr>
        <w:t>Modern Award</w:t>
      </w:r>
      <w:r>
        <w:rPr>
          <w:rFonts w:eastAsia="Cambria" w:cs="Cambria"/>
          <w:b w:val="false"/>
          <w:bCs w:val="false"/>
          <w:i w:val="false"/>
          <w:iCs w:val="false"/>
          <w:sz w:val="22"/>
          <w:szCs w:val="22"/>
        </w:rPr>
        <w:t xml:space="preserve"> (Branchen-Mindeststandard) legt für viele Berufsgruppen Mindestlöhne, Zuschläge und Arbeitszeitregeln fest – vergleichbar einem deutschen Tarifvertrag, nur dass er automatisch für die Branche gilt, nicht nur für Gewerkschaftsmitglieder. Ein </w:t>
      </w:r>
      <w:r>
        <w:rPr>
          <w:rFonts w:eastAsia="Cambria" w:cs="Cambria"/>
          <w:b w:val="false"/>
          <w:bCs w:val="false"/>
          <w:i/>
          <w:iCs/>
          <w:sz w:val="22"/>
          <w:szCs w:val="22"/>
        </w:rPr>
        <w:t>Enterprise Agreement</w:t>
      </w:r>
      <w:r>
        <w:rPr>
          <w:rFonts w:eastAsia="Cambria" w:cs="Cambria"/>
          <w:b w:val="false"/>
          <w:bCs w:val="false"/>
          <w:i w:val="false"/>
          <w:iCs w:val="false"/>
          <w:sz w:val="22"/>
          <w:szCs w:val="22"/>
        </w:rPr>
        <w:t xml:space="preserve">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w:t>
      </w:r>
      <w:r>
        <w:rPr>
          <w:rFonts w:eastAsia="Cambria" w:cs="Cambria"/>
          <w:b w:val="false"/>
          <w:bCs w:val="false"/>
          <w:i/>
          <w:iCs/>
          <w:sz w:val="22"/>
          <w:szCs w:val="22"/>
        </w:rPr>
        <w:t>Fair Work Ombudsman</w:t>
      </w:r>
      <w:r>
        <w:rPr>
          <w:rFonts w:eastAsia="Cambria" w:cs="Cambria"/>
          <w:b w:val="false"/>
          <w:bCs w:val="false"/>
          <w:i w:val="false"/>
          <w:iCs w:val="false"/>
          <w:sz w:val="22"/>
          <w:szCs w:val="22"/>
        </w:rPr>
        <w:t xml:space="preserve"> (Aufsichts- und Beratungsstelle, prüft Löhne und Bedingungen, fairwork.gov.au) und die </w:t>
      </w:r>
      <w:r>
        <w:rPr>
          <w:rFonts w:eastAsia="Cambria" w:cs="Cambria"/>
          <w:b w:val="false"/>
          <w:bCs w:val="false"/>
          <w:i/>
          <w:iCs/>
          <w:sz w:val="22"/>
          <w:szCs w:val="22"/>
        </w:rPr>
        <w:t>Fair Work Commission</w:t>
      </w:r>
      <w:r>
        <w:rPr>
          <w:rFonts w:eastAsia="Cambria" w:cs="Cambria"/>
          <w:b w:val="false"/>
          <w:bCs w:val="false"/>
          <w:i w:val="false"/>
          <w:iCs w:val="false"/>
          <w:sz w:val="22"/>
          <w:szCs w:val="22"/>
        </w:rPr>
        <w:t xml:space="preserve"> (Schlichtungsstelle und Arbeitsgericht in einem, entscheidet unter anderem über unfaire Kündigungen).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Betriebsrat nach deutschem Muster existiert nicht; Mitbestimmung läuft, wenn überhaupt, über Gewerkschaften und Enterprise Agreements. Dein Arbeitsvertrag (</w:t>
      </w:r>
      <w:r>
        <w:rPr>
          <w:rFonts w:eastAsia="Cambria" w:cs="Cambria"/>
          <w:b w:val="false"/>
          <w:bCs w:val="false"/>
          <w:i/>
          <w:iCs/>
          <w:sz w:val="22"/>
          <w:szCs w:val="22"/>
        </w:rPr>
        <w:t>Employment Contract</w:t>
      </w:r>
      <w:r>
        <w:rPr>
          <w:rFonts w:eastAsia="Cambria" w:cs="Cambria"/>
          <w:b w:val="false"/>
          <w:bCs w:val="false"/>
          <w:i w:val="false"/>
          <w:iCs w:val="false"/>
          <w:sz w:val="22"/>
          <w:szCs w:val="22"/>
        </w:rPr>
        <w:t>) sollte Grundgehalt, Wochenstunden, Award- oder Agreement-Zugehörigkeit und Probezeit (</w:t>
      </w:r>
      <w:r>
        <w:rPr>
          <w:rFonts w:eastAsia="Cambria" w:cs="Cambria"/>
          <w:b w:val="false"/>
          <w:bCs w:val="false"/>
          <w:i/>
          <w:iCs/>
          <w:sz w:val="22"/>
          <w:szCs w:val="22"/>
        </w:rPr>
        <w:t>Probation Period</w:t>
      </w:r>
      <w:r>
        <w:rPr>
          <w:rFonts w:eastAsia="Cambria" w:cs="Cambria"/>
          <w:b w:val="false"/>
          <w:bCs w:val="false"/>
          <w:i w:val="false"/>
          <w:iCs w:val="false"/>
          <w:sz w:val="22"/>
          <w:szCs w:val="22"/>
        </w:rPr>
        <w:t>, meist drei bis sechs Monate) klar benennen – das meiste andere ergibt sich aus NES und Award, nicht aus dem Vertragstext selbst.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garantieren mindestens vier Wochen bezahlten Jahresurlaub pro Jahr (manche Schichtarbeiter erhalten eine fünfte Woche), der von Beginn an anteilig anwächst und sich ansammelt. Manche Awards zahlen zusätzlich einen Urlaubszuschlag (</w:t>
      </w:r>
      <w:r>
        <w:rPr>
          <w:rFonts w:eastAsia="Cambria" w:cs="Cambria"/>
          <w:b w:val="false"/>
          <w:bCs w:val="false"/>
          <w:i/>
          <w:iCs/>
          <w:sz w:val="22"/>
          <w:szCs w:val="22"/>
        </w:rPr>
        <w:t>Leave Loading</w:t>
      </w:r>
      <w:r>
        <w:rPr>
          <w:rFonts w:eastAsia="Cambria" w:cs="Cambria"/>
          <w:b w:val="false"/>
          <w:bCs w:val="false"/>
          <w:i w:val="false"/>
          <w:iCs w:val="false"/>
          <w:sz w:val="22"/>
          <w:szCs w:val="22"/>
        </w:rPr>
        <w:t>) von häufig 17,5 % auf den Urlaubslohn – ein kleiner, oft übersehener Bonus. Dazu kommen zehn Tage bezahlter Krankheits- und Pflegeurlaub (</w:t>
      </w:r>
      <w:r>
        <w:rPr>
          <w:rFonts w:eastAsia="Cambria" w:cs="Cambria"/>
          <w:b w:val="false"/>
          <w:bCs w:val="false"/>
          <w:i/>
          <w:iCs/>
          <w:sz w:val="22"/>
          <w:szCs w:val="22"/>
        </w:rPr>
        <w:t>Personal/Carer’s Leave</w:t>
      </w:r>
      <w:r>
        <w:rPr>
          <w:rFonts w:eastAsia="Cambria" w:cs="Cambria"/>
          <w:b w:val="false"/>
          <w:bCs w:val="false"/>
          <w:i w:val="false"/>
          <w:iCs w:val="false"/>
          <w:sz w:val="22"/>
          <w:szCs w:val="22"/>
        </w:rPr>
        <w:t>) im Jahr, die sich ebenfalls ansammeln und nicht verfallen.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Feiertage sind Landessache: Sieben nationale Feiertage (u. a. Neujahr, Australia Day, Karfreitag, Ostermontag, Anzac Day, Weihnachten, zweiter Weihnachtsfeiertag) gelten überall, jeder Bundesstaat und jedes Territorium fügt ein bis drei eigene hinzu – macht je nach Wohnort neun bis elf Feiertage im Jahr, spürbar weniger als die 9 bis 13 vieler deutscher Bundesländer. Fällt ein Feiertag in deinen Jahresurlaub, wird der Tag als Feiertag und nicht als Urlaubstag gezählt; dein Urlaubskonto bleibt unberührt.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befristeter Anstellung als </w:t>
      </w:r>
      <w:r>
        <w:rPr>
          <w:rFonts w:eastAsia="Cambria" w:cs="Cambria"/>
          <w:b w:val="false"/>
          <w:bCs w:val="false"/>
          <w:i/>
          <w:iCs/>
          <w:sz w:val="22"/>
          <w:szCs w:val="22"/>
        </w:rPr>
        <w:t>Casual Employee</w:t>
      </w:r>
      <w:r>
        <w:rPr>
          <w:rFonts w:eastAsia="Cambria" w:cs="Cambria"/>
          <w:b w:val="false"/>
          <w:bCs w:val="false"/>
          <w:i w:val="false"/>
          <w:iCs w:val="false"/>
          <w:sz w:val="22"/>
          <w:szCs w:val="22"/>
        </w:rPr>
        <w:t xml:space="preserve"> (Aushilfskraft ohne feste Wochenstunden, verbreitet bei Working-Holiday-Jobs) entfallen Urlaubs- und Krankheitsanspruch; dafür kommt ein Zuschlag von meist 25 % auf den Stundenlohn (</w:t>
      </w:r>
      <w:r>
        <w:rPr>
          <w:rFonts w:eastAsia="Cambria" w:cs="Cambria"/>
          <w:b w:val="false"/>
          <w:bCs w:val="false"/>
          <w:i/>
          <w:iCs/>
          <w:sz w:val="22"/>
          <w:szCs w:val="22"/>
        </w:rPr>
        <w:t>Casual Loading</w:t>
      </w:r>
      <w:r>
        <w:rPr>
          <w:rFonts w:eastAsia="Cambria" w:cs="Cambria"/>
          <w:b w:val="false"/>
          <w:bCs w:val="false"/>
          <w:i w:val="false"/>
          <w:iCs w:val="false"/>
          <w:sz w:val="22"/>
          <w:szCs w:val="22"/>
        </w:rPr>
        <w:t>) obendrauf. Für Elternzeit gibt es neben einem knappen bundesstaatlichen Programm (</w:t>
      </w:r>
      <w:r>
        <w:rPr>
          <w:rFonts w:eastAsia="Cambria" w:cs="Cambria"/>
          <w:b w:val="false"/>
          <w:bCs w:val="false"/>
          <w:i/>
          <w:iCs/>
          <w:sz w:val="22"/>
          <w:szCs w:val="22"/>
        </w:rPr>
        <w:t>Paid Parental Leave</w:t>
      </w:r>
      <w:r>
        <w:rPr>
          <w:rFonts w:eastAsia="Cambria" w:cs="Cambria"/>
          <w:b w:val="false"/>
          <w:bCs w:val="false"/>
          <w:i w:val="false"/>
          <w:iCs w:val="false"/>
          <w:sz w:val="22"/>
          <w:szCs w:val="22"/>
        </w:rPr>
        <w:t>) oft zusätzliche, freiwillige Arbeitgeberregelungen – deutlich schmaler als das deutsche Elterngeld, und ein Thema, das sich lohnt, schon im Vorstellungsgespräch anzusprechen.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Vier Wochen Urlaub sind das gesetzliche Minimum, nicht die Norm nach oben. Verhandle bei Führungspositionen oder gefragten Berufen ruhig mehr – viele Arbeitgeber gewähren es, ohne dass es im Award steht, wenn du danach fragst.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Fristen, Unfair Dismissal und Redundancy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Kündigungsschutzgesetz wie in Deutschland, das ab dem ersten Tag nach der Probezeit greift, gibt es nicht. Stattdessen kennt der Fair Work Act den Schutz vor unfairer Kündigung (</w:t>
      </w:r>
      <w:r>
        <w:rPr>
          <w:rFonts w:eastAsia="Cambria" w:cs="Cambria"/>
          <w:b w:val="false"/>
          <w:bCs w:val="false"/>
          <w:i/>
          <w:iCs/>
          <w:sz w:val="22"/>
          <w:szCs w:val="22"/>
        </w:rPr>
        <w:t>Unfair Dismissal</w:t>
      </w:r>
      <w:r>
        <w:rPr>
          <w:rFonts w:eastAsia="Cambria" w:cs="Cambria"/>
          <w:b w:val="false"/>
          <w:bCs w:val="false"/>
          <w:i w:val="false"/>
          <w:iCs w:val="false"/>
          <w:sz w:val="22"/>
          <w:szCs w:val="22"/>
        </w:rPr>
        <w:t>) – aber erst nach einer Mindestbeschäftigungszeit (</w:t>
      </w:r>
      <w:r>
        <w:rPr>
          <w:rFonts w:eastAsia="Cambria" w:cs="Cambria"/>
          <w:b w:val="false"/>
          <w:bCs w:val="false"/>
          <w:i/>
          <w:iCs/>
          <w:sz w:val="22"/>
          <w:szCs w:val="22"/>
        </w:rPr>
        <w:t>Minimum Employment Period</w:t>
      </w:r>
      <w:r>
        <w:rPr>
          <w:rFonts w:eastAsia="Cambria" w:cs="Cambria"/>
          <w:b w:val="false"/>
          <w:bCs w:val="false"/>
          <w:i w:val="false"/>
          <w:iCs w:val="false"/>
          <w:sz w:val="22"/>
          <w:szCs w:val="22"/>
        </w:rPr>
        <w:t>): sechs Monate bei Arbeitgebern mit 15 oder mehr Beschäftigten, zwölf Monate bei Kleinbetrieben (</w:t>
      </w:r>
      <w:r>
        <w:rPr>
          <w:rFonts w:eastAsia="Cambria" w:cs="Cambria"/>
          <w:b w:val="false"/>
          <w:bCs w:val="false"/>
          <w:i/>
          <w:iCs/>
          <w:sz w:val="22"/>
          <w:szCs w:val="22"/>
        </w:rPr>
        <w:t>Small Business</w:t>
      </w:r>
      <w:r>
        <w:rPr>
          <w:rFonts w:eastAsia="Cambria" w:cs="Cambria"/>
          <w:b w:val="false"/>
          <w:bCs w:val="false"/>
          <w:i w:val="false"/>
          <w:iCs w:val="false"/>
          <w:sz w:val="22"/>
          <w:szCs w:val="22"/>
        </w:rPr>
        <w:t xml:space="preserve">, unter 15 Beschäftigten). Bei Kleinbetrieben genügt es zudem, wenn der Arbeitgeber den </w:t>
      </w:r>
      <w:r>
        <w:rPr>
          <w:rFonts w:eastAsia="Cambria" w:cs="Cambria"/>
          <w:b w:val="false"/>
          <w:bCs w:val="false"/>
          <w:i/>
          <w:iCs/>
          <w:sz w:val="22"/>
          <w:szCs w:val="22"/>
        </w:rPr>
        <w:t>Small Business Fair Dismissal Code</w:t>
      </w:r>
      <w:r>
        <w:rPr>
          <w:rFonts w:eastAsia="Cambria" w:cs="Cambria"/>
          <w:b w:val="false"/>
          <w:bCs w:val="false"/>
          <w:i w:val="false"/>
          <w:iCs w:val="false"/>
          <w:sz w:val="22"/>
          <w:szCs w:val="22"/>
        </w:rPr>
        <w:t xml:space="preserve"> (einen behördlichen Verhaltenskodex für faire Kündigungen) redlich befolgt hat – dann gilt die Kündigung automatisch als fair.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grundsätzlich überall, nur die Wartezeit ist beim Kleinbetrieb länger. Wer die Mindestzeit erreicht hat, kann bei der Fair Work Commission binnen 21 Tagen nach der Kündigung Beschwerde einlegen – eine kurze Frist, die man sich merken sollte. Der Schutz gilt außerdem nur unterhalb einer Einkommensschwelle (</w:t>
      </w:r>
      <w:r>
        <w:rPr>
          <w:rFonts w:eastAsia="Cambria" w:cs="Cambria"/>
          <w:b w:val="false"/>
          <w:bCs w:val="false"/>
          <w:i/>
          <w:iCs/>
          <w:sz w:val="22"/>
          <w:szCs w:val="22"/>
        </w:rPr>
        <w:t>High Income Threshold</w:t>
      </w:r>
      <w:r>
        <w:rPr>
          <w:rFonts w:eastAsia="Cambria" w:cs="Cambria"/>
          <w:b w:val="false"/>
          <w:bCs w:val="false"/>
          <w:i w:val="false"/>
          <w:iCs w:val="false"/>
          <w:sz w:val="22"/>
          <w:szCs w:val="22"/>
        </w:rPr>
        <w:t>, ab dem 1. Juli 2026: 190.100 AUD im Jahr), außer ein Award oder Agreement deckt die Stelle trotzdem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Kündigungsfristen (</w:t>
      </w:r>
      <w:r>
        <w:rPr>
          <w:rFonts w:eastAsia="Cambria" w:cs="Cambria"/>
          <w:b w:val="false"/>
          <w:bCs w:val="false"/>
          <w:i/>
          <w:iCs/>
          <w:sz w:val="22"/>
          <w:szCs w:val="22"/>
        </w:rPr>
        <w:t>Notice of Termination</w:t>
      </w:r>
      <w:r>
        <w:rPr>
          <w:rFonts w:eastAsia="Cambria" w:cs="Cambria"/>
          <w:b w:val="false"/>
          <w:bCs w:val="false"/>
          <w:i w:val="false"/>
          <w:iCs w:val="false"/>
          <w:sz w:val="22"/>
          <w:szCs w:val="22"/>
        </w:rPr>
        <w:t>) aus den NES sind gestaffelt: eine Woche bei unter einem Jahr Betriebszugehörigkeit, zwei Wochen bei ein bis drei Jahren, drei Wochen bei drei bis fünf Jahren, vier Wochen ab fünf Jahren – wer über 45 ist und mindestens zwei Jahre dabei war, bekommt eine zusätzliche Woche.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kommt eine gestaffelte Abfindung (</w:t>
      </w:r>
      <w:r>
        <w:rPr>
          <w:rFonts w:eastAsia="Cambria" w:cs="Cambria"/>
          <w:b w:val="false"/>
          <w:bCs w:val="false"/>
          <w:i/>
          <w:iCs/>
          <w:sz w:val="22"/>
          <w:szCs w:val="22"/>
        </w:rPr>
        <w:t>Redundancy Pay</w:t>
      </w:r>
      <w:r>
        <w:rPr>
          <w:rFonts w:eastAsia="Cambria" w:cs="Cambria"/>
          <w:b w:val="false"/>
          <w:bCs w:val="false"/>
          <w:i w:val="false"/>
          <w:iCs w:val="false"/>
          <w:sz w:val="22"/>
          <w:szCs w:val="22"/>
        </w:rPr>
        <w:t>) hinzu, von vier Wochen ab einem Jahr Betriebszugehörigkeit bis zu 16 Wochen ab neun Jahren – Kleinbetriebe unter 15 Beschäftigten sind davon allerdings befreit. Bei grobem Fehlverhalten (</w:t>
      </w:r>
      <w:r>
        <w:rPr>
          <w:rFonts w:eastAsia="Cambria" w:cs="Cambria"/>
          <w:b w:val="false"/>
          <w:bCs w:val="false"/>
          <w:i/>
          <w:iCs/>
          <w:sz w:val="22"/>
          <w:szCs w:val="22"/>
        </w:rPr>
        <w:t>Serious Misconduct</w:t>
      </w:r>
      <w:r>
        <w:rPr>
          <w:rFonts w:eastAsia="Cambria" w:cs="Cambria"/>
          <w:b w:val="false"/>
          <w:bCs w:val="false"/>
          <w:i w:val="false"/>
          <w:iCs w:val="false"/>
          <w:sz w:val="22"/>
          <w:szCs w:val="22"/>
        </w:rPr>
        <w:t>, etwa Diebstahl oder Gewalt) kann fristlos gekündigt werden, ohne Frist und ohne Abfindung.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das Recht auf Feierabend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setzen die Standardwoche für Vollzeit auf 38 Stunden (</w:t>
      </w:r>
      <w:r>
        <w:rPr>
          <w:rFonts w:eastAsia="Cambria" w:cs="Cambria"/>
          <w:b w:val="false"/>
          <w:bCs w:val="false"/>
          <w:i/>
          <w:iCs/>
          <w:sz w:val="22"/>
          <w:szCs w:val="22"/>
        </w:rPr>
        <w:t>Ordinary Hours</w:t>
      </w:r>
      <w:r>
        <w:rPr>
          <w:rFonts w:eastAsia="Cambria" w:cs="Cambria"/>
          <w:b w:val="false"/>
          <w:bCs w:val="false"/>
          <w:i w:val="false"/>
          <w:iCs w:val="false"/>
          <w:sz w:val="22"/>
          <w:szCs w:val="22"/>
        </w:rPr>
        <w:t>),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August 2024 gilt für größere Arbeitgeber, seit dem 26. August 2025 auch für Kleinbetriebe ein Recht auf Nichterreichbarkeit (</w:t>
      </w:r>
      <w:r>
        <w:rPr>
          <w:rFonts w:eastAsia="Cambria" w:cs="Cambria"/>
          <w:b w:val="false"/>
          <w:bCs w:val="false"/>
          <w:i/>
          <w:iCs/>
          <w:sz w:val="22"/>
          <w:szCs w:val="22"/>
        </w:rPr>
        <w:t>Right to Disconnect</w:t>
      </w:r>
      <w:r>
        <w:rPr>
          <w:rFonts w:eastAsia="Cambria" w:cs="Cambria"/>
          <w:b w:val="false"/>
          <w:bCs w:val="false"/>
          <w:i w:val="false"/>
          <w:iCs w:val="false"/>
          <w:sz w:val="22"/>
          <w:szCs w:val="22"/>
        </w:rPr>
        <w:t>): Du darfst Kontaktversuche außerhalb der Arbeitszeit ablehnen, sofern das nicht unangemessen ist. Nach den Kapiteln zu den USA in diesem Buch mag das nach einer Selbstverständlichkeit klingen – ist es in Australien aber nicht ganz: Das Recht ist neu, viele Arbeitgeber und Beschäftigte kennen die Details noch nicht, und „unangemessen“ ist Auslegungssache. Praktisch bleibt es klug, im Team offen zu klären, was von dir nach Feierabend erwartet wird, statt sich auf ein Gesetz zu verlassen, das noch niemand getestet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ein Kollege um fünf den Stift fallen lässt, ist in Australien kein Zeichen von Desinteresse, sondern von Selbstverständlichkeit. Wer selbst länger bleibt, weil es in Deutschland so gehört, wird eher komisch angeschaut als gelobt.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Netzwerken, Umgangston und Bewerbungskultur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australischen Büro zählt der Vorname, auch beim Geschäftsführer; Titel wie „Dipl.-Ing.“ tauchen in der E-Mail-Signatur allenfalls in akademischen Berufen auf. „Mate“ ist keine Vertraulichkeit, sondern eine Standardfloskel, die für Kollegen, Kunden und gelegentlich auch für den eigenen Hund verwendet wird. Der Ton ist informell, direkte Kritik wird meist in beiläufigem Understatement verpackt: „Not a bad effort“ kann tatsächlich Lob bedeuten, „yeah, nah“ heißt in aller Regel Nein. Wer aus Deutschland gewohnt ist, Dinge beim Namen zu nennen, braucht ein paar Wochen, um diese Zwischentöne zu entschlüsseln – und findet sich dabei gelegentlich in Gesprächen wieder, in denen er nicht ganz sicher ist, ob er gerade zugestimmt oder abgelehnt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gegen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Bewerbungen laufen überwiegend über Online-Jobbörsen und LinkedIn; ein knappes, ergebnisorientiertes Resume ohne Foto ist Standard, ähnlich dem US-Format. Viele Stellen werden über persönliche Empfehlungen besetzt, nicht über offene Ausschreibungen – Networking über Berufsverbände, ehemalige Studienkollegen und informelle Treffen ist deshalb mehr als Höflichkeit, es ist Jobsuche.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Fair Work Ombudsman bietet kostenlose telefonische und Online-Beratung zu Löhnen, Verträgen und Kündigungsfristen (fairwork.gov.au, 13 13 94) – bevor du für eine Ersteinschätzung einen Anwalt bezahlst, lohnt sich dieser Anruf.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Skilled-Visum: was das Sponsoring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vom Visumtyp ab. Wer über den Punktetest ein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oder ein </w:t>
      </w:r>
      <w:r>
        <w:rPr>
          <w:rFonts w:eastAsia="Cambria" w:cs="Cambria"/>
          <w:b w:val="false"/>
          <w:bCs w:val="false"/>
          <w:i/>
          <w:iCs/>
          <w:sz w:val="22"/>
          <w:szCs w:val="22"/>
        </w:rPr>
        <w:t>Skilled Nominated Visa</w:t>
      </w:r>
      <w:r>
        <w:rPr>
          <w:rFonts w:eastAsia="Cambria" w:cs="Cambria"/>
          <w:b w:val="false"/>
          <w:bCs w:val="false"/>
          <w:i w:val="false"/>
          <w:iCs w:val="false"/>
          <w:sz w:val="22"/>
          <w:szCs w:val="22"/>
        </w:rPr>
        <w:t xml:space="preserve"> (Subclass 190) hält, ist an keinen Arbeitgeber gebunden und kann den Job so oft wechseln wie ein Staatsbürger – beim Subclass 190 lediglich mit der Auflage, mindestens zwei Jahre im nominierenden Bundesstaat wohnen zu bleiben. Familie Reinhardt, mit Subclass 189 nach Melbourne gezogen, könnte also morgen kündigen und übermorgen bei einem anderen Arbeitgeber anfangen, ohne die Einwanderungsbehörde einzuschalten.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beim </w:t>
      </w:r>
      <w:r>
        <w:rPr>
          <w:rFonts w:eastAsia="Cambria" w:cs="Cambria"/>
          <w:b w:val="false"/>
          <w:bCs w:val="false"/>
          <w:i/>
          <w:iCs/>
          <w:sz w:val="22"/>
          <w:szCs w:val="22"/>
        </w:rPr>
        <w:t>Skills in Demand Visa</w:t>
      </w:r>
      <w:r>
        <w:rPr>
          <w:rFonts w:eastAsia="Cambria" w:cs="Cambria"/>
          <w:b w:val="false"/>
          <w:bCs w:val="false"/>
          <w:i w:val="false"/>
          <w:iCs w:val="false"/>
          <w:sz w:val="22"/>
          <w:szCs w:val="22"/>
        </w:rPr>
        <w:t xml:space="preserve">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 mit Risiko für Visum und den neuen Arbeitgeber gleichermaßen.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 ein deutlich größeres Sicherheitsnetz, das dir Zeit für eine gründliche Jobsuche statt einer Panikreaktion gibt. Nach zwei Jahren beim selben 482-Sponsor führt häufig ein Weg über das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(Subclass 186) zur unbefristeten Aufenthaltserlaubnis; auch das beendet die Bindung an einen einzelnen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482 nie, bevor der neue Arbeitgeber die Nominierung eingereicht hat, und arbeite nie „auf Zuruf“ schon vorab mit. Kläre außerdem, wer die Nominierungsgebühr und die Skilling-Australians-Fund-Abgabe des neuen Arbeitgebers trägt – das ist Verhandlungssache, nicht Gesetz.</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(fiktives Beispiel) jobbt seit einem halben Jahr mit ihrem Working-Holiday-Visum in einer Sydney-Marketingagentur, zunächst als </w:t>
            </w:r>
            <w:r>
              <w:rPr>
                <w:rFonts w:eastAsia="Cambria" w:cs="Cambria"/>
                <w:b w:val="false"/>
                <w:bCs w:val="false"/>
                <w:i/>
                <w:iCs/>
                <w:sz w:val="20"/>
                <w:szCs w:val="20"/>
              </w:rPr>
              <w:t>Casual Employee</w:t>
            </w:r>
            <w:r>
              <w:rPr>
                <w:rFonts w:eastAsia="Cambria" w:cs="Cambria"/>
                <w:b w:val="false"/>
                <w:bCs w:val="false"/>
                <w:i w:val="false"/>
                <w:iCs w:val="false"/>
                <w:sz w:val="20"/>
                <w:szCs w:val="20"/>
              </w:rPr>
              <w:t xml:space="preserve"> mit 25 % Lohnzuschlag statt Urlaubsanspruch. Als ihre Chefin ihr anbietet, sie fest zu übernehmen und für ein Skilled-Visum zu sponsern, ist Nina zuerst erleichtert – bis der Einwanderungsberater der Agentur erklärt, dass sie nicht einfach am Montag als Festangestellte weiterarbeiten kann. Erst muss die Agentur eine Nominierung einreichen und genehmigt bekommen; bis dahin bleibt Nina bei ihren Working-Holiday-Bedingungen. Es dauert acht Wochen, in denen Nina übergangsweise reduziert weiterarbeitet und Geduld übt – „yeah, nah, noch nicht“, sagt ihre Chefin jedes Mal, wenn Nina fragt, ob es schon so weit ist. Als die Nominierung endlich genehmigt ist, beginnt ihr neuer Vertrag mit vier Wochen Urlaub, zehn Tagen Krankheitsurlaub und, zum ersten Mal, einer Pensionskasseneinzahlung.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Superannuation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ein Jahresgehalt „plus Super“ – gemeint ist die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(gesetzliche Pflicht-Altersvorsorge), die der Arbeitgeber zusätzlich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beziehungsweise 1.004,90 AUD für eine 38-Stunden-Woche; die meisten Fach- und Führungspositionen liegen darüber, orientiert an Award oder 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Gehaltsverhandlungen sind, ähnlich wie in den USA-Kapiteln dieses Buches beschrieben, üblich und erwartet – nur eben im typisch australischen Understatement-Ton statt mit US-amerikanischer Direktheit. Frage nach der Gehaltsspanne, bevor du selbst eine Zahl nennst, und sprich Zusatzleistungen wie Homeoffice-Tage, zusätzlichen Urlaub oder einen höheren Super-Satz aktiv an – viele Arbeitgeber haben hier mehr Spielraum als beim Grundgehalt.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und zehn Tage Krankheitsurlaub sind gesetzlich garantiert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tariflicher Urlaub von 25 bis 30 Tagen wie oft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entspannter Umgangston, seit 2024/25 ein Recht auf Nichterreichbarkeit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482-Visum bist du an einen einzelnen Arbeitgeber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180-Tage-Sicherheitsnetz bei Jobverlust seit 1. Juli 2024, früher nur 60 Tage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Unfair-Dismissal-Schutz greift erst nach sechs bis zwölf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von 12 % kommt obendrauf zum Gehalt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482 braucht Zeit: neue Nominierung, keine Arbeit vorab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 Visa (189/190) machen frei von jeder Arbeitgeberbindung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und Familienleistungen sind deutlich schmaler als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Gehaltsverhandlung ist üblich und wird erwartet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 sind mit neun bis elf im Jahr spürbar weniger als in vielen Bundesländern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Modern Award oder Enterprise Agreement für deine Stelle gilt, und dessen Mindestbedingungen mit dem Vertrag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Kündigungsregelungen im Vertrag genau klären, nicht nur „nach NES“ akzeptieren.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Vertragsende: eigene Betriebszugehörigkeit und die geltende Mindestbeschäftigungszeit für Unfair-Dismissal-Schutz kennen.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dem 482-Visum: vor jedem Arbeitgeberwechsel die neue Nominierung abwarten, nie vorher anfangen.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auf dem 482: die 180-Tage-Frist und den 365-Tage-Gesamtrahmen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Super-Satz und Einzahlung im Gehaltszettel regelmäßig kontrollieren (myGov-Konto verknüpfen).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vorbereiten und um Erlaubnis fragen, bevor du sie angibst.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der Fair Work Ombudsman anrufen (13 13 94).</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National Employment Standards, Kündigungsfristen, Urlaub: </w:t>
      </w:r>
      <w:hyperlink r:id="rId505">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Commission – Unfair Dismissal, Mindestlohn, High Income Threshold: </w:t>
      </w:r>
      <w:hyperlink r:id="rId506">
        <w:r>
          <w:rPr>
            <w:rStyle w:val="ListLabel113"/>
            <w:rFonts w:eastAsia="Cambria" w:cs="Cambria"/>
            <w:b w:val="false"/>
            <w:bCs w:val="false"/>
            <w:i w:val="false"/>
            <w:iCs w:val="false"/>
            <w:color w:val="0563C1"/>
            <w:sz w:val="22"/>
            <w:szCs w:val="22"/>
            <w:u w:val="single"/>
          </w:rPr>
          <w:t>fwc.gov.au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 in Demand Visa (482), Wechsel des Arbeitgebers: </w:t>
      </w:r>
      <w:hyperlink r:id="rId507">
        <w:r>
          <w:rPr>
            <w:rStyle w:val="ListLabel113"/>
            <w:rFonts w:eastAsia="Cambria" w:cs="Cambria"/>
            <w:b w:val="false"/>
            <w:bCs w:val="false"/>
            <w:i w:val="false"/>
            <w:iCs w:val="false"/>
            <w:color w:val="0563C1"/>
            <w:sz w:val="22"/>
            <w:szCs w:val="22"/>
            <w:u w:val="single"/>
          </w:rPr>
          <w:t>immi.homeaffairs.gov.au/visas/getting-a-visa/visa-listing/skills-in-demand-visa-subclass-482</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Superannuation Guarantee: </w:t>
      </w:r>
      <w:hyperlink r:id="rId508">
        <w:r>
          <w:rPr>
            <w:rStyle w:val="ListLabel113"/>
            <w:rFonts w:eastAsia="Cambria" w:cs="Cambria"/>
            <w:b w:val="false"/>
            <w:bCs w:val="false"/>
            <w:i w:val="false"/>
            <w:iCs w:val="false"/>
            <w:color w:val="0563C1"/>
            <w:sz w:val="22"/>
            <w:szCs w:val="22"/>
            <w:u w:val="single"/>
          </w:rPr>
          <w:t>ato.gov.au/super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Right to Disconnect: </w:t>
      </w:r>
      <w:hyperlink r:id="rId509">
        <w:r>
          <w:rPr>
            <w:rStyle w:val="ListLabel113"/>
            <w:rFonts w:eastAsia="Cambria" w:cs="Cambria"/>
            <w:b w:val="false"/>
            <w:bCs w:val="false"/>
            <w:i w:val="false"/>
            <w:iCs w:val="false"/>
            <w:color w:val="0563C1"/>
            <w:sz w:val="22"/>
            <w:szCs w:val="22"/>
            <w:u w:val="single"/>
          </w:rPr>
          <w:t>fairwork.gov.au/employment-conditions/right-to-disconnect</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Mindestlohn und Super-Satz werden jeweils zum 1. Juli angepasst, die Einkommensschwelle für Unfair-Dismissal-Schutz ebenso, und die Umsetzung des Rechts auf Nichterreichbarkeit ist noch jung und wenig erprobt. Prüfe vor jeder Entscheidung fairwork.gov.au und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2" w:name="__RefHeading___Toc56560_3457424410"/>
      <w:bookmarkStart w:id="133" w:name="tau15"/>
      <w:bookmarkEnd w:id="132"/>
      <w:r>
        <w:rPr>
          <w:rFonts w:eastAsia="Amazon Ember" w:cs="Amazon Ember" w:ascii="Amazon Ember" w:hAnsi="Amazon Ember"/>
          <w:b/>
          <w:bCs/>
          <w:color w:val="0000FF"/>
          <w:sz w:val="36"/>
          <w:szCs w:val="36"/>
        </w:rPr>
        <w:t>Australien: Recht, Sicherheit und Polizeikontakt</w:t>
      </w:r>
      <w:bookmarkEnd w:id="1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Freitagabend, kurz vor der Westgate Bridge in Melbourne: Blaulicht, eine Reihe Warnwesten, ein Schlauch wird durchs Fenster gereicht, bevor überhaupt ein Wort gefallen ist. Thomas Reinhardt hat nichts falsch gemacht, keinen Tropfen Alkohol getrunken und keine Ahnung, wonach hier eigentlich gesucht wird – und trotzdem steht sein Wagen plötzlich in der Schlange vor einem sogenannten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(umgangssprachlich für eine mobile Polizeistation zur Alkohol- und Drogenkontrolle). In Deutschland hätte es dafür einen Anlass gebraucht; in Australien reicht ein x-beliebiger Freitagabend. Wer aus Deutschland kommt, muss beim Thema Recht und Sicherheit einiges neu lernen – nicht, weil Australien gefährlicher wäre, sondern weil an überraschend vielen Stellen einfach andere Regeln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 und Drogenkontrollen im Straßenverkehr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und </w:t>
            </w:r>
            <w:r>
              <w:rPr>
                <w:rFonts w:eastAsia="Cambria" w:cs="Cambria"/>
                <w:b w:val="false"/>
                <w:bCs w:val="false"/>
                <w:i/>
                <w:iCs/>
                <w:sz w:val="20"/>
                <w:szCs w:val="20"/>
              </w:rPr>
              <w:t>Random Drug Testing</w:t>
            </w:r>
            <w:r>
              <w:rPr>
                <w:rFonts w:eastAsia="Cambria" w:cs="Cambria"/>
                <w:b w:val="false"/>
                <w:bCs w:val="false"/>
                <w:i w:val="false"/>
                <w:iCs w:val="false"/>
                <w:sz w:val="20"/>
                <w:szCs w:val="20"/>
              </w:rPr>
              <w:t>, RDT) sind in ganz Australien Routine – anders, als du es aus Deutschland gewohnt bist.</w:t>
            </w:r>
          </w:p>
          <w:p>
            <w:pPr>
              <w:pStyle w:val="ListParagraph"/>
              <w:numPr>
                <w:ilvl w:val="0"/>
                <w:numId w:val="1"/>
              </w:numPr>
              <w:spacing w:lineRule="exact" w:line="264" w:before="0" w:after="50"/>
              <w:rPr/>
            </w:pPr>
            <w:r>
              <w:rPr>
                <w:rFonts w:eastAsia="Cambria" w:cs="Cambria"/>
                <w:b w:val="false"/>
                <w:bCs w:val="false"/>
                <w:i w:val="false"/>
                <w:iCs w:val="false"/>
                <w:sz w:val="20"/>
                <w:szCs w:val="20"/>
              </w:rPr>
              <w:t>Ab 18 Jahren musst du bei einer Kontrolle Namen und Adresse nennen, mehr nicht; eine Durchsuchung ohne Verdacht oder richterlichen Beschluss darfst du höflich ablehnen.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seit 1996 eines der strengsten der Welt. „Selbstverteidigung“ ist ausdrücklich kein anerkannter Grund für eine Waffenlizenz.</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in sechs der acht Bundesstaaten und Territorien illegal; nur die Hauptstadtregion ACT erlaubt geringe Mengen zum Eigenbedarf, Südaustralien und das Northern Territory ahnden einen Ersttäter meist nur mit einem Bußgeld statt einer Anklage.</w:t>
            </w:r>
          </w:p>
          <w:p>
            <w:pPr>
              <w:pStyle w:val="ListParagraph"/>
              <w:numPr>
                <w:ilvl w:val="0"/>
                <w:numId w:val="1"/>
              </w:numPr>
              <w:spacing w:lineRule="exact" w:line="264" w:before="0" w:after="50"/>
              <w:rPr/>
            </w:pPr>
            <w:r>
              <w:rPr>
                <w:rFonts w:eastAsia="Cambria" w:cs="Cambria"/>
                <w:b w:val="false"/>
                <w:bCs w:val="false"/>
                <w:i w:val="false"/>
                <w:iCs w:val="false"/>
                <w:sz w:val="20"/>
                <w:szCs w:val="20"/>
              </w:rPr>
              <w:t>Auch mit ärztlichem Rezept für medizinisches Cannabis bleibt Autofahren mit nachweisbarem THC im Speichel in fast allen Bundesstaaten strafbar.</w:t>
            </w:r>
          </w:p>
          <w:p>
            <w:pPr>
              <w:pStyle w:val="ListParagraph"/>
              <w:numPr>
                <w:ilvl w:val="0"/>
                <w:numId w:val="1"/>
              </w:numPr>
              <w:spacing w:lineRule="exact" w:line="264" w:before="0" w:after="50"/>
              <w:rPr/>
            </w:pPr>
            <w:r>
              <w:rPr>
                <w:rFonts w:eastAsia="Cambria" w:cs="Cambria"/>
                <w:b w:val="false"/>
                <w:bCs w:val="false"/>
                <w:i w:val="false"/>
                <w:iCs w:val="false"/>
                <w:sz w:val="20"/>
                <w:szCs w:val="20"/>
              </w:rPr>
              <w:t>Buschbrand- und Zyklonsaison verlangen einen eigenen Vorsorgeplan: Warnstufen kennen, Fluchtweg kennen, Versicherung rechtzeitig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das deutsche kodifizierte Recht). Acht Bundesstaaten und Territorien erlassen ihr eigenes Straf-, Verkehrs- und Polizeirecht; der Bund (</w:t>
      </w:r>
      <w:r>
        <w:rPr>
          <w:rFonts w:eastAsia="Cambria" w:cs="Cambria"/>
          <w:b w:val="false"/>
          <w:bCs w:val="false"/>
          <w:i/>
          <w:iCs/>
          <w:sz w:val="22"/>
          <w:szCs w:val="22"/>
        </w:rPr>
        <w:t>Commonwealth</w:t>
      </w:r>
      <w:r>
        <w:rPr>
          <w:rFonts w:eastAsia="Cambria" w:cs="Cambria"/>
          <w:b w:val="false"/>
          <w:bCs w:val="false"/>
          <w:i w:val="false"/>
          <w:iCs w:val="false"/>
          <w:sz w:val="22"/>
          <w:szCs w:val="22"/>
        </w:rPr>
        <w:t xml:space="preserve">) ist vor allem für Einwanderung, Zoll, Steuern und einige Bundesdelikte wie Terrorismus zuständig. Kleinere Delikte verhandelt das </w:t>
      </w:r>
      <w:r>
        <w:rPr>
          <w:rFonts w:eastAsia="Cambria" w:cs="Cambria"/>
          <w:b w:val="false"/>
          <w:bCs w:val="false"/>
          <w:i/>
          <w:iCs/>
          <w:sz w:val="22"/>
          <w:szCs w:val="22"/>
        </w:rPr>
        <w:t>Magistrates Court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Local Court</w:t>
      </w:r>
      <w:r>
        <w:rPr>
          <w:rFonts w:eastAsia="Cambria" w:cs="Cambria"/>
          <w:b w:val="false"/>
          <w:bCs w:val="false"/>
          <w:i w:val="false"/>
          <w:iCs w:val="false"/>
          <w:sz w:val="22"/>
          <w:szCs w:val="22"/>
        </w:rPr>
        <w:t xml:space="preserve">, schwerere das </w:t>
      </w:r>
      <w:r>
        <w:rPr>
          <w:rFonts w:eastAsia="Cambria" w:cs="Cambria"/>
          <w:b w:val="false"/>
          <w:bCs w:val="false"/>
          <w:i/>
          <w:iCs/>
          <w:sz w:val="22"/>
          <w:szCs w:val="22"/>
        </w:rPr>
        <w:t>District</w:t>
      </w:r>
      <w:r>
        <w:rPr>
          <w:rFonts w:eastAsia="Cambria" w:cs="Cambria"/>
          <w:b w:val="false"/>
          <w:bCs w:val="false"/>
          <w:i w:val="false"/>
          <w:iCs w:val="false"/>
          <w:sz w:val="22"/>
          <w:szCs w:val="22"/>
        </w:rPr>
        <w:t xml:space="preserve"> oder </w:t>
      </w:r>
      <w:r>
        <w:rPr>
          <w:rFonts w:eastAsia="Cambria" w:cs="Cambria"/>
          <w:b w:val="false"/>
          <w:bCs w:val="false"/>
          <w:i/>
          <w:iCs/>
          <w:sz w:val="22"/>
          <w:szCs w:val="22"/>
        </w:rPr>
        <w:t>County Court</w:t>
      </w:r>
      <w:r>
        <w:rPr>
          <w:rFonts w:eastAsia="Cambria" w:cs="Cambria"/>
          <w:b w:val="false"/>
          <w:bCs w:val="false"/>
          <w:i w:val="false"/>
          <w:iCs w:val="false"/>
          <w:sz w:val="22"/>
          <w:szCs w:val="22"/>
        </w:rPr>
        <w:t xml:space="preserve">, die schwersten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jedes Bundesstaats; oberste Instanz für das gesamte Land ist der </w:t>
      </w:r>
      <w:r>
        <w:rPr>
          <w:rFonts w:eastAsia="Cambria" w:cs="Cambria"/>
          <w:b w:val="false"/>
          <w:bCs w:val="false"/>
          <w:i/>
          <w:iCs/>
          <w:sz w:val="22"/>
          <w:szCs w:val="22"/>
        </w:rPr>
        <w:t>High Court of Australia</w:t>
      </w:r>
      <w:r>
        <w:rPr>
          <w:rFonts w:eastAsia="Cambria" w:cs="Cambria"/>
          <w:b w:val="false"/>
          <w:bCs w:val="false"/>
          <w:i w:val="false"/>
          <w:iCs w:val="false"/>
          <w:sz w:val="22"/>
          <w:szCs w:val="22"/>
        </w:rPr>
        <w:t xml:space="preserve"> in Canberra. Bei schwereren Anklagen hast du wie in Deutschland Anspruch auf ein Verfahren vor Geschworenen (</w:t>
      </w:r>
      <w:r>
        <w:rPr>
          <w:rFonts w:eastAsia="Cambria" w:cs="Cambria"/>
          <w:b w:val="false"/>
          <w:bCs w:val="false"/>
          <w:i/>
          <w:iCs/>
          <w:sz w:val="22"/>
          <w:szCs w:val="22"/>
        </w:rPr>
        <w:t>Jury</w:t>
      </w:r>
      <w:r>
        <w:rPr>
          <w:rFonts w:eastAsia="Cambria" w:cs="Cambria"/>
          <w:b w:val="false"/>
          <w:bCs w:val="false"/>
          <w:i w:val="false"/>
          <w:iCs w:val="false"/>
          <w:sz w:val="22"/>
          <w:szCs w:val="22"/>
        </w:rPr>
        <w:t>). Für dich als Neuankömmling heißt das vor allem: Was in Sydney gilt, muss in Perth nicht identisch sein – bei allem, was über die im Folgenden beschriebenen bundesweiten Grundsätze hinausgeht, lohnt ein Blick auf die Website der zuständigen Landespolizei oder Landesregierung.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Verkehrskontrollen und Zufallstests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Thomas an diesem Freitagabend erlebt, ist kein Einzelfall, sondern Alltag: Polizei und Verkehrsbehörden führen australienweit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und in den meisten Bundesstaaten zusätzlich </w:t>
      </w:r>
      <w:r>
        <w:rPr>
          <w:rFonts w:eastAsia="Cambria" w:cs="Cambria"/>
          <w:b w:val="false"/>
          <w:bCs w:val="false"/>
          <w:i/>
          <w:iCs/>
          <w:sz w:val="22"/>
          <w:szCs w:val="22"/>
        </w:rPr>
        <w:t>Random Drug Testing</w:t>
      </w:r>
      <w:r>
        <w:rPr>
          <w:rFonts w:eastAsia="Cambria" w:cs="Cambria"/>
          <w:b w:val="false"/>
          <w:bCs w:val="false"/>
          <w:i w:val="false"/>
          <w:iCs w:val="false"/>
          <w:sz w:val="22"/>
          <w:szCs w:val="22"/>
        </w:rPr>
        <w:t xml:space="preserve"> (RDT, Speicheltest auf THC, Amphetamine und ähnliche Substanzen) durch – stationär an belebten Ausfallstraßen oder mobil im fließenden Verkehr, besonders an Wochenenden und in der Nähe von Ausgehvierteln. Ein Anfangsverdacht ist dafür nicht nötig, ein Rechtsgrundsatz, den viele Neuankömmlinge zunächst befremdlich finden. Verhalte dich wie bei jeder anderen Verkehrskontrolle: rechts ranfahren, Motor aus, freundlich bleiben, Führerschein bereithalten. Der Atem- oder Speicheltest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positiven Ergebnis drohen, je nach gemessenem Wert und Bundesstaat, eine sofortige vorläufige Führerscheinsperre direkt am Straßenrand und ein späterer Gerichtstermin. Widersprich in dem Moment nicht der Kontrolle selbst; ob sie rechtmäßig war, klärst du im Zweifel später vor Gericht, nicht an der Fahrertür.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Darüber hinaus gilt ein allgemeines Schweigerecht: Du musst dich nicht selbst belasten. Eine Wohnungs- oder Fahrzeugdurchsuchung ohne konkreten Verdacht oder richterlichen Beschluss darfst du höflich verweigern („I do not consent to a search.“) – wehre dich nie körperlich, sondern lass die Ablehnung im Zweifel vor Gericht klären. Das Filmen einer Polizeikontrolle in der Öffentlichkeit ist grundsätzlich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 im Zweifel hilft ein australischer Anwalt schneller weiter als eine allgemeine Regel aus diesem Buch.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Zeige deine Papiere, wenn eine Ausweispflicht besteht, und verlange bei allem, was darüber hinausgeht,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das Recht, einen Anwalt zu kontaktieren, und als deutscher Staatsangehöriger zusätzlich das Recht, mit einem Konsularbeamten zu sprechen – verlange das ausdrücklich, automatisch angeboten wird es nicht überall. Sprichst du kein ausreichendes Englisch, steht dir bei einer polizeilichen Befragung ein Dolmetscher zu. Nenne wie in jedem Rechtssystem nur Namen, Adresse und den Wunsch nach einem Anwalt – mehr nicht, bis dieser da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Reinhardt (fiktives Beispiel) gerät auf dem Heimweg von einem Grillabend zum ersten Mal in einen </w:t>
            </w:r>
            <w:r>
              <w:rPr>
                <w:rFonts w:eastAsia="Cambria" w:cs="Cambria"/>
                <w:b w:val="false"/>
                <w:bCs w:val="false"/>
                <w:i/>
                <w:iCs/>
                <w:sz w:val="20"/>
                <w:szCs w:val="20"/>
              </w:rPr>
              <w:t>Booze Bus</w:t>
            </w:r>
            <w:r>
              <w:rPr>
                <w:rFonts w:eastAsia="Cambria" w:cs="Cambria"/>
                <w:b w:val="false"/>
                <w:bCs w:val="false"/>
                <w:i w:val="false"/>
                <w:iCs w:val="false"/>
                <w:sz w:val="20"/>
                <w:szCs w:val="20"/>
              </w:rPr>
              <w:t>. Thomas ist zunächst kurz nervös, obwohl er nüchtern ist – in Köln wäre er nie ohne Anlass angehalten worden. Der Test dauert keine zwei Minuten, ein Beamter wünscht „Safe travels, mate“, und die Familie fährt weiter. Ein paar Wochen später hält ihn eine Streife wegen eines defekten Rücklichts an; diesmal filmt eine Passantin die Szene vom Gehweg aus mit dem Handy. Thomas fragt sich kurz, ob das erlaubt ist – ist es, solange sie nicht in den Kontrollbereich tritt. Der Beamte wirkt davon unbeeindruckt und schreibt den Strafzettel wie geplant 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eines der strengsten der Welt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Massaker von Port Arthur 1996 einigten sich Bund und Bundesstaaten auf das </w:t>
      </w:r>
      <w:r>
        <w:rPr>
          <w:rFonts w:eastAsia="Cambria" w:cs="Cambria"/>
          <w:b w:val="false"/>
          <w:bCs w:val="false"/>
          <w:i/>
          <w:iCs/>
          <w:sz w:val="22"/>
          <w:szCs w:val="22"/>
        </w:rPr>
        <w:t>National Firearms Agreement</w:t>
      </w:r>
      <w:r>
        <w:rPr>
          <w:rFonts w:eastAsia="Cambria" w:cs="Cambria"/>
          <w:b w:val="false"/>
          <w:bCs w:val="false"/>
          <w:i w:val="false"/>
          <w:iCs w:val="false"/>
          <w:sz w:val="22"/>
          <w:szCs w:val="22"/>
        </w:rPr>
        <w:t xml:space="preserve"> (NFA, das nationale Waffenabkommen) – seither gilt Australiens Waffenrecht als eines der striktesten der westlichen Welt. Waffenbesitz ist darin ausdrücklich ein bedingtes Privileg, kein Grundrecht. Für jede Lizenz brauchst du einen anerkannten „</w:t>
      </w:r>
      <w:r>
        <w:rPr>
          <w:rFonts w:eastAsia="Cambria" w:cs="Cambria"/>
          <w:b w:val="false"/>
          <w:bCs w:val="false"/>
          <w:i/>
          <w:iCs/>
          <w:sz w:val="22"/>
          <w:szCs w:val="22"/>
        </w:rPr>
        <w:t>Genuine Reason</w:t>
      </w:r>
      <w:r>
        <w:rPr>
          <w:rFonts w:eastAsia="Cambria" w:cs="Cambria"/>
          <w:b w:val="false"/>
          <w:bCs w:val="false"/>
          <w:i w:val="false"/>
          <w:iCs w:val="false"/>
          <w:sz w:val="22"/>
          <w:szCs w:val="22"/>
        </w:rPr>
        <w:t>“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besonders bei Neuankömmlingen mit US-Vergleichshorizont: Waffenbesitz „zur Selbstverteidigung“ sei zumindest eingeschränkt möglich. Tatsächlich ist persönliche Selbstverteidigung in Australien überhaupt kein anerkannter Grund für eine Waffenlizenz – ein zentraler Unterschied zu vielen US-Bundesstaaten.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NFA unterteilt Waffen zusätzlich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 Kontrollen durch die Polizei sind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Waffenbesitz spielt im Alltag kaum eine Rolle. Fasse fremde Waffen nicht ohne Weiteres an und leihe keine aus, selbst wenn Bekannte sie dir beim Farmbesuch oder auf der Jagd anbieten – ohne eigene Lizenz kann das rechtliche Folgen haben.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ein Flickenteppich zwischen den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Medizinisches Cannabis ist bundesweit seit 2016 legal, verschrieben über die Arzneimittelbehörde TGA (</w:t>
      </w:r>
      <w:r>
        <w:rPr>
          <w:rFonts w:eastAsia="Cambria" w:cs="Cambria"/>
          <w:b w:val="false"/>
          <w:bCs w:val="false"/>
          <w:i/>
          <w:iCs/>
          <w:sz w:val="22"/>
          <w:szCs w:val="22"/>
        </w:rPr>
        <w:t>Therapeutic Goods Administration</w:t>
      </w:r>
      <w:r>
        <w:rPr>
          <w:rFonts w:eastAsia="Cambria" w:cs="Cambria"/>
          <w:b w:val="false"/>
          <w:bCs w:val="false"/>
          <w:i w:val="false"/>
          <w:iCs w:val="false"/>
          <w:sz w:val="22"/>
          <w:szCs w:val="22"/>
        </w:rPr>
        <w:t xml:space="preserve">). Beim Freizeitkonsum dagegen entscheidet jeder Bundesstaat für sich, und die Unterschiede sind erheblich. In New South Wales, Victoria, Queensland, Western Australia und Tasmanien bleibt Besitz und Konsum strafbar. Die Hauptstadtregion </w:t>
      </w:r>
      <w:r>
        <w:rPr>
          <w:rFonts w:eastAsia="Cambria" w:cs="Cambria"/>
          <w:b w:val="false"/>
          <w:bCs w:val="false"/>
          <w:i/>
          <w:iCs/>
          <w:sz w:val="22"/>
          <w:szCs w:val="22"/>
        </w:rPr>
        <w:t>Australian Capital Territory</w:t>
      </w:r>
      <w:r>
        <w:rPr>
          <w:rFonts w:eastAsia="Cambria" w:cs="Cambria"/>
          <w:b w:val="false"/>
          <w:bCs w:val="false"/>
          <w:i w:val="false"/>
          <w:iCs w:val="false"/>
          <w:sz w:val="22"/>
          <w:szCs w:val="22"/>
        </w:rPr>
        <w:t xml:space="preserve">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ACT-Gesetz löst einen bis heute ungelösten Rechtskonflikt aus: Cannabisbesitz bleibt nach dem Bundesstrafrecht (</w:t>
            </w:r>
            <w:r>
              <w:rPr>
                <w:rFonts w:eastAsia="Cambria" w:cs="Cambria"/>
                <w:b w:val="false"/>
                <w:bCs w:val="false"/>
                <w:i/>
                <w:iCs/>
                <w:sz w:val="20"/>
                <w:szCs w:val="20"/>
              </w:rPr>
              <w:t>Commonwealth Criminal Code</w:t>
            </w:r>
            <w:r>
              <w:rPr>
                <w:rFonts w:eastAsia="Cambria" w:cs="Cambria"/>
                <w:b w:val="false"/>
                <w:bCs w:val="false"/>
                <w:i w:val="false"/>
                <w:iCs w:val="false"/>
                <w:sz w:val="20"/>
                <w:szCs w:val="20"/>
              </w:rPr>
              <w:t>) grundsätzlich strafbar, auch innerhalb der ACT. In der Praxis verfolgen weder die örtliche Polizei noch die australische Bundespolizei Eigenbedarfsfälle nach Bundesrecht – rechtlich abschließend geklärt ist die Frage aber nicht. Verlass dich also nicht darauf, dass „legal in der ACT“ automatisch „überall in Australien unproblematisch“ bedeutet.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Südaustralien nutzt dafür ein eigenes Verwaltungsverfahren, die </w:t>
      </w:r>
      <w:r>
        <w:rPr>
          <w:rFonts w:eastAsia="Cambria" w:cs="Cambria"/>
          <w:b w:val="false"/>
          <w:bCs w:val="false"/>
          <w:i/>
          <w:iCs/>
          <w:sz w:val="22"/>
          <w:szCs w:val="22"/>
        </w:rPr>
        <w:t>Cannabis Expiation Notice</w:t>
      </w:r>
      <w:r>
        <w:rPr>
          <w:rFonts w:eastAsia="Cambria" w:cs="Cambria"/>
          <w:b w:val="false"/>
          <w:bCs w:val="false"/>
          <w:i w:val="false"/>
          <w:iCs w:val="false"/>
          <w:sz w:val="22"/>
          <w:szCs w:val="22"/>
        </w:rPr>
        <w:t xml:space="preserv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CBD-Öl und andere Hanfprodukte, die in Deutschland frei erhältlich sind, fallen bei der Einreise unter die australischen Einfuhrbestimmungen für Cannabisprodukte und können vom Zoll (</w:t>
            </w:r>
            <w:r>
              <w:rPr>
                <w:rFonts w:eastAsia="Cambria" w:cs="Cambria"/>
                <w:b w:val="false"/>
                <w:bCs w:val="false"/>
                <w:i/>
                <w:iCs/>
                <w:sz w:val="20"/>
                <w:szCs w:val="20"/>
              </w:rPr>
              <w:t>Australian Border Force</w:t>
            </w:r>
            <w:r>
              <w:rPr>
                <w:rFonts w:eastAsia="Cambria" w:cs="Cambria"/>
                <w:b w:val="false"/>
                <w:bCs w:val="false"/>
                <w:i w:val="false"/>
                <w:iCs w:val="false"/>
                <w:sz w:val="20"/>
                <w:szCs w:val="20"/>
              </w:rPr>
              <w:t>) beschlagnahmt werden, wenn keine gültige Einfuhrgenehmigung oder ärztliche Verschreibung vorliegt. Nimm solche Produkte im Zweifel gar nicht erst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 strafbar bleibt das Fahren mit THC im Blut aber auch dort. Wer aus medizinischen Gründen Cannabis nimmt und regelmäßig Auto fährt, sollte sich vor Ort rechtlich beraten lassen, bevor er sich hinters Steuer setzt.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Buschbrände und Zyklone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allenfalls Extremwetter im Nachrichtenrand ist, gehört in weiten Teilen Australiens zur jährlichen Planung: Buschbrandsaison, meist Spätfrühling bis Ende Sommer, regional unterschiedlich, und im tropischen Norden zusätzlich die Zyklonsaison vom 1. November bis 30. April. Das </w:t>
      </w:r>
      <w:r>
        <w:rPr>
          <w:rFonts w:eastAsia="Cambria" w:cs="Cambria"/>
          <w:b w:val="false"/>
          <w:bCs w:val="false"/>
          <w:i/>
          <w:iCs/>
          <w:sz w:val="22"/>
          <w:szCs w:val="22"/>
        </w:rPr>
        <w:t>Australian Fire Danger Rating System</w:t>
      </w:r>
      <w:r>
        <w:rPr>
          <w:rFonts w:eastAsia="Cambria" w:cs="Cambria"/>
          <w:b w:val="false"/>
          <w:bCs w:val="false"/>
          <w:i w:val="false"/>
          <w:iCs w:val="false"/>
          <w:sz w:val="22"/>
          <w:szCs w:val="22"/>
        </w:rPr>
        <w:t xml:space="preserve"> (AFDRS) warnt in vier Stufen: „Moderate“ (an diesen Tagen ist Zeit für Vorbereitung, kein akutes Risiko), „High“, „Extreme“ (dein Notfallplan wird jetzt aktiviert) und „Catastrophic“ (die Feuerwehr kann den Brand voraussichtlich nicht kontrollieren; Evakuieren ist die sicherste Option). Zyklone werden in fünf Kategorien eingeteilt, gestaffelt nach Windstärke; ab Kategorie 3 gelten sie als „schwer“ (</w:t>
      </w:r>
      <w:r>
        <w:rPr>
          <w:rFonts w:eastAsia="Cambria" w:cs="Cambria"/>
          <w:b w:val="false"/>
          <w:bCs w:val="false"/>
          <w:i/>
          <w:iCs/>
          <w:sz w:val="22"/>
          <w:szCs w:val="22"/>
        </w:rPr>
        <w:t>severe</w:t>
      </w:r>
      <w:r>
        <w:rPr>
          <w:rFonts w:eastAsia="Cambria" w:cs="Cambria"/>
          <w:b w:val="false"/>
          <w:bCs w:val="false"/>
          <w:i w:val="false"/>
          <w:iCs w:val="false"/>
          <w:sz w:val="22"/>
          <w:szCs w:val="22"/>
        </w:rPr>
        <w:t>).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für dich konkret zutrifft, hängt stark vom Wohnort ab: Im Süden und Osten (Melbourne-Umland, New-South-Wales-Buschland) dominiert das Buschbrandrisiko, im tropischen Norden (Queensland, Northern Territory, Nord-Western-Australia) vor allem Zyklone und die mit ihnen einhergehenden Überschwemmungen, im trockenen Landesinneren eher Hitzewellen und Wassermangel. Wer wie Familie Reinhardt in einem Vorort von Melbourne lebt, hat andere Vorsorge zu treffen als jemand, der wie Nina Voss zeitweise im tropischen Queensland arbeitet.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jobbt während ihres Working-Holiday-Jahres einige Monate auf einer Farm in Queensland, um die für ein zweites Jahr nötigen Regional-Arbeitstage zu sammeln. Mitten in der Erntesaison ruft ihr Farmchef sie und die anderen Backpacker eines Nachmittags zusammen: Die örtliche Feuerbehörde hat für den nächsten Tag die Stufe „Catastrophic“ ausgerufen, ein Waldbrand brennt bereits zwei Ortschaften weiter. Nina hatte bis dahin nie eine Warn-App installiert und kein Codewort für einen Sammelpunkt vereinbart – improvisiert klappt es trotzdem, aber sie beschließt danach, sich für den Rest ihrer Zeit in Australien nie wieder ohne Notfallplan in eine buschbrandgefährdete Gegend zu begeben.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und 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Installiere die Warn-App oder abonniere die Website der zuständigen Landesbehörde für deinen Wohnort (etwa das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in New South Wales, die </w:t>
      </w:r>
      <w:r>
        <w:rPr>
          <w:rFonts w:eastAsia="Cambria" w:cs="Cambria"/>
          <w:b w:val="false"/>
          <w:bCs w:val="false"/>
          <w:i/>
          <w:iCs/>
          <w:sz w:val="22"/>
          <w:szCs w:val="22"/>
        </w:rPr>
        <w:t>Country Fire Authority</w:t>
      </w:r>
      <w:r>
        <w:rPr>
          <w:rFonts w:eastAsia="Cambria" w:cs="Cambria"/>
          <w:b w:val="false"/>
          <w:bCs w:val="false"/>
          <w:i w:val="false"/>
          <w:iCs w:val="false"/>
          <w:sz w:val="22"/>
          <w:szCs w:val="22"/>
        </w:rPr>
        <w:t xml:space="preserve"> in Victoria oder die Feuerwehrbehörde in Queensland) sowie das bundesweite Telefon- und SMS-Warnsystem </w:t>
      </w:r>
      <w:r>
        <w:rPr>
          <w:rFonts w:eastAsia="Cambria" w:cs="Cambria"/>
          <w:b w:val="false"/>
          <w:bCs w:val="false"/>
          <w:i/>
          <w:iCs/>
          <w:sz w:val="22"/>
          <w:szCs w:val="22"/>
        </w:rPr>
        <w:t>Emergency Alert</w:t>
      </w:r>
      <w:r>
        <w:rPr>
          <w:rFonts w:eastAsia="Cambria" w:cs="Cambria"/>
          <w:b w:val="false"/>
          <w:bCs w:val="false"/>
          <w:i w:val="false"/>
          <w:iCs w:val="false"/>
          <w:sz w:val="22"/>
          <w:szCs w:val="22"/>
        </w:rPr>
        <w:t xml:space="preserve">. In Zyklongebieten verfolgst du außerdem die Warnungen des Wetterdienstes </w:t>
      </w:r>
      <w:r>
        <w:rPr>
          <w:rFonts w:eastAsia="Cambria" w:cs="Cambria"/>
          <w:b w:val="false"/>
          <w:bCs w:val="false"/>
          <w:i/>
          <w:iCs/>
          <w:sz w:val="22"/>
          <w:szCs w:val="22"/>
        </w:rPr>
        <w:t>Bureau of Meteorology</w:t>
      </w:r>
      <w:r>
        <w:rPr>
          <w:rFonts w:eastAsia="Cambria" w:cs="Cambria"/>
          <w:b w:val="false"/>
          <w:bCs w:val="false"/>
          <w:i w:val="false"/>
          <w:iCs w:val="false"/>
          <w:sz w:val="22"/>
          <w:szCs w:val="22"/>
        </w:rPr>
        <w:t>. Ein Notfallplan gehört in jeden Haushalt in einer gefährdeten Region: ein Sammelpunkt für die Familie, eine Kontaktperson außerhalb der 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Canberra und ein Generalkonsulat in Sydney; in mehreren Großstädten, darunter Melbourne, helfen zusätzlich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senken nachweislich Unfallzahlen im Straßenverkehr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Zufallstests wirken auf Neuankömmlinge zunächst befremdlich und einschüchternd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aus Ländern mit liberalerem Waffenrecht kommt, muss umdenken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Klares, bundesweit bekanntes Warnstufensystem bei Buschbränden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Buschbrand- und Zyklonrisiko ist für viele Regionen real, nicht nur theoretisch</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ist ein Flickenteppich, der schnell zur Falle wird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ist bundesweit legal zugänglich</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mit Rezept bleibt Autofahren mit THC im Blut fast überall strafbar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Gewöhne dich frühzeitig an das Prinzip der verdachtsunabhängigen Verkehrskontrolle, damit dich der erste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 das gilt besonders für das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Random Breath/Drug Testing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Namen und Adresse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des eigenen Bundesstaats nachgeschlagen, statt sich auf Hörensagen zu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ärztlich verordnetem Cannabis: Fahrregeln des eigenen Bundesstaats vorab mit einem Anwalt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Landesfeuerbehörde installiert und Emergency Alert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 oder Hausratversicherung auf Flut-, Sturmflut- und Buschbrandschutz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für Notfälle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10">
        <w:r>
          <w:rPr>
            <w:rStyle w:val="ListLabel113"/>
            <w:rFonts w:eastAsia="Cambria" w:cs="Cambria"/>
            <w:b w:val="false"/>
            <w:bCs w:val="false"/>
            <w:i w:val="false"/>
            <w:iCs w:val="false"/>
            <w:color w:val="0563C1"/>
            <w:sz w:val="22"/>
            <w:szCs w:val="22"/>
            <w:u w:val="single"/>
          </w:rPr>
          <w:t>afdrs.com.au</w:t>
        </w:r>
      </w:hyperlink>
      <w:r>
        <w:rPr>
          <w:rFonts w:eastAsia="Cambria" w:cs="Cambria"/>
          <w:b w:val="false"/>
          <w:bCs w:val="false"/>
          <w:i w:val="false"/>
          <w:iCs w:val="false"/>
          <w:sz w:val="22"/>
          <w:szCs w:val="22"/>
        </w:rPr>
        <w:t xml:space="preserve"> – Australian Fire Danger Rating System, Warnstufen</w:t>
      </w:r>
    </w:p>
    <w:p>
      <w:pPr>
        <w:pStyle w:val="ListParagraph"/>
        <w:numPr>
          <w:ilvl w:val="0"/>
          <w:numId w:val="1"/>
        </w:numPr>
        <w:spacing w:lineRule="exact" w:line="288" w:before="0" w:after="60"/>
        <w:rPr/>
      </w:pPr>
      <w:hyperlink r:id="rId511">
        <w:r>
          <w:rPr>
            <w:rStyle w:val="ListLabel113"/>
            <w:rFonts w:eastAsia="Cambria" w:cs="Cambria"/>
            <w:b w:val="false"/>
            <w:bCs w:val="false"/>
            <w:i w:val="false"/>
            <w:iCs w:val="false"/>
            <w:color w:val="0563C1"/>
            <w:sz w:val="22"/>
            <w:szCs w:val="22"/>
            <w:u w:val="single"/>
          </w:rPr>
          <w:t>bom.gov.au</w:t>
        </w:r>
      </w:hyperlink>
      <w:r>
        <w:rPr>
          <w:rFonts w:eastAsia="Cambria" w:cs="Cambria"/>
          <w:b w:val="false"/>
          <w:bCs w:val="false"/>
          <w:i w:val="false"/>
          <w:iCs w:val="false"/>
          <w:sz w:val="22"/>
          <w:szCs w:val="22"/>
        </w:rPr>
        <w:t xml:space="preserve"> – Bureau of Meteorology, Wetter- und Zyklonwarnungen</w:t>
      </w:r>
    </w:p>
    <w:p>
      <w:pPr>
        <w:pStyle w:val="ListParagraph"/>
        <w:numPr>
          <w:ilvl w:val="0"/>
          <w:numId w:val="1"/>
        </w:numPr>
        <w:spacing w:lineRule="exact" w:line="288" w:before="0" w:after="60"/>
        <w:rPr/>
      </w:pPr>
      <w:hyperlink r:id="rId512">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 </w:t>
      </w:r>
      <w:hyperlink r:id="rId513">
        <w:r>
          <w:rPr>
            <w:rStyle w:val="ListLabel113"/>
            <w:rFonts w:eastAsia="Cambria" w:cs="Cambria"/>
            <w:b w:val="false"/>
            <w:bCs w:val="false"/>
            <w:i w:val="false"/>
            <w:iCs w:val="false"/>
            <w:color w:val="0563C1"/>
            <w:sz w:val="22"/>
            <w:szCs w:val="22"/>
            <w:u w:val="single"/>
          </w:rPr>
          <w:t>cfa.vic.gov.au</w:t>
        </w:r>
      </w:hyperlink>
      <w:r>
        <w:rPr>
          <w:rFonts w:eastAsia="Cambria" w:cs="Cambria"/>
          <w:b w:val="false"/>
          <w:bCs w:val="false"/>
          <w:i w:val="false"/>
          <w:iCs w:val="false"/>
          <w:sz w:val="22"/>
          <w:szCs w:val="22"/>
        </w:rPr>
        <w:t xml:space="preserve"> – Landesfeuerwehrbehörden New South Wales und Victoria</w:t>
      </w:r>
    </w:p>
    <w:p>
      <w:pPr>
        <w:pStyle w:val="ListParagraph"/>
        <w:numPr>
          <w:ilvl w:val="0"/>
          <w:numId w:val="1"/>
        </w:numPr>
        <w:spacing w:lineRule="exact" w:line="288" w:before="0" w:after="60"/>
        <w:rPr/>
      </w:pPr>
      <w:hyperlink r:id="rId514">
        <w:r>
          <w:rPr>
            <w:rStyle w:val="ListLabel113"/>
            <w:rFonts w:eastAsia="Cambria" w:cs="Cambria"/>
            <w:b w:val="false"/>
            <w:bCs w:val="false"/>
            <w:i w:val="false"/>
            <w:iCs w:val="false"/>
            <w:color w:val="0563C1"/>
            <w:sz w:val="22"/>
            <w:szCs w:val="22"/>
            <w:u w:val="single"/>
          </w:rPr>
          <w:t>health.gov.au</w:t>
        </w:r>
      </w:hyperlink>
      <w:r>
        <w:rPr>
          <w:rFonts w:eastAsia="Cambria" w:cs="Cambria"/>
          <w:b w:val="false"/>
          <w:bCs w:val="false"/>
          <w:i w:val="false"/>
          <w:iCs w:val="false"/>
          <w:sz w:val="22"/>
          <w:szCs w:val="22"/>
        </w:rPr>
        <w:t xml:space="preserve"> / </w:t>
      </w:r>
      <w:hyperlink r:id="rId515">
        <w:r>
          <w:rPr>
            <w:rStyle w:val="ListLabel113"/>
            <w:rFonts w:eastAsia="Cambria" w:cs="Cambria"/>
            <w:b w:val="false"/>
            <w:bCs w:val="false"/>
            <w:i w:val="false"/>
            <w:iCs w:val="false"/>
            <w:color w:val="0563C1"/>
            <w:sz w:val="22"/>
            <w:szCs w:val="22"/>
            <w:u w:val="single"/>
          </w:rPr>
          <w:t>tga.gov.au</w:t>
        </w:r>
      </w:hyperlink>
      <w:r>
        <w:rPr>
          <w:rFonts w:eastAsia="Cambria" w:cs="Cambria"/>
          <w:b w:val="false"/>
          <w:bCs w:val="false"/>
          <w:i w:val="false"/>
          <w:iCs w:val="false"/>
          <w:sz w:val="22"/>
          <w:szCs w:val="22"/>
        </w:rPr>
        <w:t xml:space="preserve"> – medizinisches Cannabis, Zulassung und Verschreibung</w:t>
      </w:r>
    </w:p>
    <w:p>
      <w:pPr>
        <w:pStyle w:val="ListParagraph"/>
        <w:numPr>
          <w:ilvl w:val="0"/>
          <w:numId w:val="1"/>
        </w:numPr>
        <w:spacing w:lineRule="exact" w:line="288" w:before="0" w:after="60"/>
        <w:rPr/>
      </w:pPr>
      <w:hyperlink r:id="rId516">
        <w:r>
          <w:rPr>
            <w:rStyle w:val="ListLabel113"/>
            <w:rFonts w:eastAsia="Cambria" w:cs="Cambria"/>
            <w:b w:val="false"/>
            <w:bCs w:val="false"/>
            <w:i w:val="false"/>
            <w:iCs w:val="false"/>
            <w:color w:val="0563C1"/>
            <w:sz w:val="22"/>
            <w:szCs w:val="22"/>
            <w:u w:val="single"/>
          </w:rPr>
          <w:t>legislation.act.gov.au</w:t>
        </w:r>
      </w:hyperlink>
      <w:r>
        <w:rPr>
          <w:rFonts w:eastAsia="Cambria" w:cs="Cambria"/>
          <w:b w:val="false"/>
          <w:bCs w:val="false"/>
          <w:i w:val="false"/>
          <w:iCs w:val="false"/>
          <w:sz w:val="22"/>
          <w:szCs w:val="22"/>
        </w:rPr>
        <w:t xml:space="preserve"> – Cannabis-Recht in der Australian Capital Territory</w:t>
      </w:r>
    </w:p>
    <w:p>
      <w:pPr>
        <w:pStyle w:val="ListParagraph"/>
        <w:numPr>
          <w:ilvl w:val="0"/>
          <w:numId w:val="1"/>
        </w:numPr>
        <w:spacing w:lineRule="exact" w:line="288" w:before="0" w:after="60"/>
        <w:rPr/>
      </w:pPr>
      <w:hyperlink r:id="rId517">
        <w:r>
          <w:rPr>
            <w:rStyle w:val="ListLabel113"/>
            <w:rFonts w:eastAsia="Cambria" w:cs="Cambria"/>
            <w:b w:val="false"/>
            <w:bCs w:val="false"/>
            <w:i w:val="false"/>
            <w:iCs w:val="false"/>
            <w:color w:val="0563C1"/>
            <w:sz w:val="22"/>
            <w:szCs w:val="22"/>
            <w:u w:val="single"/>
          </w:rPr>
          <w:t>acic.gov.au</w:t>
        </w:r>
      </w:hyperlink>
      <w:r>
        <w:rPr>
          <w:rFonts w:eastAsia="Cambria" w:cs="Cambria"/>
          <w:b w:val="false"/>
          <w:bCs w:val="false"/>
          <w:i w:val="false"/>
          <w:iCs w:val="false"/>
          <w:sz w:val="22"/>
          <w:szCs w:val="22"/>
        </w:rPr>
        <w:t xml:space="preserve"> – National Firearms Agreement 1996</w:t>
      </w:r>
    </w:p>
    <w:p>
      <w:pPr>
        <w:pStyle w:val="ListParagraph"/>
        <w:numPr>
          <w:ilvl w:val="0"/>
          <w:numId w:val="1"/>
        </w:numPr>
        <w:spacing w:lineRule="exact" w:line="288" w:before="0" w:after="60"/>
        <w:rPr/>
      </w:pPr>
      <w:hyperlink r:id="rId518">
        <w:r>
          <w:rPr>
            <w:rStyle w:val="ListLabel113"/>
            <w:rFonts w:eastAsia="Cambria" w:cs="Cambria"/>
            <w:b w:val="false"/>
            <w:bCs w:val="false"/>
            <w:i w:val="false"/>
            <w:iCs w:val="false"/>
            <w:color w:val="0563C1"/>
            <w:sz w:val="22"/>
            <w:szCs w:val="22"/>
            <w:u w:val="single"/>
          </w:rPr>
          <w:t>transport.nsw.gov.au</w:t>
        </w:r>
      </w:hyperlink>
      <w:r>
        <w:rPr>
          <w:rFonts w:eastAsia="Cambria" w:cs="Cambria"/>
          <w:b w:val="false"/>
          <w:bCs w:val="false"/>
          <w:i w:val="false"/>
          <w:iCs w:val="false"/>
          <w:sz w:val="22"/>
          <w:szCs w:val="22"/>
        </w:rPr>
        <w:t xml:space="preserve"> – Alkohol- und Drogenkontrollen im Straßenverkehr</w:t>
      </w:r>
    </w:p>
    <w:p>
      <w:pPr>
        <w:pStyle w:val="ListParagraph"/>
        <w:numPr>
          <w:ilvl w:val="0"/>
          <w:numId w:val="1"/>
        </w:numPr>
        <w:spacing w:lineRule="exact" w:line="288" w:before="0" w:after="60"/>
        <w:rPr/>
      </w:pPr>
      <w:hyperlink r:id="rId519">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konsularische Hilfe für Deutsche in Australien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zuständigen Landesbehörden.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4" w:name="__RefHeading___Toc56562_3457424410"/>
      <w:bookmarkStart w:id="135" w:name="tau16"/>
      <w:bookmarkEnd w:id="134"/>
      <w:r>
        <w:rPr>
          <w:rFonts w:eastAsia="Amazon Ember" w:cs="Amazon Ember" w:ascii="Amazon Ember" w:hAnsi="Amazon Ember"/>
          <w:b/>
          <w:bCs/>
          <w:color w:val="0000FF"/>
          <w:sz w:val="36"/>
          <w:szCs w:val="36"/>
        </w:rPr>
        <w:t>Australien: Staatsbürgerschaft und Steuerresidenz</w:t>
      </w:r>
      <w:bookmarkEnd w:id="1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Sandra Reinhardt zum ersten Mal hört, wie die USA ihre Staatsbürger besteuern – lebenslang, weltweit, unabhängig vom Wohnort, sogar nach einer Rückkehr nach Deutschland –, wird ihr kurz mulmig: Gilt das im Kern genauso für sie, sobald sie eines Tages den australischen Pass in der Tasche hat? Die Antwort, die ihr ein australischer Steuerberater gibt, überrascht sie. Australien fragt nicht, welchen Pass du trägst, sondern wo du lebst. Der Weg zum australischen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Staatsbürgerschaft setzt in der Regel vier Jahre rechtmäßigen Aufenthalt unmittelbar vor Antragstellung voraus, davon die letzten zwölf Monate als </w:t>
            </w:r>
            <w:r>
              <w:rPr>
                <w:rFonts w:eastAsia="Cambria" w:cs="Cambria"/>
                <w:b w:val="false"/>
                <w:bCs w:val="false"/>
                <w:i/>
                <w:iCs/>
                <w:sz w:val="20"/>
                <w:szCs w:val="20"/>
              </w:rPr>
              <w:t>Permanent Resident</w:t>
            </w:r>
            <w:r>
              <w:rPr>
                <w:rFonts w:eastAsia="Cambria" w:cs="Cambria"/>
                <w:b w:val="false"/>
                <w:bCs w:val="false"/>
                <w:i w:val="false"/>
                <w:iCs w:val="false"/>
                <w:sz w:val="20"/>
                <w:szCs w:val="20"/>
              </w:rPr>
              <w:t xml:space="preserve"> (PR); zwei getrennte Abwesenheitsgrenzen gelten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Citizenship Test: 20 Fragen, mindestens 15 richtig (75 %) UND alle fünf Pflichtfragen zu „Australian Values“ korrekt; Befreiung von Test und Sprachnachweis ab 60 Jahren, das persönliche Interview bleibt aber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595 AUD (seit 1. Juli 2026); realistische Gesamtdauer von der Einreise bis zum Pass vier bis acht Jahre, je nachdem, über welchen Weg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2002 (Australien) und seit dem 27. Juni 2024 (Deutschland) für beide Seiten unproblematisch – für Einbürgerungen vor diesem Datum kann die alte, strengere deutsche Rechtslage noch nachwirken.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Australien besteuert nach Steuerwohnsitz, nicht nach Pass. Anders als die USA gibt es keine an die Staatsbürgerschaft gekoppelte, lebenslange Steuerpflicht und keine Exit Tax beim Verzicht auf die australische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du den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erreichst – die eigentliche Staatsbürgerschafts-Uhr läuft erst richtig, sobald der PR-Status steht. Wer wie Familie Reinhardt direkt über das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einreist, hält den PR-Status bereits am Tag der Landung; die „letzten 12 Monate als PR“-Bedingung beginnt dann parallel zur allgemeinen 4-Jahres-Frist zu laufen, und der Antrag ist realistisch nach vier bis fünf Jahren möglich. Wer wie Nina Voss über ein Working-Holiday-Visum einreist, später über einen Arbeitgeber auf ein befristetes Skilled-Visum wechselt und erst nach mehrjährigem Sponsoring den PR-Status über den Übergang zur permanenten Stufe erhält, startet die entscheidende 12-Monats-Uhr deutlich später. Für diesen Weg sind sechs bis acht Jahre ab der Einreise realistischer, weil die PR-Erteilung selbst oft erst drei bis vier Jahre nach der Ankunft erfolgt.</w:t>
      </w:r>
    </w:p>
    <w:tbl>
      <w:tblPr>
        <w:tblW w:w="6480" w:type="dxa"/>
        <w:jc w:val="left"/>
        <w:tblInd w:w="0" w:type="dxa"/>
        <w:tblLayout w:type="fixed"/>
        <w:tblCellMar>
          <w:top w:w="50" w:type="dxa"/>
          <w:left w:w="80" w:type="dxa"/>
          <w:bottom w:w="50" w:type="dxa"/>
          <w:right w:w="80" w:type="dxa"/>
        </w:tblCellMar>
      </w:tblPr>
      <w:tblGrid>
        <w:gridCol w:w="3679"/>
        <w:gridCol w:w="2800"/>
      </w:tblGrid>
      <w:tr>
        <w:trPr>
          <w:tblHeader w:val="true"/>
          <w:cantSplit w:val="true"/>
        </w:trPr>
        <w:tc>
          <w:tcPr>
            <w:tcW w:w="3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8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PR-Visum (z. B. Subclass 189)</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Arbeitgeber-Visum → PR-Übergang</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über ein befristetes Arbeitgeber-Visum (</w:t>
      </w:r>
      <w:r>
        <w:rPr>
          <w:rFonts w:eastAsia="Cambria" w:cs="Cambria"/>
          <w:b w:val="false"/>
          <w:bCs w:val="false"/>
          <w:i/>
          <w:iCs/>
          <w:sz w:val="22"/>
          <w:szCs w:val="22"/>
        </w:rPr>
        <w:t>Temporary Skill Shortage Visa</w:t>
      </w:r>
      <w:r>
        <w:rPr>
          <w:rFonts w:eastAsia="Cambria" w:cs="Cambria"/>
          <w:b w:val="false"/>
          <w:bCs w:val="false"/>
          <w:i w:val="false"/>
          <w:iCs w:val="false"/>
          <w:sz w:val="22"/>
          <w:szCs w:val="22"/>
        </w:rPr>
        <w:t xml:space="preserve">, Subclass 482) führt seit einer Regeländerung schon nach zwei statt zuvor drei Jahren Sponsoring zum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-Visum (Subclass 186), der permanenten Stufe. Diese Verkürzung betrifft aber nur den Zugang zum PR-Antrag selbst –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zwei Grenzen gleichzeitig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zusätzlich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häufigste Fehler ist, nur die große Zahl im Kopf zu behalten und die 90-Tage-Grenze im letzten Jahr vor Antragstellung zu übersehen. Mehrere kurze Deutschlandbesuche summieren sich schneller, als man denkt – nutze vor der Antragstellung den offiziellen </w:t>
            </w:r>
            <w:r>
              <w:rPr>
                <w:rFonts w:eastAsia="Cambria" w:cs="Cambria"/>
                <w:b w:val="false"/>
                <w:bCs w:val="false"/>
                <w:i/>
                <w:iCs/>
                <w:sz w:val="20"/>
                <w:szCs w:val="20"/>
              </w:rPr>
              <w:t>Residence Calculator</w:t>
            </w:r>
            <w:r>
              <w:rPr>
                <w:rFonts w:eastAsia="Cambria" w:cs="Cambria"/>
                <w:b w:val="false"/>
                <w:bCs w:val="false"/>
                <w:i w:val="false"/>
                <w:iCs w:val="false"/>
                <w:sz w:val="20"/>
                <w:szCs w:val="20"/>
              </w:rPr>
              <w:t xml:space="preserve"> der Einwanderungsbehörde, um beide Grenzen sauber zu prüfen.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betrifft nicht die Staatsbürgerschaft, sondern den PR-Status selbst: Ein permanentes Visum trägt meist nur für die ersten fünf Jahre eine gültige Reiseberechtigung (</w:t>
      </w:r>
      <w:r>
        <w:rPr>
          <w:rFonts w:eastAsia="Cambria" w:cs="Cambria"/>
          <w:b w:val="false"/>
          <w:bCs w:val="false"/>
          <w:i/>
          <w:iCs/>
          <w:sz w:val="22"/>
          <w:szCs w:val="22"/>
        </w:rPr>
        <w:t>Travel Facility</w:t>
      </w:r>
      <w:r>
        <w:rPr>
          <w:rFonts w:eastAsia="Cambria" w:cs="Cambria"/>
          <w:b w:val="false"/>
          <w:bCs w:val="false"/>
          <w:i w:val="false"/>
          <w:iCs w:val="false"/>
          <w:sz w:val="22"/>
          <w:szCs w:val="22"/>
        </w:rPr>
        <w:t>). Danach brauchst du, solange du noch nicht eingebürgert bist, ein eigenes Anschlussvisum (</w:t>
      </w:r>
      <w:r>
        <w:rPr>
          <w:rFonts w:eastAsia="Cambria" w:cs="Cambria"/>
          <w:b w:val="false"/>
          <w:bCs w:val="false"/>
          <w:i/>
          <w:iCs/>
          <w:sz w:val="22"/>
          <w:szCs w:val="22"/>
        </w:rPr>
        <w:t>Resident Return Visa</w:t>
      </w:r>
      <w:r>
        <w:rPr>
          <w:rFonts w:eastAsia="Cambria" w:cs="Cambria"/>
          <w:b w:val="false"/>
          <w:bCs w:val="false"/>
          <w:i w:val="false"/>
          <w:iCs w:val="false"/>
          <w:sz w:val="22"/>
          <w:szCs w:val="22"/>
        </w:rPr>
        <w:t>), um als PR weiterhin problemlos aus- und wieder einzureisen. Wer das übersieht, riskiert an der Grenze unangenehme Rückfragen, auch wenn der PR-Status im Inland selbst davon unberührt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plant im vierten Jahr nach der Einreise nach Melbourne den Einbürgerungsantrag. Weil Sandras Mutter in Köln erkrankt, reist die Familie binnen zwölf Monaten dreimal für jeweils drei bis vier Wochen nach Deutschland. Als Thomas die Reisetage zusammenzählt, kommt er im letzten Jahr auf 94 Tage Abwesenheit – knapp über der 90-Tage-Grenze. Statt den Antrag trotzdem zu riskieren, verschiebt die Familie ihn um zwei Monate, bis das kritische Jahr rechnerisch wieder innerhalb der Frist liegt. Die vier Jahre Gesamtaufenthalt wären zu keinem Zeitpunkt das Problem gewesen – allein das letzte Jahr hätte den Antrag gekippt.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Citizenship Test und die Zeremonie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besteht aus 20 Multiple-Choice-Fragen zu australischer Geschichte, Regierungssystem und gesellschaftlichen Werten, Bearbeitungszeit 45 Minuten. Bestehen erfordert zwei Dinge gleichzeitig: mindestens 15 von 20 Fragen richtig (75 %) und zusätzlich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 wer den englischsprachigen Staatskundetest besteht, gilt automatisch als ausreichend sprachkundig.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Genehmigung folgt die Einbürgerungszeremonie, das </w:t>
      </w:r>
      <w:r>
        <w:rPr>
          <w:rFonts w:eastAsia="Cambria" w:cs="Cambria"/>
          <w:b w:val="false"/>
          <w:bCs w:val="false"/>
          <w:i/>
          <w:iCs/>
          <w:sz w:val="22"/>
          <w:szCs w:val="22"/>
        </w:rPr>
        <w:t>Pledge of Commitment</w:t>
      </w:r>
      <w:r>
        <w:rPr>
          <w:rFonts w:eastAsia="Cambria" w:cs="Cambria"/>
          <w:b w:val="false"/>
          <w:bCs w:val="false"/>
          <w:i w:val="false"/>
          <w:iCs w:val="false"/>
          <w:sz w:val="22"/>
          <w:szCs w:val="22"/>
        </w:rPr>
        <w:t xml:space="preserve"> (in zwei Fassungen, mit oder ohne Gottesbezug), geleitet von einem dazu berechtigten </w:t>
      </w:r>
      <w:r>
        <w:rPr>
          <w:rFonts w:eastAsia="Cambria" w:cs="Cambria"/>
          <w:b w:val="false"/>
          <w:bCs w:val="false"/>
          <w:i/>
          <w:iCs/>
          <w:sz w:val="22"/>
          <w:szCs w:val="22"/>
        </w:rPr>
        <w:t>Presiding Officer</w:t>
      </w:r>
      <w:r>
        <w:rPr>
          <w:rFonts w:eastAsia="Cambria" w:cs="Cambria"/>
          <w:b w:val="false"/>
          <w:bCs w:val="false"/>
          <w:i w:val="false"/>
          <w:iCs w:val="false"/>
          <w:sz w:val="22"/>
          <w:szCs w:val="22"/>
        </w:rPr>
        <w:t>, meist dem Bürgermeister der Gemeinde. Erst mit dem gesprochenen Bekenntnis bist du formal Staatsbürger.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mehr als eine Formalität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Aufenthalt und Test prüft die Einwanderungsbehörde Home Affairs bei jedem Antragsteller ab 18 Jahren die charakterliche Eignung (</w:t>
      </w:r>
      <w:r>
        <w:rPr>
          <w:rFonts w:eastAsia="Cambria" w:cs="Cambria"/>
          <w:b w:val="false"/>
          <w:bCs w:val="false"/>
          <w:i/>
          <w:iCs/>
          <w:sz w:val="22"/>
          <w:szCs w:val="22"/>
        </w:rPr>
        <w:t>Good Character</w:t>
      </w:r>
      <w:r>
        <w:rPr>
          <w:rFonts w:eastAsia="Cambria" w:cs="Cambria"/>
          <w:b w:val="false"/>
          <w:bCs w:val="false"/>
          <w:i w:val="false"/>
          <w:iCs w:val="false"/>
          <w:sz w:val="22"/>
          <w:szCs w:val="22"/>
        </w:rPr>
        <w:t>)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 wirklich jede Vorstrafe an, selbst wenn sie dir in Deutschland geringfügig erscheint; im Zweifel prüft die Behörde ohnehin 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Erwachsene liegt seit dem 1. Juli 2026 bei 595 AUD und deckt Antrag, Test und Zeremonie ab; eine erneute Testrunde kostet nichts extra. Die Bearbeitung selbst geht oft zügig –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Ablauf gliedert sich in vier Schritte: Zuerst stellst du den Antrag online über das </w:t>
      </w:r>
      <w:r>
        <w:rPr>
          <w:rFonts w:eastAsia="Cambria" w:cs="Cambria"/>
          <w:b w:val="false"/>
          <w:bCs w:val="false"/>
          <w:i/>
          <w:iCs/>
          <w:sz w:val="22"/>
          <w:szCs w:val="22"/>
        </w:rPr>
        <w:t>ImmiAccount</w:t>
      </w:r>
      <w:r>
        <w:rPr>
          <w:rFonts w:eastAsia="Cambria" w:cs="Cambria"/>
          <w:b w:val="false"/>
          <w:bCs w:val="false"/>
          <w:i w:val="false"/>
          <w:iCs w:val="false"/>
          <w:sz w:val="22"/>
          <w:szCs w:val="22"/>
        </w:rPr>
        <w:t>-Portal und lädst Nachweise zu Aufenthalt, Identität und gegebenenfalls Vorstrafen hoch. Danach folgen Staatskundetest und persönliches Interview, meist an einem Termin. Nach der Genehmigung lädt dich Home Affairs zur Pledge-Zeremonie ein, oft im Rahmen einer gemeinsamen Feier der Gemeinde mit mehreren anderen neuen Staatsbürgern. Erst danach beantragst du den australischen Reisepass separat beim Passport Office.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Australien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zuständigen deutschen Generalkonsulat vornehmen lassen, insbesondere wenn sie schon länger in Australien 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Reform musste, wer die deutsche Staatsangehörigkeit trotz einer Einbürgerung im Ausland behalten wollte, vorab eine Beibehaltungsgenehmigung beim Bundesverwaltungsamt beantragen – ein eigenes, oft langwieriges Verfahren mit Ermessensspielraum der Behörde. Seit dem 27. Juni 2024 entfällt dieser Schritt für alle künftigen Einbürgerungen ersatzlos: Die deutsche Staatsangehörigkeit bleibt automatisch erhalten, ganz ohne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geboren in Australien oder im Ausland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 vorausgesetzt, es hat die gesamten ersten zehn Lebensjahre gewöhnlich in Australien gelebt. Wird ein Kind im Ausland geboren, etwa bei einem Deutschlandbesuch, und ist ein Elternteil bereits australischer Staatsbürger, lässt sich die Staatsbürgerschaft über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registrieren (Gebühr 370 AUD für das erste Kind, 150 AUD je weiteres Geschwisterkind) – ohne diese Registrierung entsteht sie nicht automatisch. Die deutsche Seite bleibt davon unberührt: Ein Kind mit einem deutschen Elternteil ist unabhängig vom Geburtsort von Geburt an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die viele Auswanderer verunsichert, sobald sie zum ersten Mal davon hören: Die australische Finanzbehörde ATO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besteuert nach Steuerwohnsitz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nicht nach Staatsangehörigkeit.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 die genauen Kriterien wie der Wohnsitz- und der 183-Tage-Test sind ein eigenes, komplexes Thema und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rFonts w:eastAsia="Cambria" w:cs="Cambria"/>
          <w:b w:val="false"/>
          <w:bCs w:val="false"/>
          <w:i/>
          <w:iCs/>
          <w:sz w:val="22"/>
          <w:szCs w:val="22"/>
        </w:rPr>
        <w:t>Foreign Resident</w:t>
      </w:r>
      <w:r>
        <w:rPr>
          <w:rFonts w:eastAsia="Cambria" w:cs="Cambria"/>
          <w:b w:val="false"/>
          <w:bCs w:val="false"/>
          <w:i w:val="false"/>
          <w:iCs w:val="false"/>
          <w:sz w:val="22"/>
          <w:szCs w:val="22"/>
        </w:rPr>
        <w:t xml:space="preserve"> und zahlt nur noch auf australische Quelleneinkünfte Steuern – auch dann, wenn er weiterhin den australischen Pass besitzt.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als Tax Resident giltst, entscheidet die ATO anhand mehrerer Tests, von denen keiner allein ausschlaggebend ist: dem </w:t>
      </w:r>
      <w:r>
        <w:rPr>
          <w:rFonts w:eastAsia="Cambria" w:cs="Cambria"/>
          <w:b w:val="false"/>
          <w:bCs w:val="false"/>
          <w:i/>
          <w:iCs/>
          <w:sz w:val="22"/>
          <w:szCs w:val="22"/>
        </w:rPr>
        <w:t>Domicile Test</w:t>
      </w:r>
      <w:r>
        <w:rPr>
          <w:rFonts w:eastAsia="Cambria" w:cs="Cambria"/>
          <w:b w:val="false"/>
          <w:bCs w:val="false"/>
          <w:i w:val="false"/>
          <w:iCs w:val="false"/>
          <w:sz w:val="22"/>
          <w:szCs w:val="22"/>
        </w:rPr>
        <w:t xml:space="preserve"> (liegt dein rechtlicher Wohnsitz in Australien und hast du keinen dauerhaften Wohnsitz woanders aufgebaut), dem </w:t>
      </w:r>
      <w:r>
        <w:rPr>
          <w:rFonts w:eastAsia="Cambria" w:cs="Cambria"/>
          <w:b w:val="false"/>
          <w:bCs w:val="false"/>
          <w:i/>
          <w:iCs/>
          <w:sz w:val="22"/>
          <w:szCs w:val="22"/>
        </w:rPr>
        <w:t>183-Day Test</w:t>
      </w:r>
      <w:r>
        <w:rPr>
          <w:rFonts w:eastAsia="Cambria" w:cs="Cambria"/>
          <w:b w:val="false"/>
          <w:bCs w:val="false"/>
          <w:i w:val="false"/>
          <w:iCs w:val="false"/>
          <w:sz w:val="22"/>
          <w:szCs w:val="22"/>
        </w:rPr>
        <w:t xml:space="preserve"> (mehr als 183 Tage Aufenthalt innerhalb eines Steuerjahres) und, für Beschäftigte im öffentlichen Dienst, einem eigenen Test über die Mitgliedschaft im staatlichen Pensionssystem. In der Praxis reicht meist einer dieser Tests, um als Ansässiger zu gelten; die genauen Details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 das betrifft dann aber jeden, der die steuerliche Ansässigkeit beendet, unabhängig davon, ob er den Pass behält oder abgibt. Das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australische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wechselt nach ihrem Working-Holiday-Jahr über einen Arbeitgeber auf ein Skilled-Visum und gilt schon nach wenigen Monaten als australische Steuerresidentin – Jahre, bevor sie überhaupt die Voraussetzungen für einen Einbürgerungsantrag erfüllt. Als sie nebenbei noch kleinere Design-Aufträge für eine Hamburger Agentur übernimmt, ist sie zunächst überrascht, dass sie dieses deutsche Einkommen in ihrer australischen Steuererklärung angeben muss – ihr steuerlicher Wohnsitz, nicht ihre (noch deutsche) Staatsangehörigkeit entscheidet darüber. Das Doppelbesteuerungsabkommen zwischen Deutschland und Australien verhindert, dass sie am Ende doppelt zahlt, aber die Meldepflicht selbst bleibt bestehen, ganz unabhängig davon, ob sie später einmal den australischen Pass beantragt oder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unabhängige Abwesenheitsgrenzen sind leicht zu übersehen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eigenständiger Sprachtest, der Staatskundetest genügt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verlangt zusätzlich 100 % bei den Werte-Pflichtfragen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4</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bis zur Zeremonie kann 8 bis 13 Monate betragen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Test erleichtert älteren Einwanderern den Weg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 das betrifft dich unabhängig davon, ob du je einbürgern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Visum)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Residence Calculator genutzt, um beide Abwesenheitsgrenzen (12 Monate/4 Jahre und 90 Tage/letzte 12 Monate) zu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Beginn des PR-Status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Staatskundetest vorbereitet, insbesondere die fünf Pflichtfragen zu „Australian Values“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Vorstrafen und Ungereimtheiten zu früheren Visa-Angaben vollständig offengelegt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 by Descent rechtzeitig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Antragstellung ab 60 Jahren die Befreiung von Test und Sprachnachweis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Wartezeit bis zur Zeremonie (median acht, bis zu 13 Monate) in eigene Pläne eingerechnet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Einbürgerung vor dem 27. Juni 2024: eigenen Fall zur deutschen Staatsangehörigkeit beim Generalkonsulat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Foreign 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Deutsches Nebeneinkommen (Miete, Freelance-Aufträge, Kapitalerträge) auf australische Meldepflicht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20">
        <w:r>
          <w:rPr>
            <w:rStyle w:val="ListLabel113"/>
            <w:rFonts w:eastAsia="Cambria" w:cs="Cambria"/>
            <w:b w:val="false"/>
            <w:bCs w:val="false"/>
            <w:i w:val="false"/>
            <w:iCs w:val="false"/>
            <w:color w:val="0563C1"/>
            <w:sz w:val="22"/>
            <w:szCs w:val="22"/>
            <w:u w:val="single"/>
          </w:rPr>
          <w:t>homeaffairs.gov.au</w:t>
        </w:r>
      </w:hyperlink>
      <w:r>
        <w:rPr>
          <w:rFonts w:eastAsia="Cambria" w:cs="Cambria"/>
          <w:b w:val="false"/>
          <w:bCs w:val="false"/>
          <w:i w:val="false"/>
          <w:iCs w:val="false"/>
          <w:sz w:val="22"/>
          <w:szCs w:val="22"/>
        </w:rPr>
        <w:t xml:space="preserve"> – Citizenship by Conferral: Voraussetzungen, Test, Gebühren, Residence Calculator</w:t>
      </w:r>
    </w:p>
    <w:p>
      <w:pPr>
        <w:pStyle w:val="ListParagraph"/>
        <w:numPr>
          <w:ilvl w:val="0"/>
          <w:numId w:val="1"/>
        </w:numPr>
        <w:spacing w:lineRule="exact" w:line="288" w:before="0" w:after="60"/>
        <w:rPr/>
      </w:pPr>
      <w:hyperlink r:id="rId52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Your tax residency, Foreign and worldwide income</w:t>
      </w:r>
    </w:p>
    <w:p>
      <w:pPr>
        <w:pStyle w:val="ListParagraph"/>
        <w:numPr>
          <w:ilvl w:val="0"/>
          <w:numId w:val="1"/>
        </w:numPr>
        <w:spacing w:lineRule="exact" w:line="288" w:before="0" w:after="60"/>
        <w:rPr/>
      </w:pPr>
      <w:hyperlink r:id="rId52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523">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 xml:space="preserve"> / </w:t>
      </w:r>
      <w:hyperlink r:id="rId524">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Doppelte Staatsangehörigkeit, Beratung durch Auslandsvertretungen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(jährliche Anpassung jeweils zum 1. Juli), Bearbeitungs- und Wartezeiten bis zur Zeremonie sowie Detailfragen der Steuerresidenz-Tests. Prüfe vor jeder Entscheidung die aktuellen Seiten von Home Affairs und ATO.</w:t>
            </w:r>
          </w:p>
        </w:tc>
      </w:tr>
    </w:tbl>
    <w:p>
      <w:pPr>
        <w:sectPr>
          <w:footerReference w:type="even" r:id="rId525"/>
          <w:footerReference w:type="default" r:id="rId526"/>
          <w:footerReference w:type="first" r:id="rId52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36" w:name="__RefHeading___Toc56564_3457424410"/>
      <w:bookmarkEnd w:id="136"/>
      <w:r>
        <w:rPr>
          <w:rFonts w:eastAsia="Amazon Ember" w:cs="Amazon Ember" w:ascii="Amazon Ember" w:hAnsi="Amazon Ember"/>
          <w:b/>
          <w:bCs/>
          <w:color w:val="0000FF"/>
        </w:rPr>
        <w:t>TEIL KANADA — Nahe dran, trotzdem anders</w:t>
      </w:r>
    </w:p>
    <w:p>
      <w:pPr>
        <w:sectPr>
          <w:footerReference w:type="even" r:id="rId528"/>
          <w:footerReference w:type="default" r:id="rId529"/>
          <w:footerReference w:type="first" r:id="rId53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Kanada ist unter den vier Ländern dieses Buches am nächsten an Deutschland dran – und trotzdem ein eigenständiges System mit eigenen Provinzen, eigenem Winter und eigener Bürokratie. Dieser Teil begleitet Familie Ahrens und Lukas Berger durch Einwanderungswege, Alltag und die Frage, was echte Nähe zur Heimat am Ende wirklich wert ist.</w:t>
      </w:r>
      <w:r>
        <w:br w:type="page"/>
      </w:r>
    </w:p>
    <w:p>
      <w:pPr>
        <w:pStyle w:val="Heading2"/>
        <w:keepNext w:val="true"/>
        <w:spacing w:lineRule="exact" w:line="340" w:before="0" w:after="300"/>
        <w:jc w:val="center"/>
        <w:rPr/>
      </w:pPr>
      <w:bookmarkStart w:id="137" w:name="__RefHeading___Toc56566_3457424410"/>
      <w:bookmarkStart w:id="138" w:name="tka01"/>
      <w:bookmarkEnd w:id="137"/>
      <w:r>
        <w:rPr>
          <w:rFonts w:eastAsia="Amazon Ember" w:cs="Amazon Ember" w:ascii="Amazon Ember" w:hAnsi="Amazon Ember"/>
          <w:b/>
          <w:bCs/>
          <w:color w:val="0000FF"/>
          <w:sz w:val="36"/>
          <w:szCs w:val="36"/>
        </w:rPr>
        <w:t>Kanada: Die ehrliche Bilanz</w:t>
      </w:r>
      <w:bookmarkEnd w:id="13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Ahrens’ in Leipzig liegt ein Ausdruck der Express-Entry-Punkterechnung, daneben ein Vergleichsangebot für eine Softwarearchitekten-Stelle in Toronto. Markus, 40, hat seinen Comprehensive-Ranking-System-Score mehrfach nachgerechnet: komfortabel über den aktuellen Einladungsgrenzen. Julia, 37, Apothekerin, hat parallel das kanadische Bruttogehalt neben ihre heutige Leipziger Abrechnung gelegt – und war zunächst geblendet von der großen Zahl aus Toronto. Erst der zweite Blick auf Steuerstaffel, Provinzsteuer und Verbrauchssteuer zeigte, was am Ende tatsächlich übrig bleibt. Genau diesen zweiten Blick liefert dieses Kapitel – zusammen mit allem, was sich nicht in kanadischen Dollar messen lässt.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Kanada bei rund 32,0 % (Durchschnittsverdiener, 2024), Deutschland bei rund 49,3 % (2025) – aber die Provinz entscheidet mit: Ontario und Alberta liegen beim kombinierten Spitzensteuersatz mehr als 15 Prozentpunkte auseinander.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liegen bei den Lebenshaltungskosten laut Numbeo unter München und leicht unter Berlin – der kanadische Landesdurchschnitt liegt spürbar unter dem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Gesundheitsversorgung ist überall in Kanada öffentlich und universell, aber provinziell organisiert: Ontario kennt keine Wartefrist für Neuankömmlinge, British Columbia und Québec verlangen rund drei Monate ohne Deckung.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Canada Pension Plan (CPP) ersetzt die gesetzliche Rente nur teilweise: 5,95 % vom Bruttolohn zahlt jede Seite, gedeckelt auf ein Jahreseinkommen von 74.600 CAD – deutlich schlanker als das deutsche Umlagesystem.</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Eine vierköpfige Familie zahlt für die permanente Aufenthaltserlaubnis über Express Entry schnell über 3.700 CAD an reinen Behördengebühren, bevor der erste Lohn fließt.</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überzeugt Kanada mit der Nähe zu Deutschland: Toronto ist in rund acht Stunden erreichbar, ohne die extreme Zeitverschiebung, die Australien oder Neuseeland mit sich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die Rolle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lag für einen kinderlosen Durchschnittsverdiener 2024 in Kanada bei 32,0 %, in Deutschland 2025 bei 49,3 %. Der Abstand ist real – aber die 32,0 % sind ein Landesdurchschnitt, der die großen Unterschiede zwischen den Provinzen verdeckt.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Bundessteuer (</w:t>
      </w:r>
      <w:r>
        <w:rPr>
          <w:rFonts w:eastAsia="Cambria" w:cs="Cambria"/>
          <w:b w:val="false"/>
          <w:bCs w:val="false"/>
          <w:i/>
          <w:iCs/>
          <w:sz w:val="22"/>
          <w:szCs w:val="22"/>
        </w:rPr>
        <w:t>Federal Tax</w:t>
      </w:r>
      <w:r>
        <w:rPr>
          <w:rFonts w:eastAsia="Cambria" w:cs="Cambria"/>
          <w:b w:val="false"/>
          <w:bCs w:val="false"/>
          <w:i w:val="false"/>
          <w:iCs w:val="false"/>
          <w:sz w:val="22"/>
          <w:szCs w:val="22"/>
        </w:rPr>
        <w:t>) ist für alle Kanadier gleich: 2026 gilt ein Stufentarif von 14 % bis 58.523 CAD, 20,5 % bis 117.045 CAD, 26 % bis 181.440 CAD, 29 % bis 258.482 CAD und 33 % darüber, mit einem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von 16.452 CAD. Darauf kommt die Provinzsteuer, und hier beginnt die eigentliche Standortfrage. Ontario, wo Familie Ahrens hinzieht, staffelt von 5,05 % bis 53.891 CAD bis 13,16 % über 220.000 CAD – und verlangt zusätzlich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von 20 % auf die Ontario-Steuer über 5.818 CAD, weitere 36 % über 7.446 CAD. British Columbia reicht von 5,60 % bis 20,50 % über 265.545 CAD. Alberta, Lukas Bergers Ziel, erhebt keine eigene Verkaufssteuer und liegt bei der Provinzsteuer spürbar niedriger; der kombinierte Spitzensteuersatz aus Bund und Provinz reicht dadurch von etwa 36 % in Alberta bis über 53 % in Ontario oder Québec bei sehr hohen Einkommen.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zweite, oft übersehene Ebene ist die Verbrauchssteuer.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die kanadische Mehrwertsteuer) liegt einheitlich bei 5 %. Fünf Provinzen erheben daneben eine harmonisierte Steuer (HST), die beides zusammenfasst – Ontario 13 %, Neubraunschweig, Neufundland &amp; Labrador und Prince Edward Island je 15 %, Nova Scotia 14 % –, andere verlangen GST plus separate Provinzsteuer: British Columbia 12 % (5 % GST + 7 % PST), Manitoba ebenfalls 12 %, Saskatchewan 11 %, Québec sogar 14,975 %. Alberta gehört neben den drei Territorien zu den wenigen Gebieten mit ausschließlich der 5 % GST, ganz ohne Provinzsteuer auf Einkäufe. Wer zwischen Toronto und Calgary wählt, zahlt also nicht nur bei der Einkommensteuer, sondern bei jedem Einkauf einen merklich unterschiedlichen Aufschlag.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Steuersätze oben gelten für steuerlich Ansässige. Kanada besteuert nach Wohnsitz (</w:t>
            </w:r>
            <w:r>
              <w:rPr>
                <w:rFonts w:eastAsia="Cambria" w:cs="Cambria"/>
                <w:b w:val="false"/>
                <w:bCs w:val="false"/>
                <w:i/>
                <w:iCs/>
                <w:sz w:val="20"/>
                <w:szCs w:val="20"/>
              </w:rPr>
              <w:t>Residency</w:t>
            </w:r>
            <w:r>
              <w:rPr>
                <w:rFonts w:eastAsia="Cambria" w:cs="Cambria"/>
                <w:b w:val="false"/>
                <w:bCs w:val="false"/>
                <w:i w:val="false"/>
                <w:iCs w:val="false"/>
                <w:sz w:val="20"/>
                <w:szCs w:val="20"/>
              </w:rPr>
              <w:t>),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Neuankömmling verpasst, verschenkt unter anderem den Anspruch auf die Verbrauchssteuer-Gutschrift.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Toronto und Vancouver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Toronto und Vancouver mit je 67,5 Punkten (Miete: Toronto 55,5, Vancouver 58,8) unter München (76,1, Miete 62,4) und leicht unter Berlin (70,0, Miete 54,9). Im Länderdurchschnitt liegt Kanada insgesamt bei 61,3 Punkten (Miete 46,6), Deutschland bei 68,0 (Miete 47,0). Kurz gesagt: Wer aus einer deutschen Großstadt kommt, erlebt in Toronto oder Vancouver in der Regel keinen Kaufkraftschock nach oben – die kanadischen Städte liegen im Index sogar unter dem deutschen 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 Durchschnittszahl verdeckt allerdings, wie ungleich Wohnraum in beiden Städten verteilt ist. Der Mietindex bildet laufende Mieten ab, nicht die Kaufpreise für Eigentum – und Eigentum ist in Toronto und vor allem in Vancouver traditionell teurer, als der Mietvergleich vermuten lässt. Wer kaufen statt mieten will, sollte das getrennt recherchieren;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geht darauf im Detail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Numbeo-Index vergleicht Ausgabenniveaus, nicht Kaufkraft nach Steuern. Die eigentliche Bilanz ergibt sich erst, wenn du das kanadische Nettogehalt – nach Bundes-, Provinz- und Verbrauchssteuer – den kanadischen Lebenshaltungskosten gegenüberstellst, nicht das Bruttogehalt den deutschen Ausgaben.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ein Rahmengesetz, dreizehn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Kanada habe, ähnlich wie Großbritannien mit seinem staatlichen Gesundheitsdienst, ein einziges nationales Gesundheitssystem. Tatsächlich schreibt 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(das Rahmengesetz für die öffentliche Gesundheitsversorgung) nur Mindeststandards vor –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außerhalb des Krankenhauses, Sehhilfen und Physiotherapie sind so gut wie nirgends automatisch mitversichert.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 in British Columbia konkret: den Rest des Ankunftsmonats plus zwei weitere volle Kalendermonate. Auch Manitoba und Neufundland &amp; Labrador sollen laut Sekundärquellen eine Wartefrist kennen, während Alberta und Saskatchewan als praktisch wartefristfrei gelten – Details, die du vor dem Umzug direkt bei der jeweiligen Provinz bestätigen solltest, da sie sich ändern können und hier nicht für jede Provinz einzeln primärquellen-geprüft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nach British Columbia oder Québec zieht, sollte für die Wartezeit eine private Übergangskrankenversicherung abschließen – Kostenrahmen grob 100 bis 200 CAD pro Person und Monat, je nach Anbieter und Deckungsumfang. Ein Unfall oder eine Diagnose in dieser Lücke kann sonst schnell mehrere Tausend CAD kosten, die keine Provinz übernimmt.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der als Öl- und Gasingenieur nach Calgary, Alberta zieht, bedeutet das nach den verfügbaren Quellen so gut wie keine Wartezeit; für Familie Ahrens in Ontario gilt dasselbe. Wer dagegen in eine Provinz mit Wartefrist zieht, sollte die Übergangsversicherung von Anfang an ins Budget einplanen – ein Punkt, der in den ersten, ohnehin teuren Wochen leicht untergeht.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Canada Pension Plan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kennt keine umlagefinanzierte Rentenversicherung nach deutschem Vorbild, sondern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bundesweite gesetzliche Altersvorsorge – Québec betreibt mit dem </w:t>
      </w:r>
      <w:r>
        <w:rPr>
          <w:rFonts w:eastAsia="Cambria" w:cs="Cambria"/>
          <w:b w:val="false"/>
          <w:bCs w:val="false"/>
          <w:i/>
          <w:iCs/>
          <w:sz w:val="22"/>
          <w:szCs w:val="22"/>
        </w:rPr>
        <w:t>Québec Pension Plan</w:t>
      </w:r>
      <w:r>
        <w:rPr>
          <w:rFonts w:eastAsia="Cambria" w:cs="Cambria"/>
          <w:b w:val="false"/>
          <w:bCs w:val="false"/>
          <w:i w:val="false"/>
          <w:iCs w:val="false"/>
          <w:sz w:val="22"/>
          <w:szCs w:val="22"/>
        </w:rPr>
        <w:t xml:space="preserve"> ein eigenes, paralleles System). Arbeitnehmer und Arbeitgeber zahlen 2026 je 5,95 % des Bruttolohns bis zu einer Beitragsbemessungsgrenze (</w:t>
      </w:r>
      <w:r>
        <w:rPr>
          <w:rFonts w:eastAsia="Cambria" w:cs="Cambria"/>
          <w:b w:val="false"/>
          <w:bCs w:val="false"/>
          <w:i/>
          <w:iCs/>
          <w:sz w:val="22"/>
          <w:szCs w:val="22"/>
        </w:rPr>
        <w:t>Year’s Maximum Pensionable Earnings</w:t>
      </w:r>
      <w:r>
        <w:rPr>
          <w:rFonts w:eastAsia="Cambria" w:cs="Cambria"/>
          <w:b w:val="false"/>
          <w:bCs w:val="false"/>
          <w:i w:val="false"/>
          <w:iCs w:val="false"/>
          <w:sz w:val="22"/>
          <w:szCs w:val="22"/>
        </w:rPr>
        <w:t>, YMPE) von 74.600 CAD, abzüglich eines Grundfreibetrags von 3.500 CAD – macht maximal 4.230,45 CAD je Seite. Seit einigen Jahren kommt eine zweite Stufe hinzu, CPP2: zusätzlich 4 % auf Einkommen zwischen der YMPE und einer zweiten Grenze (</w:t>
      </w:r>
      <w:r>
        <w:rPr>
          <w:rFonts w:eastAsia="Cambria" w:cs="Cambria"/>
          <w:b w:val="false"/>
          <w:bCs w:val="false"/>
          <w:i/>
          <w:iCs/>
          <w:sz w:val="22"/>
          <w:szCs w:val="22"/>
        </w:rPr>
        <w:t>Year’s Additional Maximum Pensionable Earnings</w:t>
      </w:r>
      <w:r>
        <w:rPr>
          <w:rFonts w:eastAsia="Cambria" w:cs="Cambria"/>
          <w:b w:val="false"/>
          <w:bCs w:val="false"/>
          <w:i w:val="false"/>
          <w:iCs w:val="false"/>
          <w:sz w:val="22"/>
          <w:szCs w:val="22"/>
        </w:rPr>
        <w:t>, YAMPE) von 85.000 CAD, maximal 416 CAD je Seite. Wer selbstständig ist, zahlt beide Anteile allein – 11,9 % plus 8 % CPP2.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w:t>
      </w:r>
      <w:r>
        <w:rPr>
          <w:rFonts w:eastAsia="Cambria" w:cs="Cambria"/>
          <w:b w:val="false"/>
          <w:bCs w:val="false"/>
          <w:i/>
          <w:iCs/>
          <w:sz w:val="22"/>
          <w:szCs w:val="22"/>
        </w:rPr>
        <w:t>Registered Retirement Savings Plan</w:t>
      </w:r>
      <w:r>
        <w:rPr>
          <w:rFonts w:eastAsia="Cambria" w:cs="Cambria"/>
          <w:b w:val="false"/>
          <w:bCs w:val="false"/>
          <w:i w:val="false"/>
          <w:iCs w:val="false"/>
          <w:sz w:val="22"/>
          <w:szCs w:val="22"/>
        </w:rPr>
        <w:t xml:space="preserve"> (RRSP, ein steuerbegünstigtes individuelles Vorsorgekonto) oder einen betrieblichen Pensionsplan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CPP ist kein Ersatz für die deutsche Rente, sondern eine schlankere Ergänzung dazu. Ob und wie sich Beitragszeiten in Kanada und Deutschland gegenseitig anrechnen lassen, regelt ein eigenes Sozialversicherungsabkommen zwischen beiden Ländern – Details dazu stehen im Universal-Kapitel zu Steuern, Rente und Geld.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Australiens </w:t>
      </w:r>
      <w:r>
        <w:rPr>
          <w:rFonts w:eastAsia="Cambria" w:cs="Cambria"/>
          <w:b w:val="false"/>
          <w:bCs w:val="false"/>
          <w:i/>
          <w:iCs/>
          <w:sz w:val="22"/>
          <w:szCs w:val="22"/>
        </w:rPr>
        <w:t>Superannuation</w:t>
      </w:r>
      <w:r>
        <w:rPr>
          <w:rFonts w:eastAsia="Cambria" w:cs="Cambria"/>
          <w:b w:val="false"/>
          <w:bCs w:val="false"/>
          <w:i w:val="false"/>
          <w:iCs w:val="false"/>
          <w:sz w:val="22"/>
          <w:szCs w:val="22"/>
        </w:rPr>
        <w:t>: Der CPP wird unabhängig vom Aufenthaltsstatus für jede Beschäftigung in Kanada fällig – auch Lukas Berger zahlt als befristeter Work-Permit-Inhaber von der ersten Gehaltsabrechnung an ein. Anders als bei der australischen Superannuation gibt es beim CPP keine Möglichkeit und keine Notwendigkeit, sich das Guthaben bei einer Ausreise vorzeitig und mit hohem Steuerabzug auszahlen zu lassen: Die Rente bleibt bis zum gesetzlichen Rentenalter im System. Die genauen Regeln zur späteren Auszahlung aus dem Ausland sind hier nicht vertieft.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auch Kanada Vorleistungen – wie hoch, hängt stark vom gewählten Weg ab. Für den Weg über Express Entry, wie ihn Familie Ahrens plant, fallen bei der Antragstellung auf die permanente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PR) 1.590 CAD für den Hauptantragsteller an (darin bereits enthalten: 600 CAD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die eigentliche Gebühr für den unbefristeten Status), weitere 1.590 CAD für den mitreisenden Partner und je 270 CAD pro unterhaltsberechtigtem Kind. Für die vierköpfige Familie Ahrens kommen so allein an PR-Gebühren rund 3.720 CAD zusammen, dazu Biometrie (85 CAD pro Person, Familien-Höchstbetrag 170 CAD), Sprachtest, Bildungsanerkennung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und Führungszeugnisse – die konkreten Kosten dafür schwanken je Anbieter und sind hier nicht beziffert.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stattdessen wie Lukas Berger über ein arbeitgebergesponsertes, LMIA-pflichtiges Arbeitsvisum einreist, trägt persönlich deutlich weniger: Das Arbeitsvisum selbst kostet 155 CAD, dazu 85 CAD Biometrie. Die eigentliche Hürde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mit dem ein kanadischer Arbeitgeber nachweist, dass keine geeigneten kanadischen oder bereits ansässigen Bewerber verfügbar sind) – kostet 1.000 CAD pro Stelle und wird vom Arbeitgeber getragen, nicht vom Antragsteller. Von außerhalb Kanadas beantragt, dauert ein LMIA-basiertes Arbeitsvisum nach Kanzleiangaben insgesamt rund 7 bis 13 Wochen bis zur Erteilung – Zeit, die sich für Wohnungssuche und Umzugsplanung nutzen lässt, aber auch bedeutet, dass zwischen Jobzusage und Einreise mehrere Monate liegen können. Der Preis für die niedrigeren Vorabkosten ist Bindung: Das Arbeitsvisum ist an den sponsernden Betrieb gekoppelt, nicht frei übertragbar, und die permanente Aufenthaltserlaubnis ist damit noch nicht erreicht – wie der Weg von einem befristeten Arbeitsvisum zur PR führt, zeigt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rechnete vor der Entscheidung genau nach. Markus’ CRS-Score lag komfortabel über den Einladungsgrenzen der vergangenen Runden – realistisch für einen Softwarearchitekten mit mehrjähriger Erfahrung und gutem Englisch. An PR-Gebühren, Biometrie, Sprachtest und Bildungsanerkennung für die ganze Familie kamen dennoch mehrere Tausend CAD zusammen, bevor der erste kanadische Gehaltseingang überhaupt existierte. Der Vorteil auf der Habenseite: Als Inhaber der permanenten Aufenthaltserlaubnis waren Markus, Julia, Finn und Mia ab dem Tag der Einreise voll bei OHIP versichert und nicht an einen einzelnen Arbeitgeber gebunden.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CAD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Verglichen mit Australien oder Neuseeland ist der größte Pluspunkt Kanadas schnell benannt: die Entfernung. Toronto ist von Frankfurt aus in rund acht Stunden erreichbar, Vancouver in rund zehneinhalb Stunden über etwa 8.050 Kilometer Luftlinie – beides mit Direktflugverbindungen, wie sie Sydney oder Auckland von Deutschland aus nicht bieten. Die Zeitverschiebung liegt, ähnlich wie bei den USA, bei rund sechs Stunden an der Ostküste bis neun Stunden an der Westküste – spürbar, aber ohne die fast vollständige Tag-Nacht-Umkehr, mit der sich Auswanderer nach Neuseeland arrangieren müssen. Ein Wochenendbesuch bei den Eltern in Deutschland ist von Toronto aus anstrengend, aber machbar; von Sydney aus ist er praktisch ausgeschlossen.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Kanada lebten 2021 rund 126.500 Personen mit deutscher Staatsangehörigkeit oder Herkunft, dazu fast 3 Millionen Menschen mit ganzer oder teilweiser deutscher Abstammung über mehrere Generationen – eine der größeren deutschstämmigen Communitys unter den vier Zielländern dieses Buches. Was diese Zahlen nicht zeigen: kanadische Winter. Wer aus Deutschland kommt, unterschätzt regelmäßig, wie lang und wie kalt die kalte Jahreszeit in weiten Teilen Kanadas ausfällt – ein Faktor, der sich in keiner Steuertabelle niederschlägt, aber jeden Alltag mehrere Monate im Jahr prägt.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Sowohl Deutschland als auch Kanada erlauben die doppelte Staatsangehörigkeit ausdrücklich: Seit der deutschen Reform vom 27. Juni 2024 führt eine kanadische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kanadischen Rechnung, wer einen guten CRS-Score mitbringt – gutes Englisch oder Französisch, einen anerkennungsfähigen Abschluss, einige Jahre Berufserfahrung – und Wert auf einen von Anfang an unbefristeten Status legt. Anders als Australiens Punktetest kennt das CRS keine feste Alters-Ausschlussgrenze, aber die Alterspunkte sinken mit steigendem Alter erheblich; wer weit jenseits der 40 ist, sollte das bei der eigenen Punkterechnung realistisch einkalkulieren, nicht erst nach dem ECA-Antrag entdecken.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seinen Weg nicht über Punkte, sondern über ein Jobangebot: Ein Unternehmen in Calgary erklärte sich bereit, ihn über ein LMIA-pflichtiges Arbeitsvisum zu sponsern. Die niedrigeren persönlichen Vorabkosten – keine PR-Gebühren, nur Visum und Biometrie – überzeugten ihn zunächst. Erst mit der ersten Gehaltsabrechnung wurde ihm klar, wie sehr die Provinzwahl mitentscheidet: keine Verkaufssteuer auf Einkäufe, eine niedrigere Provinzsteuer als in Ontario – ein Vorteil, der die Bindung an seinen einzelnen Arbeitgeber für ihn aufwog, zumindest für die ersten Jahre bis zu einer möglichen permanenten Aufenthaltserlaubnis.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auf schnelle, spontane Familienbesuche angewiesen sind – auch wenn Kanada hier merklich besser abschneidet als Australien oder Neuseeland –,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Wahl der Provinz sollte zur eigenen Lebensplanung passen, nicht nur zum Jobangebot. Wer wie Familie Ahrens eine hohe Steuerlast gegen kürzere Wege, eine etablierte deutsche Community und ein mildes Klima im Süden Ontarios eintauscht, zieht eine andere Bilanz als jemand, der wie Lukas Berger eine niedrigere Steuerlast in Alberta gegen härtere Winter und größere Distanzen zu den nächsten Großstädten abwägt. Keine der beiden Rechnungen ist grundsätzlich richtiger – wichtig ist nur, sie vor dem Umzug bewusst und mit den eigenen Prioritäten zu führen, nicht erst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Deutschland (32,0 % vs. 49,3 %)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hängt stark von der gewählten Provinz ab</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 und Vancouver bei Lebenshaltungskosten unter München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Immobilienkaufpreise liegen über dem Mietindex</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Universelles Gesundheitssystem, in mehreren Provinzen ohne Wartefrist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British Columbia und Québec rund drei Monate Deckungslücke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gilt ab dem ersten Gehalt, unabhängig vom Aufenthaltsstatus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ersetzt die deutsche Rente nur teilweise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erleichtern Familienbesuche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Vorlaufkosten von mehreren Tausend CAD schon vor dem ersten Gehalt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kalte Winter in weiten Teilen des Landes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 nicht mit dem Bruttogehalt. Kläre parallel, welche Provinz überhaupt zu deinem Berufsfeld passt;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Einwanderungswege im Detail, das Kapitel zum Wohnen die Unterschiede zwischen den Städten. Und plane die Vorlaufkosten – PR-Gebühren oder Visum, Sprachtest, Bildungsanerkennung,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Bundes- und Provinzsteuerstaffel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Verbrauchssteuer der Zielprovinz (GST allein oder GST plus HST/PST) in die Alltagsrechnung einbezogen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welche Provinz oder Provinzen für den eigenen Beruf und Lebensstil infrage kommen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provinziellen Krankenversicherung am Zielort geklärt, ggf. private Übergangsversicherung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Vorlaufkosten für PR-Antrag oder Arbeitsvisum, Sprachtest und Bildungsanerkennung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der CPP im Vergleich zur deutschen Rente einzuordnen ist und ob zusätzliche private Vorsorge sinnvoll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Einkommensteuersätze Bund und CPP-Beitragssätze (</w:t>
      </w:r>
      <w:hyperlink r:id="rId531">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Einkommensteuersätze und MSP-Wartefrist (</w:t>
      </w:r>
      <w:hyperlink r:id="rId53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533">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Ontario-Steuersätze und Verkaufssteuern je Provinz (</w:t>
      </w:r>
      <w:hyperlink r:id="rId534">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Permanent Residence, Arbeitsvisum und Biometrie (</w:t>
      </w:r>
      <w:hyperlink r:id="rId535">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53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537">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canada.ca und der Website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9" w:name="__RefHeading___Toc56568_3457424410"/>
      <w:bookmarkStart w:id="140" w:name="tka02"/>
      <w:bookmarkEnd w:id="139"/>
      <w:r>
        <w:rPr>
          <w:rFonts w:eastAsia="Amazon Ember" w:cs="Amazon Ember" w:ascii="Amazon Ember" w:hAnsi="Amazon Ember"/>
          <w:b/>
          <w:bCs/>
          <w:color w:val="0000FF"/>
          <w:sz w:val="36"/>
          <w:szCs w:val="36"/>
        </w:rPr>
        <w:t>Kanada: Wege der Einwanderung</w:t>
      </w:r>
      <w:bookmarkEnd w:id="140"/>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Einwanderungsseiten von Immigration, Refugees and Citizenship Canada (IRCC, die kanadische Einwanderungsbehörde) durchklickt, findet kein einzelnes Formular, sondern ein ganzes System aus Programmen: Express Entry mit drei Unterprogrammen, dreizehn Provincial Nominee Programs, Study Permits, Arbeitsvisa mit und ohne Arbeitsmarkttest. Familie Ahrens aus Leipzig fand ihren Weg über die Punkterechnung von Express Entry; Lukas Berger aus Hannover kam über ein einzelnes Jobangebot ins Land, ganz ohne Punktetest. Beide werden – oder wurden – Kanadier auf Zeit oder auf Dauer,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öffnet sich für Deutsche vor allem über zwei Prinzipien: das bundesweite Punktesystem Express Entry (FSW, CEC, FST) und die Provincial Nominee Programs (PNP) der einzelnen Provinzen – daneben das Arbeitgeber-Sponsoring über ein Arbeitsvisum.</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Arbeitsvisa teilen sich in zwei Schienen: LMIA-pflichtig (der Arbeitgeber muss einen Arbeitsmarkttest bestehen) und LMIA-frei (mehr als 50 Ausnahmekategorien, etwa konzerninterne Transfers oder Handelsabkommen).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Study Permit mit anschließendem Post-Graduation Work Permit (PGWP) ist selbst kein Daueraufenthaltsweg, aber für viele der Umweg, über den die Canadian Experience Class oder ein Arbeitgeber-Sponsoring erst erreichbar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neue Anträge pausiert.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Sprachniveau, Berufserfahrung, vorhandenem Jobangebot und der Frage, wie viel Bindung an einen einzelnen Arbeitgeber du in Kauf nehmen willst.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Systeme nebeneinander: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System für befristete Arbeit trennt sich grundsätzlich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arbeitsmarktgeprüfte Programm)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durch Employment and Social Development Canada, ESDC) – den Nachweis, dass keine Kanadier oder bereits ansässigen Personen für die Stelle verfügbar sind.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IRCC stellt das Arbeitsvisum dann direkt aus, ohne ESDC-Beteiligung.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Daueraufenthalt gilt eine zweite, davon unabhängige Unterscheidung: das bundesweite Punktesystem Express Entry gegenüber den Provincial Nominee Programs (PNP). Bei Express Entry bewirbst du dich selbst, ohne dass zwingend ein Arbeitgeber zusagen muss – du brauchst einen ausreichenden Punktestand im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FSW, CEC und FST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Express Entry verwaltet drei Bundesprogramme über dieselbe Plattform und dieselbe CRS-Punkteskala.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die allgemeine Facharbeitereinwanderung ohne Kanada-Bezug) verlangt mindestens ein Jahr durchgehende Berufserfahrung in den letzten zehn Jahren,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eine anerkannte 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für ausländische Abschlüsse) und zusätzlich mindestens 67 von 100 Punkten in einem eigenen, vom CRS getrennten Zulassungsraster (Sprache, Bildung, Berufserfahrung, Alter, Jobangebot, Anpassungsfähigkeit).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richtet sich dagegen an alle, die bereits mindestens ein Jahr qualifiziert in Kanada gearbeitet haben – etwa nach einem Studium mit anschließendem PGWP –, mit niedrigerem Sprachminimum (CLB 7 beziehungsweise 5, je nach Berufskategorie) und ohne ECA-Pflicht. Der </w:t>
      </w:r>
      <w:r>
        <w:rPr>
          <w:rFonts w:eastAsia="Cambria" w:cs="Cambria"/>
          <w:b w:val="false"/>
          <w:bCs w:val="false"/>
          <w:i/>
          <w:iCs/>
          <w:sz w:val="22"/>
          <w:szCs w:val="22"/>
        </w:rPr>
        <w:t>Federal Skilled Trades</w:t>
      </w:r>
      <w:r>
        <w:rPr>
          <w:rFonts w:eastAsia="Cambria" w:cs="Cambria"/>
          <w:b w:val="false"/>
          <w:bCs w:val="false"/>
          <w:i w:val="false"/>
          <w:iCs w:val="false"/>
          <w:sz w:val="22"/>
          <w:szCs w:val="22"/>
        </w:rPr>
        <w:t>-Weg (FST) schließlich richtet sich an Handwerksberufe mit Jobangebot oder kanadischem Qualifikationszertifikat.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Eignungshürde nimmt, wird in den Bewerberpool aufgenommen und nach CRS-Score gerankt – maximal erreichbar sind 1.200 Punkte, verteilt auf Kernfaktoren wie Alter, Ausbildung, Sprachtest und Berufserfahrung sowie Zusatzfaktoren wie eine PNP-Nominierung oder einen kanadischen Studienabschluss. Bei ausreichendem Score folgt eine Einladung zur Antragstellung (</w:t>
      </w:r>
      <w:r>
        <w:rPr>
          <w:rFonts w:eastAsia="Cambria" w:cs="Cambria"/>
          <w:b w:val="false"/>
          <w:bCs w:val="false"/>
          <w:i/>
          <w:iCs/>
          <w:sz w:val="22"/>
          <w:szCs w:val="22"/>
        </w:rPr>
        <w:t>Invitation to Apply</w:t>
      </w:r>
      <w:r>
        <w:rPr>
          <w:rFonts w:eastAsia="Cambria" w:cs="Cambria"/>
          <w:b w:val="false"/>
          <w:bCs w:val="false"/>
          <w:i w:val="false"/>
          <w:iCs w:val="false"/>
          <w:sz w:val="22"/>
          <w:szCs w:val="22"/>
        </w:rPr>
        <w:t>,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 bei denen die Cutoffs teils deutlich niedriger liegen: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25. März 2025 bringt ein bestehendes Jobangebot im CRS keine Zusatzpunkte mehr – eine Änderung, die viele ältere Ratgeber im Internet noch nicht nachvollzogen haben. Ein Jobangebot bleibt wertvoll, weil es oft den Weg über die Canadian Experience Class oder ein Arbeitgeber-Sponsoring eröffnet, hebt aber den CRS-Score selbst nicht mehr an.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CRS ist kein Ja-Nein-Filter, sondern eine laufende Rangliste im Bewerberpool. Ein hoher Score erhöht die Chance auf eine Einladung, garantiert sie aber nicht – und die Cutoffs schwanken von Runde zu Runde, je nachdem, wie viele Profile mit welchem Score gerade im Pool 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aus Leipzig prüfte vor der Entscheidung den Federal-Skilled-Worker-Weg. Markus, Softwarearchitekt mit mehrjähriger Erfahrung und einem guten Englischtestergebnis, kam über das 67-Punkte-Zulassungsraster hinweg und erreichte im CRS einen Score, der bei den meisten allgemeinen Runden 2026 komfortabel über der Einladungsgrenze lag. Dass Julia als Apothekerin zusätzliche Punkte für Bildung und Anpassungsfähigkeit beisteuerte, machte den Unterschied zwischen einem knappen und einem sicheren Score. Anders als beim australischen Punktetest mussten die Ahrens keine Wohnsitzbindung an eine bestimmte Provinz eingehen – der Federal-Skilled-Worker-Weg erlaubt freie Wohnortwahl in ganz Kanada, sobald die Aufenthaltserlaubnis erteilt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Provincial Nominee Program: Einwanderung über die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im CRS knapp unter den Bundes-Cutoffs liegt oder einen konkreten regionalen Bezug hat, findet im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 xml:space="preserve"> (PNP) oft den schnelleren Weg. Jede Provinz und jedes Territorium außer Québec, das mit </w:t>
      </w:r>
      <w:r>
        <w:rPr>
          <w:rFonts w:eastAsia="Cambria" w:cs="Cambria"/>
          <w:b w:val="false"/>
          <w:bCs w:val="false"/>
          <w:i/>
          <w:iCs/>
          <w:sz w:val="22"/>
          <w:szCs w:val="22"/>
        </w:rPr>
        <w:t>Arrima</w:t>
      </w:r>
      <w:r>
        <w:rPr>
          <w:rFonts w:eastAsia="Cambria" w:cs="Cambria"/>
          <w:b w:val="false"/>
          <w:bCs w:val="false"/>
          <w:i w:val="false"/>
          <w:iCs w:val="false"/>
          <w:sz w:val="22"/>
          <w:szCs w:val="22"/>
        </w:rPr>
        <w:t xml:space="preserve">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gegenüber dem vorherigen Planungsstand – das PNP ist damit der zweitgrößte Wirtschaftskanal nach den Bundesprogrammen.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Ausgestaltung unterscheidet sich stark. Ontario (OINP) hat sein System 2026 vereinfacht und acht frühere Programmlinien durch einen neuen, arbeitgebergeführten Weg ersetzt; die Antragsgebühr liegt bei 1.500 CAD, ein Express-Entry-verknüpfter Fall kostet inklusive Bundesgebühren insgesamt rund 3.175 CAD, bevor Sprachtest, Bildungsanerkennung und Führungszeugnisse überhaupt eingerechnet sind. British Columbia (BC PNP) erhöhte seine Antragsgebühr zum 22. Januar 2026 auf 1.750 CAD, für einzelne Ströme wie Gesundheitsberufe auf bis zu 2.000 CAD. Alberta (AAIP), Manitoba (MPNP), Saskatchewan (SINP) und die Atlantikprovinzen betreiben eigene, teils Express-Entry-verknüpfte, teils eigenständige Ströme mit jeweils eigenen Zielberufslisten und eigenen Fristen – wer eine bestimmte Provinz ins Auge fasst, sollte deren aktuelles Programm gezielt und einzeln prüfen, da sich die Details laufend ändern und in diesem Überblick nicht erschöpfend behandelt werden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PNP-Nominierung bindet dich in aller Regel an eine Wohnsitzpflicht in der nominierenden Provinz, meist für die ersten Jahre. Wer diese Bindung nicht will, sollte prüfen, ob der eigene Score auch ohne Nominierung für eine Bundes-Einladung reicht.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LMIA-pflichtig und LMIA-frei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Lukas Berger ein konkretes Jobangebot hat, kann den Punktetest ganz umgehen. Beim LMIA-pflichtigen Weg über das TFWP muss der kanadische Arbeitgeber zunächst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bestehen – Kosten 1.000 CAD pro Stelle, vom Arbeitgeber zu tragen, nicht auf den Arbeitnehmer abwälzbar. Die Bearbeitungsdauer schwankt stark je nach Kategorie: Der </w:t>
      </w:r>
      <w:r>
        <w:rPr>
          <w:rFonts w:eastAsia="Cambria" w:cs="Cambria"/>
          <w:b w:val="false"/>
          <w:bCs w:val="false"/>
          <w:i/>
          <w:iCs/>
          <w:sz w:val="22"/>
          <w:szCs w:val="22"/>
        </w:rPr>
        <w:t>Global Talent Stream</w:t>
      </w:r>
      <w:r>
        <w:rPr>
          <w:rFonts w:eastAsia="Cambria" w:cs="Cambria"/>
          <w:b w:val="false"/>
          <w:bCs w:val="false"/>
          <w:i w:val="false"/>
          <w:iCs w:val="false"/>
          <w:sz w:val="22"/>
          <w:szCs w:val="22"/>
        </w:rPr>
        <w:t xml:space="preserve"> (ein beschleunigter Weg für bestimmte Technologieberufe) dauert oft nur rund zehn Werktage, ein Standard-Hochlohn-Antrag dagegen rund 88 Werktage. Erst nach positiver LMIA kann der Arbeitnehmer sein Arbeitsvisum beantragen – Gebühr 155 CAD, dazu 85 CAD Biometrie.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befreit von der LMIA-Pflicht in über 50 Ausnahmekategorien: Handelsabkommen mit Mobilitätskapitel (etwa CETA mit der EU, relevant für bestimmte Berufsgruppen aus Deutschland), konzerninterne Transfers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Fälle von „erheblichem Nutzen“ für Kanada sowie – praktisch relevant für Studierende und Ehepartner –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kanadische Einwanderungsberaterin, einen Einwanderungsberater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RCIC) oder eine Anwältin beziehungsweise einen Anwalt für kanadisches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zusätzlich kanadische Berufserfahrung für die Canadian Experience Class oder eine passende PNP-Kategorie.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über eine Stellenausschreibung ein Unternehmen in Calgary, das bereit war, ihn zu sponsern. Der Arbeitgeber ließ eine LMIA für die Position durchführen, was einige Monate dauerte; erst danach konnte Lukas sein Arbeitsvisum beantragen. Persönlich zahlte er nur die Visums- und Biometriegebühr – deutlich weniger, als der Express-Entry-Weg der Familie Ahrens gekostet hätte. Im Gegenzug ist er für die Dauer des Arbeitsvisums an seinen Arbeitgeber gebunden; einen Wechsel zu einem anderen Unternehmen müsste er über ein komplett neues Verfahren organisieren, es sei denn, er sammelt genug kanadische Erfahrung für einen Wechsel zur Canadian Experience Class.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Study Permit und PGWP: der Umweg über den Studienabschluss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Study Permit</w:t>
      </w:r>
      <w:r>
        <w:rPr>
          <w:rFonts w:eastAsia="Cambria" w:cs="Cambria"/>
          <w:b w:val="false"/>
          <w:bCs w:val="false"/>
          <w:i w:val="false"/>
          <w:iCs w:val="false"/>
          <w:sz w:val="22"/>
          <w:szCs w:val="22"/>
        </w:rPr>
        <w:t xml:space="preserve">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die Bearbeitung dauert laut Servicestandard rund 60 Tage außerhalb beziehungsweise 120 Tage innerhalb Kanadas; ob der beschleunigte </w:t>
      </w:r>
      <w:r>
        <w:rPr>
          <w:rFonts w:eastAsia="Cambria" w:cs="Cambria"/>
          <w:b w:val="false"/>
          <w:bCs w:val="false"/>
          <w:i/>
          <w:iCs/>
          <w:sz w:val="22"/>
          <w:szCs w:val="22"/>
        </w:rPr>
        <w:t>Student Direct Stream</w:t>
      </w:r>
      <w:r>
        <w:rPr>
          <w:rFonts w:eastAsia="Cambria" w:cs="Cambria"/>
          <w:b w:val="false"/>
          <w:bCs w:val="false"/>
          <w:i w:val="false"/>
          <w:iCs w:val="false"/>
          <w:sz w:val="22"/>
          <w:szCs w:val="22"/>
        </w:rPr>
        <w:t xml:space="preserve"> (rund 20 Tage) auch für deutsche Bewerber offensteht, ist in den verfügbaren Quellen nicht abschließend geklärt – das solltest du vor der Bewerbung direkt bei IRCC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folgt für die meisten der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grundsätzlich ausgenommen.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für den Studienweg entscheidet, sollte schon bei der Programmwahl prüfen, ob das Fach auf der PGWP-Berechtigungsliste steht – ein nicht-berechtigtes Diplomprogramm kann sich später als teure Sackgasse erweisen, weil der Weg zur kanadischen Berufserfahrung dann fehlt.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und Familiennachzug – kurz gestreift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Pr>
            <w:rStyle w:val="ListLabel113"/>
            <w:rFonts w:eastAsia="Cambria" w:cs="Cambria"/>
            <w:b w:val="false"/>
            <w:bCs w:val="false"/>
            <w:i w:val="false"/>
            <w:iCs w:val="false"/>
            <w:color w:val="0563C1"/>
            <w:sz w:val="22"/>
            <w:szCs w:val="22"/>
            <w:u w:val="single"/>
          </w:rPr>
          <w:t>Kapitel zu Familie, Partner, Investor- und Sonderwegen in diesem Teil</w:t>
        </w:r>
      </w:hyperlink>
      <w:r>
        <w:rPr>
          <w:rFonts w:eastAsia="Cambria" w:cs="Cambria"/>
          <w:b w:val="false"/>
          <w:bCs w:val="false"/>
          <w:i w:val="false"/>
          <w:iCs w:val="false"/>
          <w:sz w:val="22"/>
          <w:szCs w:val="22"/>
        </w:rPr>
        <w:t xml:space="preserve"> geht darauf im Detail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für Express Entry automatisch anerkannt. Tatsächlich verlangt der FSW-Weg fast immer eine eigene, kostenpflichtige Bildungsbewertung (ECA) durch eine anerkannte Organisation – das deutsche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67 im FSW-Zulassungsraster wird mit einer realistischen Einladungschance im CRS verwechselt; das sind zwei unterschiedliche Punktesysteme mit unterschiedlichen Schwellen.</w:t>
      </w:r>
    </w:p>
    <w:p>
      <w:pPr>
        <w:pStyle w:val="ListParagraph"/>
        <w:numPr>
          <w:ilvl w:val="0"/>
          <w:numId w:val="1"/>
        </w:numPr>
        <w:spacing w:lineRule="exact" w:line="288" w:before="0" w:after="60"/>
        <w:rPr/>
      </w:pPr>
      <w:r>
        <w:rPr>
          <w:rFonts w:eastAsia="Cambria" w:cs="Cambria"/>
          <w:b w:val="false"/>
          <w:bCs w:val="false"/>
          <w:i w:val="false"/>
          <w:iCs w:val="false"/>
          <w:sz w:val="22"/>
          <w:szCs w:val="22"/>
        </w:rPr>
        <w:t>LMIA-pflichtig und LMIA-frei werden verwechselt – wer ein Jobangebot hat, sollte früh klären, in welche Kategorie die Stelle fällt, weil sich Kosten und Bearbeitungsdauer stark unterscheiden.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eTA für Besuchsreisen wird mit einer Arbeitsberechtigung verwechselt – sie erlaubt Tourismus und Transit, aber weder Arbeit noch Studium.</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IRCC-Bearbeitung nach Einladung zeigen, nicht die Monate für Sprachtest, ECA und Dokumentenbeschaffung davor.</w:t>
      </w:r>
    </w:p>
    <w:p>
      <w:pPr>
        <w:pStyle w:val="ListParagraph"/>
        <w:numPr>
          <w:ilvl w:val="0"/>
          <w:numId w:val="1"/>
        </w:numPr>
        <w:spacing w:lineRule="exact" w:line="288" w:before="0" w:after="60"/>
        <w:rPr/>
      </w:pPr>
      <w:r>
        <w:rPr>
          <w:rFonts w:eastAsia="Cambria" w:cs="Cambria"/>
          <w:b w:val="false"/>
          <w:bCs w:val="false"/>
          <w:i w:val="false"/>
          <w:iCs w:val="false"/>
          <w:sz w:val="22"/>
          <w:szCs w:val="22"/>
        </w:rPr>
        <w:t>Der Sprachtest wird zu spät oder mit der falschen Erwartung gebucht: CELPIP rechnet eins zu eins in die Canadian Language Benchmark um, während IELTS je Fertigkeit unterschiedlich gestaffelte Bänder hat – zwei Bewerber mit „gutem Englisch“ können so unterschiedliche CLB-Stufen erreichen.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 nimmt dafür die Bindung an den Betrieb in Kauf.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396"/>
        <w:gridCol w:w="3083"/>
      </w:tblGrid>
      <w:tr>
        <w:trPr>
          <w:tblHeader w:val="true"/>
          <w:cantSplit w:val="true"/>
        </w:trPr>
        <w:tc>
          <w:tcPr>
            <w:tcW w:w="3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0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CRS-Score, kein Jobangebot nötig, freie Wohnortwahl gewünscht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(FSW)</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Score knapp unter dem Cutoff, Bereitschaft zu Wohnsitzbindung</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 ein Jahr qualifiziert in Kanada gearbeitet (z. B. nach PGWP)</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Konkretes Jobangebot eines kanadischen Arbeitgebers liegt vor</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oder LMIA-freies Arbeitsvisum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als Zwischenschritt</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Unternehmensidee mit Unterstützung einer designierten Organisation</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(derzeit pausiert, siehe oben)</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Familienangehörige mit Status in Kanada</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ka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CRS-Cutoffs, PNP-Kriterien und Berufslisten ändern sich mehrfach im Jahr. Prüfe jede Zahl vor einer Kündigung in Deutschland direkt bei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die meisten Wege sind Sprachniveau oder ECA Voraussetzung</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 ist transparent und selbst überschlagbar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von Runde zu Runde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 Visa binden dich an einen einzelnen Betrieb</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 eröffnet zusätzliche Punkte über kanadische Erfahrung</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feste Alters-Ausschlussgrenze wie in Australien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seit 2026 für Neuanträge pausiert</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erhöht die Chance bei knappem CRS-Score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bindet meist an eine Wohnsitzpflicht in der Provinz</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Sprachniveau, Berufserfahrung, vorhandenes oder fehlendes Jobangebot, gewünschte Provinz. Prüfe, ob dein Beruf und Abschluss für eine Bildungsbewertung und den CRS überhaupt geeignet sind –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rFonts w:eastAsia="Cambria" w:cs="Cambria"/>
          <w:b w:val="false"/>
          <w:bCs w:val="false"/>
          <w:i/>
          <w:iCs/>
          <w:sz w:val="22"/>
          <w:szCs w:val="22"/>
        </w:rPr>
        <w:t>Visa Application Centre</w:t>
      </w:r>
      <w:r>
        <w:rPr>
          <w:rFonts w:eastAsia="Cambria" w:cs="Cambria"/>
          <w:b w:val="false"/>
          <w:bCs w:val="false"/>
          <w:i w:val="false"/>
          <w:iCs w:val="false"/>
          <w:sz w:val="22"/>
          <w:szCs w:val="22"/>
        </w:rPr>
        <w:t xml:space="preserve"> in Berlin ab, das der Dienstleister VFS Global im Auftrag der kanadischen Regierung betreibt. Das ist ein reiner Verwaltungsschritt, kein Ersatz für die eigentliche Antragsprüfung, die immer bei IRCC in Kanada liegt.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(IELTS, CELPIP oder für Französisch TEF/TCF) gebucht oder Ergebnis vorliegend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Bildungsbewertung (ECA) für den eigenen Abschluss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CRS-Score überschlägig berechnet und mit aktuellen Einladungsgrenzen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kategoriebasierte Express-Entry-Ziehung für den eigenen Beruf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PNP-Programme der bevorzugten Provinz oder Provinzen auf aktuelle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Jobangebot vorhanden: geklärt, ob die Stelle LMIA-pflichtig oder LMIA-frei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ka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IRCC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CRS und Einladungsrunden (</w:t>
      </w:r>
      <w:hyperlink r:id="rId538">
        <w:r>
          <w:rPr>
            <w:rStyle w:val="ListLabel113"/>
            <w:rFonts w:eastAsia="Cambria" w:cs="Cambria"/>
            <w:b w:val="false"/>
            <w:bCs w:val="false"/>
            <w:i w:val="false"/>
            <w:iCs w:val="false"/>
            <w:color w:val="0563C1"/>
            <w:sz w:val="22"/>
            <w:szCs w:val="22"/>
            <w:u w:val="single"/>
          </w:rPr>
          <w:t>canada.ca/en/immigration-refugees-citizenship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je Provinz (</w:t>
      </w:r>
      <w:hyperlink r:id="rId5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provincial-nominees)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Visa, PR und Biometrie (</w:t>
      </w:r>
      <w:hyperlink r:id="rId540">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ESDC — Labour Market Impact Assessment, Gebühren und Bearbeitungszeiten (</w:t>
      </w:r>
      <w:hyperlink r:id="rId541">
        <w:r>
          <w:rPr>
            <w:rStyle w:val="ListLabel113"/>
            <w:rFonts w:eastAsia="Cambria" w:cs="Cambria"/>
            <w:b w:val="false"/>
            <w:bCs w:val="false"/>
            <w:i w:val="false"/>
            <w:iCs w:val="false"/>
            <w:color w:val="0563C1"/>
            <w:sz w:val="22"/>
            <w:szCs w:val="22"/>
            <w:u w:val="single"/>
          </w:rPr>
          <w:t>canada.ca/en/employment-social-development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Study Permit und Post-Graduation Work Permit (</w:t>
      </w:r>
      <w:hyperlink r:id="rId542">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study-permit, post-graduation-work-permit)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Program (</w:t>
      </w:r>
      <w:hyperlink r:id="rId543">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start-visa)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CRS-Cutoffs jeder Express-Entry-Runde, PNP-Kriterien und -Gebühren je Provinz, LMIA-Bearbeitungszeiten und die Regeln zum pausierten Start-up Visa. Prüfe vor jeder Entscheidung die aktuellen Werte direkt auf canada.ca/ircc.</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1" w:name="__RefHeading___Toc56570_3457424410"/>
      <w:bookmarkStart w:id="142" w:name="tka03"/>
      <w:bookmarkEnd w:id="141"/>
      <w:r>
        <w:rPr>
          <w:rFonts w:eastAsia="Amazon Ember" w:cs="Amazon Ember" w:ascii="Amazon Ember" w:hAnsi="Amazon Ember"/>
          <w:b/>
          <w:bCs/>
          <w:color w:val="0000FF"/>
          <w:sz w:val="36"/>
          <w:szCs w:val="36"/>
        </w:rPr>
        <w:t>Kanada: Der Arbeitsweg im Detail</w:t>
      </w:r>
      <w:bookmarkEnd w:id="1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Einwanderungssystem hat einen Charme, den man erst zu schätzen lernt, wenn man ihn selbst durchlebt: Es sagt dir, in nackten Zahlen, wie begehrenswert du gerade bist. Wer ein Profil bei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(dem Online-Bewerbersystem für die wirtschaftliche Einwanderung nach Kanada) anlegt, bekommt einen Punktwert – und verbringt danach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 und die wechselt schneller, als mancher Sprachtest gültig bleibt.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Express Entry</w:t>
            </w:r>
            <w:r>
              <w:rPr>
                <w:rFonts w:eastAsia="Cambria" w:cs="Cambria"/>
                <w:b w:val="false"/>
                <w:bCs w:val="false"/>
                <w:i w:val="false"/>
                <w:iCs w:val="false"/>
                <w:sz w:val="20"/>
                <w:szCs w:val="20"/>
              </w:rPr>
              <w:t xml:space="preserve"> bündelt drei Bundesprogramme (FSW, CEC, FST) und viele Provinzströme in einem Punktesystem; ein ausreichender Score bringt eine Einladung zum PR-Antrag (</w:t>
            </w:r>
            <w:r>
              <w:rPr>
                <w:rFonts w:eastAsia="Cambria" w:cs="Cambria"/>
                <w:b w:val="false"/>
                <w:bCs w:val="false"/>
                <w:i/>
                <w:iCs/>
                <w:sz w:val="20"/>
                <w:szCs w:val="20"/>
              </w:rPr>
              <w:t>Invitation to Apply</w:t>
            </w:r>
            <w:r>
              <w:rPr>
                <w:rFonts w:eastAsia="Cambria" w:cs="Cambria"/>
                <w:b w:val="false"/>
                <w:bCs w:val="false"/>
                <w:i w:val="false"/>
                <w:iCs w:val="false"/>
                <w:sz w:val="20"/>
                <w:szCs w:val="20"/>
              </w:rPr>
              <w:t>, ITA, Einladung zur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Comprehensive Ranking System</w:t>
            </w:r>
            <w:r>
              <w:rPr>
                <w:rFonts w:eastAsia="Cambria" w:cs="Cambria"/>
                <w:b w:val="false"/>
                <w:bCs w:val="false"/>
                <w:i w:val="false"/>
                <w:iCs w:val="false"/>
                <w:sz w:val="20"/>
                <w:szCs w:val="20"/>
              </w:rPr>
              <w:t>-Score (CRS) entscheidet, wer eingeladen wird. 2026 lagen die allgemeinen Cutoffs meist bei 480–530 Punkten, kategoriebasierte Ziehungen (Gesundheit, Französisch, Ärzte) oft deutlich darunter.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Provincial Nominee Program</w:t>
            </w:r>
            <w:r>
              <w:rPr>
                <w:rFonts w:eastAsia="Cambria" w:cs="Cambria"/>
                <w:b w:val="false"/>
                <w:bCs w:val="false"/>
                <w:i w:val="false"/>
                <w:iCs w:val="false"/>
                <w:sz w:val="20"/>
                <w:szCs w:val="20"/>
              </w:rPr>
              <w:t xml:space="preserve"> (PNP, das provinzielle Nominierungsprogramm) ist der zweitgrößte Weg zur </w:t>
            </w:r>
            <w:r>
              <w:rPr>
                <w:rFonts w:eastAsia="Cambria" w:cs="Cambria"/>
                <w:b w:val="false"/>
                <w:bCs w:val="false"/>
                <w:i/>
                <w:iCs/>
                <w:sz w:val="20"/>
                <w:szCs w:val="20"/>
              </w:rPr>
              <w:t>Permanent Residence</w:t>
            </w:r>
            <w:r>
              <w:rPr>
                <w:rFonts w:eastAsia="Cambria" w:cs="Cambria"/>
                <w:b w:val="false"/>
                <w:bCs w:val="false"/>
                <w:i w:val="false"/>
                <w:iCs w:val="false"/>
                <w:sz w:val="20"/>
                <w:szCs w:val="20"/>
              </w:rPr>
              <w:t xml:space="preserve"> (PR, der unbefristete Aufenthaltsstatus Kanadas); jede Provinz setzt eigene Regeln, eine Nominierung bringt 600 CRS-Punkte extra.</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zeigen beispielhaft, wie unterschiedlich – und wie unterschiedlich teuer – die Provinzverfahren ablaufen.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Fachkräfte mit soliden Englischkenntnissen, anerkanntem Abschluss und gefragtem Beruf ist Express Entry real erreichbar; ganz ohne Jobangebot oder Kanada-Bezug wird es eher zur Geduldsprobe.</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und Cutoffs ändern sich laufend: Prüfe vor jeder Entscheidung die aktuellen Werte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drei Programme, ein Profil</w:t>
      </w:r>
    </w:p>
    <w:p>
      <w:pPr>
        <w:pStyle w:val="Normal"/>
        <w:keepNext w:val="false"/>
        <w:keepLines w:val="false"/>
        <w:spacing w:lineRule="exact" w:line="288" w:before="0" w:after="140"/>
        <w:jc w:val="left"/>
        <w:rPr/>
      </w:pP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ist kein eigenes Visum, sondern das Verwaltungssystem, über das Kanada drei Bundesprogramme sowie die meisten provinziellen Nominierungen abwickelt. Du legst ein Online-Profil an, das System berechnet daraus deinen CRS-Score, und in regelmäßigen Runden lädt IRCC die am höchsten platzierten Profile zur Antragstellung auf die PR ein. Bis dahin ist nichts davon eine Zusage – dein Profil ist eher eine Bewerbung im Wartezimmer als ein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Programme laufen darüber.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ist die Standardtür für alle, die noch keine kanadische Berufserfahrung haben – also der typische Fall für jemanden, der direkt aus Deutschland bewirbt. Voraussetzung sind mindestens ein Jahr durchgehende Vollzeit-Berufserfahrung in den letzten zehn Jahren in einem Beruf der Klassifikation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 xml:space="preserve"> (NOC, das kanadische Berufsklassifikationssystem, gestaffelt nach </w:t>
      </w:r>
      <w:r>
        <w:rPr>
          <w:rFonts w:eastAsia="Cambria" w:cs="Cambria"/>
          <w:b w:val="false"/>
          <w:bCs w:val="false"/>
          <w:i/>
          <w:iCs/>
          <w:sz w:val="22"/>
          <w:szCs w:val="22"/>
        </w:rPr>
        <w:t>Training, Education, Experience and Responsibilities</w:t>
      </w:r>
      <w:r>
        <w:rPr>
          <w:rFonts w:eastAsia="Cambria" w:cs="Cambria"/>
          <w:b w:val="false"/>
          <w:bCs w:val="false"/>
          <w:i w:val="false"/>
          <w:iCs w:val="false"/>
          <w:sz w:val="22"/>
          <w:szCs w:val="22"/>
        </w:rPr>
        <w:t xml:space="preserve">, TEER, den Anforderungsstufen 0 bis 5) der Stufen 0 bis 3,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sowie bei ausländischen Abschlüssen eine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eine amtlich anerkannte Abschlussbewertung). Zusätzlich musst du vor jeder CRS-Berechnung ein eigenes 67-von-100-Punkte-Raster bestehen (Sprache max. 28, Bildung max. 25, Berufserfahrung max. 15, Alter max. 12, vorliegendes Jobangebot max. 10, Anpassungsfähigkeit max. 10) – eine Zulässigkeitshürde, keine Rangliste.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verlangt dagegen mindestens ein Jahr qualifizierte Berufserfahrung </w:t>
      </w:r>
      <w:r>
        <w:rPr>
          <w:rFonts w:eastAsia="Cambria" w:cs="Cambria"/>
          <w:b w:val="false"/>
          <w:bCs w:val="false"/>
          <w:i/>
          <w:iCs/>
          <w:sz w:val="22"/>
          <w:szCs w:val="22"/>
        </w:rPr>
        <w:t>in Kanada</w:t>
      </w:r>
      <w:r>
        <w:rPr>
          <w:rFonts w:eastAsia="Cambria" w:cs="Cambria"/>
          <w:b w:val="false"/>
          <w:bCs w:val="false"/>
          <w:i w:val="false"/>
          <w:iCs w:val="false"/>
          <w:sz w:val="22"/>
          <w:szCs w:val="22"/>
        </w:rPr>
        <w:t xml:space="preserve"> innerhalb der letzten drei Jahre, dafür kein zwingendes ECA und ein niedrigeres Sprachniveau für einfachere Berufe (CLB 7 für TEER 0/1, CLB 5 für TEER 2/3). Sie ist für Neuankömmlinge aus Deutschland kein Einstiegsweg, sondern ein Anschlussweg, nachdem du bereits mit einem Arbeitsvisum in Kanada gearbeitet hast. Der dritte Weg, </w:t>
      </w:r>
      <w:r>
        <w:rPr>
          <w:rFonts w:eastAsia="Cambria" w:cs="Cambria"/>
          <w:b w:val="false"/>
          <w:bCs w:val="false"/>
          <w:i/>
          <w:iCs/>
          <w:sz w:val="22"/>
          <w:szCs w:val="22"/>
        </w:rPr>
        <w:t>Federal Skilled Trades</w:t>
      </w:r>
      <w:r>
        <w:rPr>
          <w:rFonts w:eastAsia="Cambria" w:cs="Cambria"/>
          <w:b w:val="false"/>
          <w:bCs w:val="false"/>
          <w:i w:val="false"/>
          <w:iCs w:val="false"/>
          <w:sz w:val="22"/>
          <w:szCs w:val="22"/>
        </w:rPr>
        <w:t xml:space="preserve"> (FST), richtet sich an Handwerksberufe mit Jobangebot oder kanadischem Befähigungsnachweis und spielt für die meisten Ingenieurs- und Wissenschaftsberufe kaum eine 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einen anerkannten Abschluss, ein Jobangebot und ein Mindestgehalt –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 bis sich deine Angaben ändern (neuer Sprachtest, neuer Job, ein weiteres Lebensjahr, das gegen dich zählt).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Umweg über ein Arbeitsvisum: TFWP und IMP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Nicht jeder Weg nach Kanada führt zuerst über Express Entry. Wer schneller einreisen will oder noch nicht genug CRS-Punkte hat, kann über ein befristetes Arbeitsvisum vorgehen – und sich die kanadische Erfahrung später für die Canadian Experience Class oder eine Provinznominierung anrechnen lassen. Kanada trennt befristete Arbeitserlaubnisse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eine Arbeitsmarktprüfung), den behördlichen Nachweis, dass keine Kanadierin, kein Kanadier und keine bereits im Land lebende Person für die Stelle verfügbar ist. Die LMIA-Gebühr von 1.000 CAD je Stelle trägt allein der Arbeitgeber, nicht erstattungsfähig; die Bearbeitung dauert je nach Kategorie höchst unterschiedlich lang, von rund zehn Werktagen (Global Talent Stream) bis zu etwa 88 Werktagen bei Standardanträgen im hohen Lohnsegment.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Für deutsche Bewerberinnen und Bewerber ist hier vor allem eine Kategorie interessant: Das Handelsabkommen </w:t>
      </w:r>
      <w:r>
        <w:rPr>
          <w:rFonts w:eastAsia="Cambria" w:cs="Cambria"/>
          <w:b w:val="false"/>
          <w:bCs w:val="false"/>
          <w:i/>
          <w:iCs/>
          <w:sz w:val="22"/>
          <w:szCs w:val="22"/>
        </w:rPr>
        <w:t>CETA</w:t>
      </w:r>
      <w:r>
        <w:rPr>
          <w:rFonts w:eastAsia="Cambria" w:cs="Cambria"/>
          <w:b w:val="false"/>
          <w:bCs w:val="false"/>
          <w:i w:val="false"/>
          <w:iCs w:val="false"/>
          <w:sz w:val="22"/>
          <w:szCs w:val="22"/>
        </w:rPr>
        <w:t xml:space="preserve"> (das Freihandelsabkommen zwischen der EU und Kanada) erlaubt bestimmten Berufsgruppen – etwa in Management- oder Spezialistenfunktionen – ein LMIA-freies Arbeitsvisum, sofern die Voraussetzungen des Abkommens erfüllt sind. Auch konzerninterne Versetzungen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laufen über das IMP, ebenso das Post-Graduation Work Permit für Absolventinnen und Absolventen kanadischer Hochschulen.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Ein Standard-Arbeitsvisum kostet 155 CAD je Person (inklusive Verlängerungen), ein offenes, nicht arbeitgebergebundenes Arbeitsvisum zusätzlich 100 CAD Zuschlag.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über TFWP oder IMP ist immer befristet und meist an einen einzigen Arbeitgeber gebunden. Es ersetzt keinen PR-Antrag – wer nicht rechtzeitig einen Anschlussweg einleitet (CEC, Provinznominierung, eine neue Express-Entry-Runde), muss Kanada nach Ablauf des Visums wieder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CRS-Score: was wirklich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 abhängig vor allem von Alter, Sprache und Bildungsniveau.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 wertvoll bleibt es trotzdem, weil es andere Wege wie die Canadian Experience Class oder ein Arbeitgeber-Sponsoring eröffnet. Wer keinen dieser Zusatzpunkte mitbringt, ist auf einen guten Grundscore angewiesen – und der hängt stärker vom Alter ab, als viele erwarten: Die volle Alterspunktzahl gibt es nur bis Anfang 30, danach sinkt sie schrittweise.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deutschen Bewerberinnen und Bewerber ohne Kanada-Bezug ist genau dieser Block oft der Hebel, der zwischen einem knapp nicht ausreichenden und einem soliden Score entscheidet.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Wähle den Sprachtest strategisch. </w:t>
            </w:r>
            <w:r>
              <w:rPr>
                <w:rFonts w:eastAsia="Cambria" w:cs="Cambria"/>
                <w:b w:val="false"/>
                <w:bCs w:val="false"/>
                <w:i/>
                <w:iCs/>
                <w:sz w:val="20"/>
                <w:szCs w:val="20"/>
              </w:rPr>
              <w:t>CELPIP-General</w:t>
            </w:r>
            <w:r>
              <w:rPr>
                <w:rFonts w:eastAsia="Cambria" w:cs="Cambria"/>
                <w:b w:val="false"/>
                <w:bCs w:val="false"/>
                <w:i w:val="false"/>
                <w:iCs w:val="false"/>
                <w:sz w:val="20"/>
                <w:szCs w:val="20"/>
              </w:rPr>
              <w:t xml:space="preserve"> rechnet eins zu eins in CLB-Stufen um (CELPIP 7 in einer Fertigkeit ergibt CLB 7 in eben dieser Fertigkeit), planbar und ohne Überraschungen. </w:t>
            </w:r>
            <w:r>
              <w:rPr>
                <w:rFonts w:eastAsia="Cambria" w:cs="Cambria"/>
                <w:b w:val="false"/>
                <w:bCs w:val="false"/>
                <w:i/>
                <w:iCs/>
                <w:sz w:val="20"/>
                <w:szCs w:val="20"/>
              </w:rPr>
              <w:t>IELTS General Training</w:t>
            </w:r>
            <w:r>
              <w:rPr>
                <w:rFonts w:eastAsia="Cambria" w:cs="Cambria"/>
                <w:b w:val="false"/>
                <w:bCs w:val="false"/>
                <w:i w:val="false"/>
                <w:iCs w:val="false"/>
                <w:sz w:val="20"/>
                <w:szCs w:val="20"/>
              </w:rPr>
              <w:t xml:space="preserve"> staffelt dagegen pro Fertigkeit unterschiedlich: Ein Hörverstehen von 6,5 kann bereits CLB 7 ergeben, ein Leseverständnis von 6,5 dagegen erst CLB 8 verlangen. Wer knapp an einer Schwelle liegt, sollte beide Testformate vergleichen, bevor er einen bucht – ein zweiter Testtermin kostet mehr Zeit und Geld als ein Blick in die Umrechnungstabelle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Verlauf 2026: Cutoffs und 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2023 zieht IRCC nicht mehr nur breite „All-Program“-Runden, sondern auch gezielte, kategoriebasierte Ziehungen für Berufsfelder, die Kanada besonders braucht. 2026 liefen zehn solcher Kategorien parallel: Französisch, Gesundheit und Soziales, MINT (Wissenschaft, Technik, Ingenieurwesen, Mathematik), Handwerk, Bildung, Transport, Ärztinnen und Ärzte mit kanadischer Erfahrung, Senior Manager mit kanadischer Erfahrung, Forschende mit kanadischer Erfahrung sowie qualifizierte Militärangehörige. Wer in eine dieser Kategorien passt, konkurriert nicht mehr im großen Pool, sondern in einem viel kleineren.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Unterschied ist erheblich:</w:t>
      </w:r>
    </w:p>
    <w:tbl>
      <w:tblPr>
        <w:tblW w:w="6480" w:type="dxa"/>
        <w:jc w:val="left"/>
        <w:tblInd w:w="0" w:type="dxa"/>
        <w:tblLayout w:type="fixed"/>
        <w:tblCellMar>
          <w:top w:w="50" w:type="dxa"/>
          <w:left w:w="80" w:type="dxa"/>
          <w:bottom w:w="50" w:type="dxa"/>
          <w:right w:w="80" w:type="dxa"/>
        </w:tblCellMar>
      </w:tblPr>
      <w:tblGrid>
        <w:gridCol w:w="2207"/>
        <w:gridCol w:w="1809"/>
        <w:gridCol w:w="2464"/>
      </w:tblGrid>
      <w:tr>
        <w:trPr>
          <w:tblHeader w:val="true"/>
          <w:cantSplit w:val="true"/>
        </w:trPr>
        <w:tc>
          <w:tcPr>
            <w:tcW w:w="2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CRS-Cutoff 2026</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Beispielrunde</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Runden</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480–530</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507–521</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15.09.2026: 519</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Gesundheit/Soziales</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475</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04.09.2026: 3.500 Einladungen</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Französisch</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382–419</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19.08.2026: Tiefstwert 382</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Ärztinnen/Ärzte (kanad. Erfahrung)</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169–198</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19.02.2026: 169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im Internet liest, man brauche „mindestens 500 CRS-Punkte“, verwechselt die alten, breiten Runden mit der heutigen Realität. Bei der Ärzte-Kategorie lag der Cutoff im Februar 2026 bei nur 169 Punkten – nach Sekundärquellen mit Bezug auf IRCC-Daten der niedrigste je verzeichnete Wert der Programmgeschichte. Wer zu einer eng zugeschnittenen Kategorie passt, sollte sich von hohen allgemeinen Cutoffs nicht entmutigen lassen.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Insgesamt verschickte IRCC bis Mitte September 2026 mehr als 128.000 Einladungen seit Jahresbeginn – nach Auswertungen mehrerer Sekundärquellen, die offiziellen IRCC-Rundendaten aggregieren, ohne dass die offizielle Rundenliste für diesen Wert direkt eingesehen wurde. Nicht jede Kategorie zieht gleich oft: Die MINT-Kategorie hatte laut Berichten von September 2026 seit mehr als 28 Monaten keine eigene Ziehung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MINT-Kategorie klingt für Ingenieurinnen und Informatiker vielversprechend, zieht aber laut aktuellen Berichten seit über zwei Jahren nicht eigenständig. Verlass dich nicht darauf, dass „dein“ Berufsfeld demnächst eine eigene Runde bekommt – kalkuliere mit den allgemeinen und CEC-Cutoffs als realistischer Grundlage und behandle jede Kategorie-Ziehung als willkommenen Bonus, nicht als 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Provincial Nominee Program: die zweite Schiene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dem Bundesweg nominiert jede Provinz und jedes Territorium außer Québec eigenständig Kandidaten für die PR –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gegenüber dem vorherigen Plan) und damit das PNP zum zweitgrößten Wirtschaftskanal nach den föderalen Programmen für hochqualifizierte Fachkräfte gemacht.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Weg zur Nominierung läuft meist über eine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zwar keine Kanada-Erfahrung oder hohen Sprachtest verlangt, dafür aber ohne CRS-Bonus auskommt und meist deutlich länger bis zur PR braucht. Für die meisten deutschen Fachkräfte mit ordentlichem Englisch ist der Enhanced-Weg über Express Entry der planbarere.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Verfahren der Provinzen unterscheiden sich zudem stark in Kosten und Ablauf, wie die beiden größten Provinzen zeigen.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Ontario (OINP)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 Programm 2026 grundlegend vereinfacht: Acht frühere Einzelströme wurden durch den neuen, arbeitgebergeführten „Ontario Workforce Priority Stream“ ersetzt. Die Antragsgebühr liegt bei 1.500 CAD, nicht erstattungsfähig. Ein mit Express Entry verknüpfter Fall summiert sich inklusive der föderalen Gebühren (1.675 CAD) und der Provinzgebühr auf rund 3.175 CAD – noch vor Sprachtest, ECA, medizinischer Untersuchung, Führungszeugnis und Übersetzungskosten.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British Columbia (BC PNP)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verlangt aber wie Ontario meist ein konkretes Jobangebot eines Arbeitgebers in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orientieren. Die Details sprengen den Rahmen dieses Kapitels; wer eine bestimmte Provinz ins Auge fasst, sollte deren Programm gesondert und aktuell prüfen, statt sich auf Erfahrungsberichte aus Foren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 und meist auch die Gebühr.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gut ausgebildete deutsche Fachkräfte mit solidem Englisch, einem anerkannten Studienabschluss und mindestens einem Jahr einschlägiger Berufserfahrung ist Express Entry ein real gangbarer Weg, aber selten ein schneller. Ohne kanadische Erfahrung, ohne Jobangebot und ohne Provinznominierung bewegen sich viele Profile in einem Bereich, der bei allgemeinen Runden knapp reicht oder knapp nicht reicht – dann entscheidet häufig, ob dein Beruf gerade in einer Kategorie-Ziehung auftaucht. Wer zusätzlich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Zeitrahmen gehört zur ehrlichen Bilanz. IRCC nennt für Express Entry einen Bearbeitungs-Service-Standard von sechs Monaten nach Einreichung des vollständigen PR-Antrags, seit Anfang 2022 in der Regel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 nur den zur ersten kanadischen Gehaltsabrechnung.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zweite, oft unterschätzte Realität: Viele deutsche Fachkräfte kommen gar nicht über den direkten Express-Entry-Weg, sondern zunächst über ein befristetes, arbeitgebergebundenes Arbeitsvisum – und sammeln erst danach die kanadische Erfahrung, die CEC oder eine Provinznominierung leichter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Markus, 40, Softwarearchitekt aus Leipzig, bringt einen Masterabschluss, CLB-8-Englisch und sieben Jahre Berufserfahrung mit – genau die Kombination, die im Skill-Transferability-Block zusätzliche Punkte bringt. Zusammen mit den Werten seiner mitreisenden Partnerin Julia, 37, Apothekerin, ergibt das einen CRS-Score, der bei den meisten allgemeinen Runden 2026 komfortabel über der Einladungsgrenze liegt. Mit Finn, 11, und Mia, 7, im Gepäck zieht die Familie nach Toronto, Ontario.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hat parallel zum Jobangebot aus Calgary ein Express-Entry-Profil angelegt und vergleicht beide Wege. Sein Beruf taucht auf keiner aktuellen Kategorie-Liste auf, und ausgerechnet die MINT-Kategorie, die auf den ersten Blick passend wirkt, hat seit Monaten nicht gezogen. Er entscheidet sich für das LMIA-pflichtige Arbeitsvisum, lässt das Express-Entry-Profil vorerst ruhen und reist nach Alberta – nach einem Jahr kanadischer Erfahrung will er über die Canadian Experience Class neu ansetzen, diesmal mit einer Kategorie oder Provinz im Rücken, die zu seinem Beruf passt.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Work Permit ist keine PR. Es ist eine befristete, meist an einen einzigen Arbeitgeber gebundene Arbeitserlaubnis – die PR dagegen ist der unbefristete Aufenthaltsstatus, unabhängig von einem bestimmten Job. Wer über ein Arbeitsvisum einreist, hat noch keinen gesicherten Verbleib in Kanada, sondern nur einen zusätzlichen Trumpf für den späteren PR-Antrag.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Dieses Kapitel erklärt Regeln und Praxis der kanadischen Einwanderung, ersetzt aber keine Beratung durch eine bei der </w:t>
            </w:r>
            <w:r>
              <w:rPr>
                <w:rFonts w:eastAsia="Cambria" w:cs="Cambria"/>
                <w:b w:val="false"/>
                <w:bCs w:val="false"/>
                <w:i/>
                <w:iCs/>
                <w:sz w:val="20"/>
                <w:szCs w:val="20"/>
              </w:rPr>
              <w:t>College of Immigration and Citizenship Consultants</w:t>
            </w:r>
            <w:r>
              <w:rPr>
                <w:rFonts w:eastAsia="Cambria" w:cs="Cambria"/>
                <w:b w:val="false"/>
                <w:bCs w:val="false"/>
                <w:i w:val="false"/>
                <w:iCs w:val="false"/>
                <w:sz w:val="20"/>
                <w:szCs w:val="20"/>
              </w:rPr>
              <w:t xml:space="preserve"> zugelassene Fachperson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xml:space="preserve">, RCIC) oder eine Einwanderungsanwältin beziehungsweise einen Einwanderungsanwalt. Wie du eine seriöse Beratung findest und was sie kostet, steht im </w:t>
            </w:r>
            <w:hyperlink w:anchor="tka05">
              <w:r>
                <w:rPr>
                  <w:rStyle w:val="ListLabel116"/>
                  <w:rFonts w:eastAsia="Cambria" w:cs="Cambria"/>
                  <w:b w:val="false"/>
                  <w:bCs w:val="false"/>
                  <w:i w:val="false"/>
                  <w:iCs w:val="false"/>
                  <w:color w:val="0563C1"/>
                  <w:sz w:val="20"/>
                  <w:szCs w:val="20"/>
                  <w:u w:val="single"/>
                </w:rPr>
                <w:t>Kapitel zu Antrag, Kosten und Bearbeitungszeit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ist transparent und öffentlich einsehbar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stark und sind Monate im Voraus kaum vorhersagbar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Kategorie-Ziehungen können den Score-Bedarf drastisch senken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jedes Berufsfeld bekommt regelmäßig eine eigene Kategorie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Provinznominierung macht die Einladung fast sicher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Provinzverfahren sind teuer und verlangen oft ein Jobangebot vor Ort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als schnellerer Zwischenschritt möglich</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bindet an einen Arbeitgeber und bringt noch keine PR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 bleibt zwölf Monate automatisch im Rennen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Kanada-Bezug bewegt sich der Score oft im knappen Mittelfeld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Beginne mit der Bestandsaufnahme: Lass deinen Abschluss über eine anerkannte Stelle bewerten (ECA), bevor du dich festlegst, und mache einen Probetest bei CELPIP oder IELTS, um deine CLB-Stufe realistisch einzuschätzen. Lege dein Express-Entry-Profil auch bei einem noch unsicheren Score an –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Standort nach Sponsoring fragen – ein Arbeitsvisum über CETA oder eine konzerninterne Versetzung kann schneller zum Ziel führen als das Warten auf die nächste Runde. Die Gebühren und der Ablauf nach einer Einladung stehen im </w:t>
      </w:r>
      <w:hyperlink w:anchor="tka05">
        <w:r>
          <w:rPr>
            <w:rStyle w:val="ListLabel113"/>
            <w:rFonts w:eastAsia="Cambria" w:cs="Cambria"/>
            <w:b w:val="false"/>
            <w:bCs w:val="false"/>
            <w:i w:val="false"/>
            <w:iCs w:val="false"/>
            <w:color w:val="0563C1"/>
            <w:sz w:val="22"/>
            <w:szCs w:val="22"/>
            <w:u w:val="single"/>
          </w:rPr>
          <w:t>Kapitel zu Antrag, Botschaft,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Abschluss über eine anerkannte Stelle bewerten lassen (ECA)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wählen (CELPIP oder IELTS) und CLB-Stufe realistisch einschätzen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Express-Entry-Profil anlegen, auch bei unsicherem Score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Kategorie-Ziehungen mit dem eigenen Beruf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Bedarfslisten (mindestens Ontario und British Columbia)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befristetes Arbeitsvisum als schnellerer Zwischenschritt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knappem Score: Französischkenntnisse als zusätzlichen Hebel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Cutoffs und Gebühren auf canada.ca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So funktioniert das System (</w:t>
      </w:r>
      <w:hyperlink r:id="rId544">
        <w:r>
          <w:rPr>
            <w:rStyle w:val="ListLabel113"/>
            <w:rFonts w:eastAsia="Cambria" w:cs="Cambria"/>
            <w:b w:val="false"/>
            <w:bCs w:val="false"/>
            <w:i w:val="false"/>
            <w:iCs w:val="false"/>
            <w:color w:val="0563C1"/>
            <w:sz w:val="22"/>
            <w:szCs w:val="22"/>
            <w:u w:val="single"/>
          </w:rPr>
          <w:t>canada.ca/en/immigration-refugees-citizenship/services/immigrate-canada/express-entry.html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CRS-Kriterien und Punkteberechnung (</w:t>
      </w:r>
      <w:hyperlink r:id="rId545">
        <w:r>
          <w:rPr>
            <w:rStyle w:val="ListLabel113"/>
            <w:rFonts w:eastAsia="Cambria" w:cs="Cambria"/>
            <w:b w:val="false"/>
            <w:bCs w:val="false"/>
            <w:i w:val="false"/>
            <w:iCs w:val="false"/>
            <w:color w:val="0563C1"/>
            <w:sz w:val="22"/>
            <w:szCs w:val="22"/>
            <w:u w:val="single"/>
          </w:rPr>
          <w:t>canada.ca/.../express-entry/eligibility/criteria-comprehensive-ranking-system.html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Federal Skilled Worker Program (</w:t>
      </w:r>
      <w:hyperlink r:id="rId546">
        <w:r>
          <w:rPr>
            <w:rStyle w:val="ListLabel113"/>
            <w:rFonts w:eastAsia="Cambria" w:cs="Cambria"/>
            <w:b w:val="false"/>
            <w:bCs w:val="false"/>
            <w:i w:val="false"/>
            <w:iCs w:val="false"/>
            <w:color w:val="0563C1"/>
            <w:sz w:val="22"/>
            <w:szCs w:val="22"/>
            <w:u w:val="single"/>
          </w:rPr>
          <w:t>canada.ca/.../express-entry/eligibility/federal-skilled-workers.html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w:t>
      </w:r>
      <w:hyperlink r:id="rId547">
        <w:r>
          <w:rPr>
            <w:rStyle w:val="ListLabel113"/>
            <w:rFonts w:eastAsia="Cambria" w:cs="Cambria"/>
            <w:b w:val="false"/>
            <w:bCs w:val="false"/>
            <w:i w:val="false"/>
            <w:iCs w:val="false"/>
            <w:color w:val="0563C1"/>
            <w:sz w:val="22"/>
            <w:szCs w:val="22"/>
            <w:u w:val="single"/>
          </w:rPr>
          <w:t>canada.ca/.../provincial-nominees.html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48">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Immigrant Nominee Program (</w:t>
      </w:r>
      <w:hyperlink r:id="rId549">
        <w:r>
          <w:rPr>
            <w:rStyle w:val="ListLabel113"/>
            <w:rFonts w:eastAsia="Cambria" w:cs="Cambria"/>
            <w:b w:val="false"/>
            <w:bCs w:val="false"/>
            <w:i w:val="false"/>
            <w:iCs w:val="false"/>
            <w:color w:val="0563C1"/>
            <w:sz w:val="22"/>
            <w:szCs w:val="22"/>
            <w:u w:val="single"/>
          </w:rPr>
          <w:t>ontario.ca/page/ontario-immigrant-nominee-program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British Columbia Provincial Nominee Program (</w:t>
      </w:r>
      <w:hyperlink r:id="rId550">
        <w:r>
          <w:rPr>
            <w:rStyle w:val="ListLabel113"/>
            <w:rFonts w:eastAsia="Cambria" w:cs="Cambria"/>
            <w:b w:val="false"/>
            <w:bCs w:val="false"/>
            <w:i w:val="false"/>
            <w:iCs w:val="false"/>
            <w:color w:val="0563C1"/>
            <w:sz w:val="22"/>
            <w:szCs w:val="22"/>
            <w:u w:val="single"/>
          </w:rPr>
          <w:t>welcomebc.ca/immigrate-to-b-c/about-the-bc-pnp</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3" w:name="__RefHeading___Toc56572_3457424410"/>
      <w:bookmarkStart w:id="144" w:name="tka04"/>
      <w:bookmarkEnd w:id="143"/>
      <w:r>
        <w:rPr>
          <w:rFonts w:eastAsia="Amazon Ember" w:cs="Amazon Ember" w:ascii="Amazon Ember" w:hAnsi="Amazon Ember"/>
          <w:b/>
          <w:bCs/>
          <w:color w:val="0000FF"/>
          <w:sz w:val="36"/>
          <w:szCs w:val="36"/>
        </w:rPr>
        <w:t>Kanada: Familie, Investoren und der Ruhestand</w:t>
      </w:r>
      <w:bookmarkEnd w:id="1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Lebenspartner-Sponsoring verlangt kein Mindesteinkommen des Sponsors, dauert aber laut Kanzleiangaben 15 bis 24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Neuanträge pausiert; nur wer bereits ein Commitment Certificate aus 2025 hält, kommt noch zum Zug.</w:t>
            </w:r>
          </w:p>
          <w:p>
            <w:pPr>
              <w:pStyle w:val="ListParagraph"/>
              <w:numPr>
                <w:ilvl w:val="0"/>
                <w:numId w:val="1"/>
              </w:numPr>
              <w:spacing w:lineRule="exact" w:line="264" w:before="0" w:after="50"/>
              <w:rPr/>
            </w:pPr>
            <w:r>
              <w:rPr>
                <w:rFonts w:eastAsia="Cambria" w:cs="Cambria"/>
                <w:b w:val="false"/>
                <w:bCs w:val="false"/>
                <w:i w:val="false"/>
                <w:iCs w:val="false"/>
                <w:sz w:val="20"/>
                <w:szCs w:val="20"/>
              </w:rPr>
              <w:t>Das Eltern- und Großeltern-Programm (PGP) ist die zentrale Enttäuschung für Ruheständler: Seit 2026 nimmt IRCC keine neuen Interessensbekundungen mehr an.</w:t>
            </w:r>
          </w:p>
          <w:p>
            <w:pPr>
              <w:pStyle w:val="ListParagraph"/>
              <w:numPr>
                <w:ilvl w:val="0"/>
                <w:numId w:val="1"/>
              </w:numPr>
              <w:spacing w:lineRule="exact" w:line="264" w:before="0" w:after="50"/>
              <w:rPr/>
            </w:pPr>
            <w:r>
              <w:rPr>
                <w:rFonts w:eastAsia="Cambria" w:cs="Cambria"/>
                <w:b w:val="false"/>
                <w:bCs w:val="false"/>
                <w:i w:val="false"/>
                <w:iCs w:val="false"/>
                <w:sz w:val="20"/>
                <w:szCs w:val="20"/>
              </w:rPr>
              <w:t>Das Super Visa – ein Mehrfacheinreise-Besuchervisum, kein Daueraufenthaltstitel – ist 2026 der einzige praktisch verlässliche Weg für Eltern und Großeltern.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Ohne ein bereits in Kanada lebendes Kind oder Enkelkind gibt es keinen eigenständigen Ruhestandsweg nach Kanada – anders als etwa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Diese Regeln ändern sich häufig und teils kurzfristig: Prüfe vor jeder Entscheidung die aktuellen Angaben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Ehepartner, Lebenspartner und der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verheiratet ist oder in einer eingetragenen Lebenspartnerschaft lebt, hat es beim Familiennachzug leichter als fast überall sonst im kanadischen System. IRCC unterscheidet dabei drei Fallgruppen: </w:t>
      </w:r>
      <w:r>
        <w:rPr>
          <w:rFonts w:eastAsia="Cambria" w:cs="Cambria"/>
          <w:b w:val="false"/>
          <w:bCs w:val="false"/>
          <w:i/>
          <w:iCs/>
          <w:sz w:val="22"/>
          <w:szCs w:val="22"/>
        </w:rPr>
        <w:t>Spousal Sponsorship</w:t>
      </w:r>
      <w:r>
        <w:rPr>
          <w:rFonts w:eastAsia="Cambria" w:cs="Cambria"/>
          <w:b w:val="false"/>
          <w:bCs w:val="false"/>
          <w:i w:val="false"/>
          <w:iCs w:val="false"/>
          <w:sz w:val="22"/>
          <w:szCs w:val="22"/>
        </w:rPr>
        <w:t xml:space="preserve"> für Ehepaare, </w:t>
      </w:r>
      <w:r>
        <w:rPr>
          <w:rFonts w:eastAsia="Cambria" w:cs="Cambria"/>
          <w:b w:val="false"/>
          <w:bCs w:val="false"/>
          <w:i/>
          <w:iCs/>
          <w:sz w:val="22"/>
          <w:szCs w:val="22"/>
        </w:rPr>
        <w:t>Common-law Sponsorship</w:t>
      </w:r>
      <w:r>
        <w:rPr>
          <w:rFonts w:eastAsia="Cambria" w:cs="Cambria"/>
          <w:b w:val="false"/>
          <w:bCs w:val="false"/>
          <w:i w:val="false"/>
          <w:iCs w:val="false"/>
          <w:sz w:val="22"/>
          <w:szCs w:val="22"/>
        </w:rPr>
        <w:t xml:space="preserve"> für Paare, die mindestens zwölf Monate ununterbrochen zusammengelebt haben, ohne verheiratet zu sein, und </w:t>
      </w:r>
      <w:r>
        <w:rPr>
          <w:rFonts w:eastAsia="Cambria" w:cs="Cambria"/>
          <w:b w:val="false"/>
          <w:bCs w:val="false"/>
          <w:i/>
          <w:iCs/>
          <w:sz w:val="22"/>
          <w:szCs w:val="22"/>
        </w:rPr>
        <w:t>Conjugal Sponsorship</w:t>
      </w:r>
      <w:r>
        <w:rPr>
          <w:rFonts w:eastAsia="Cambria" w:cs="Cambria"/>
          <w:b w:val="false"/>
          <w:bCs w:val="false"/>
          <w:i w:val="false"/>
          <w:iCs w:val="false"/>
          <w:sz w:val="22"/>
          <w:szCs w:val="22"/>
        </w:rPr>
        <w:t xml:space="preserve"> für Paare, die aus rechtlichen oder tatsächlichen Gründen (etwa fehlende Möglichkeit zur Heirat oder ein Einwanderungshindernis) nicht zusammenleben konnten, ihre Beziehung aber seit mindestens einem Jahr nachweisen können. Für alle drei Kategorien verlangt IRCC vom sponsernden Partner mit kanadischer Staatsbürgerschaft oder PR kein festes Mindesteinkommen. Einzige Ausnahme: Wer aus anderen Gründen als einer Behinderung Sozialhilfe bezieht, disqualifiziert sich als Sponsor. Die Gebühr aus dem Ausland liegt bei 1.260 CAD (660 CAD ohne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eine zusätzliche Gebühr für das Recht auf Daueraufenthalt), zuzüglich 180 CAD je mitreisendem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für die vergleichsweise entspannten Einkommensregeln ist die Zeit: Kanzleien nennen für die Bearbeitung 15 bis 24 Monate, in denen Paare häufig getrennt leben oder der auswandernde Partner mit einem befristeten Besuchervisum überbrückt – was rechtlich heikel ist, wenn die Grenzbehörde eine bereits gefasste Zuwanderungsabsicht vermutet. Wer heiratet, um schneller nach Kanada zu kommen, sollte wissen, dass IRCC Scheinehen aktiv prüft; die Beziehung muss echt und die Ehe oder Partnerschaft entsprechend belegbar sein, etwa durch gemeinsame Fotos, Korrespondenz, Kontoauszüge oder Besuche über einen längeren Zeitraum.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die Bearbeitung als „Inland“- oder „Outland“-Antrag läuft, macht praktisch einen Unterschied. Hält sich der einwandernde Partner 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und darf während der Wartezeit nicht in Kanada arbeiten, auch wenn Besuchsreisen grundsätzlich möglich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22 Jahren, die noch nicht verheiratet sind, läuft der Nachzug meist über denselben Antrag wie der eines einwandernden Elternteils, etwa im Rahmen von Express Entry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 ein Unterschied zu manchen anderen Ländern, in denen erwachsene Kinder unter bestimmten Bedingungen ebenfalls nachziehen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unterscheidet klar zwischen dem befristeten Besuchervisum (max. sechs Monate pro Einreise, ohne Arbeits- oder Studienrecht) und einem echten Aufenthaltsstatus. Wer während eines laufenden Sponsoring-Verfahrens „einfach mal besuchen“ will, riskiert bei der Einreise Nachfragen zur wahren Absicht – nimm entsprechende Nachweise (Rückflugticket, Adresse in Deutschland, laufender Mietvertrag) mit.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pausiert seit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gründungswillige Fachkräfte war 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lange ein attraktiver Weg zur PR ohne klassisches Punktesystem –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 dazu mussten Antragstellende mindestens 10 % der Stimmrechte halten, Antragstellende und designierte Organisation zusammen mehr als 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 nach dem Windhundprinzip vergeben.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 diese haben eigene Kapital- und Geschäftsplananforderungen und sind von der Bundes-Pause nicht betroffen.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 ein längerer, aber von der Bundes-Pause unabhängiger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erwägt neben seinem Job in Calgary eine eigene Beratungsfirma für Energieeffizienz. Als er sich über das Start-up Visa informiert, stellt er fest, dass das Programm für Neuanträge pausiert ist und die verbliebenen designierten Organisationen kaum noch Kapazität haben. Er verschiebt die Gründungsidee, bleibt zunächst bei seinem arbeitgebergebundenen Work Permit und beobachtet stattdessen die unternehmerischen PNP-Ströme Albertas für einen möglichen späteren Anlauf.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ehrliche 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 Express Entry, das Provincial Nominee Program und selbst das (derzeit pausierte) Start-up Visa verlangen Sprachtests, Berufserfahrung oder Geschäftskonzepte, die für reine Ruheständler ohne Erwerbsabsicht schlicht nicht gemacht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Vergleich der vier in diesem Buch behandelten Zielländer liegt Kanada damit am restriktiven Ende. Australien verlangt zwar ebenfalls ein dort lebendes Kind, bietet aber wenigstens eine – wenn auch nach Berichten des dortigen Einwanderungsministeriums teils jahrzehntelange – Warteliste zur Daueraufenthaltserlaubnis für Eltern.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 nur die Bindung an ein bereits ansässiges Kind, und selbst die derzeit nur in Form eines befristeten Besuchervisums.</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Eltern- und Großeltern-Programm: pausiert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einzige familienbasierte Weg zur PR für Eltern und Großeltern, das </w:t>
      </w:r>
      <w:r>
        <w:rPr>
          <w:rFonts w:eastAsia="Cambria" w:cs="Cambria"/>
          <w:b w:val="false"/>
          <w:bCs w:val="false"/>
          <w:i/>
          <w:iCs/>
          <w:sz w:val="22"/>
          <w:szCs w:val="22"/>
        </w:rPr>
        <w:t>Parent and Grandparent Program</w:t>
      </w:r>
      <w:r>
        <w:rPr>
          <w:rFonts w:eastAsia="Cambria" w:cs="Cambria"/>
          <w:b w:val="false"/>
          <w:bCs w:val="false"/>
          <w:i w:val="false"/>
          <w:iCs w:val="false"/>
          <w:sz w:val="22"/>
          <w:szCs w:val="22"/>
        </w:rPr>
        <w:t xml:space="preserve"> (PGP), war schon vor der aktuellen Pause kein schneller Weg. Sponsernde Kinder mussten ein Mindesteinkommen von </w:t>
      </w:r>
      <w:r>
        <w:rPr>
          <w:rFonts w:eastAsia="Cambria" w:cs="Cambria"/>
          <w:b w:val="false"/>
          <w:bCs w:val="false"/>
          <w:i/>
          <w:iCs/>
          <w:sz w:val="22"/>
          <w:szCs w:val="22"/>
        </w:rPr>
        <w:t>Low Income Cut-Off</w:t>
      </w:r>
      <w:r>
        <w:rPr>
          <w:rFonts w:eastAsia="Cambria" w:cs="Cambria"/>
          <w:b w:val="false"/>
          <w:bCs w:val="false"/>
          <w:i w:val="false"/>
          <w:iCs w:val="false"/>
          <w:sz w:val="22"/>
          <w:szCs w:val="22"/>
        </w:rPr>
        <w:t xml:space="preserve"> (LICO) plus 30 % über drei aufeinanderfolgende Steuerjahre nachweisen – für eine vierköpfige Familie umgerechnet rund 58.500 CAD. Der Zugang lief über ein Lotterieverfahren: Wer 2020 ein „Interest to Sponsor“-Formular einreichte, wurde – wenn überhaupt – erst ab Juli 2025 eingeladen; in nur zwei Wochen verschickte IRCC damals 17.860 Einladungen an über fünf Jahre alte Interessensbekundungen.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Super Visa: der realistische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Super Visa</w:t>
      </w:r>
      <w:r>
        <w:rPr>
          <w:rFonts w:eastAsia="Cambria" w:cs="Cambria"/>
          <w:b w:val="false"/>
          <w:bCs w:val="false"/>
          <w:i w:val="false"/>
          <w:iCs w:val="false"/>
          <w:sz w:val="22"/>
          <w:szCs w:val="22"/>
        </w:rPr>
        <w:t xml:space="preserve">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 gegenüber den sonst üblichen sechs Monaten beim regulären Besuchervisum ein erheblicher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Super Visa gilt ausschließlich für Eltern und Großeltern selbst – minderjährige Geschwister, Tanten, Onkel oder andere Angehörige lassen sich darüber nicht mitbringen; für sie bleibt nur ein reguläres Besuchervisum mit der üblichen Sechs-Monats-Grenze.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Zusätzlich muss die einladende Person in Kanada ein Mindesteinkommen nachweisen, gestaffelt nach Haushaltsgröße –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 eine Erleichterung gerade für Familien, in denen die eigene deutsche Rente nicht ausreicht, das Kind in Kanada aber knapp unter der Schwelle 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Antragstellung läuft wie bei einem regulären Besuchervisum, ergänzt um die Nachweise zur Familienbeziehung und zur Versicherung: Formular, Biometrie (85 CAD), Nachweis der Versicherung sowie – weil der beantragte Aufenthalt über sechs Monate hinausgeht – eine ärztliche Untersuchung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bei einer von IRCC anerkannten Ärztin oder einem anerkannten Arzt. Weil dem Super Visa ein Besucher- und kein Einwanderungsverfahren zugrunde liegt, bearbeitet IRCC die Anträge in aller Regel spürbar schneller als PR-Verfahren wie das PGP es je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lebt seit einigen Jahren in Toronto. Julias Eltern aus Leipzig würden gern mehrere Monate im Jahr bei Finn und Mia verbringen, ohne jedes halbe Jahr die Einreise neu zu organisieren. Da das Eltern- und Großeltern-Programm pausiert ist, beantragen sie stattdessen ein Super Visa: eine Kranken-Notfallversicherung mit 100.000 CAD Deckung, ein Einkommensnachweis von Markus und Julia als einladendem Paar, die ärztliche Untersuchung sowie die üblichen Unterlagen zur Familienbeziehung. Nach Genehmigung dürfen die Großeltern bis zu fünf Jahre am Stück bleiben – ein Daueraufenthaltstitel ist das Super Visa trotzdem nicht, und ohne gültige Versicherung erlischt die Berechtigung.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mehrere Anbieter für die Kranken-Notfallversicherung, bevor du dich festlegst. Seit ausländische, bei der OSFI registrierte Versicherer zugelassen sind, lohnt sich auch ein Blick auf internationale Krankenversicherer neben den klassischen kanadischen Anbietern – die Prämien für Personen über 60 oder 70 Jahre unterscheiden sich zwischen Anbietern merklich. Prüfe zudem, ob eine Police für die volle mögliche Aufenthaltsdauer oder nur für ein Jahr mit Verlängerungsoption günstiger ist, und kläre vorab, was bei einer vorzeitigen Rückreise nach Deutschland mit bereits gezahlten Beiträgen passiert.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Kein eigenständiger Weg ohne kanadisches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keine Kinder oder Enkelkinder mit kanadischem Status hat, findet in Kanada keine Alternative wie ein rein vermögensbasiertes Ruhestandsvisum. Bleibt die Bindung an ein bereits im Land lebendes Kind aus, bleibt nur der reguläre Besuchsstatus – maximal sechs Monate pro Einreise, ohne jede Perspektive auf Daueraufenthalt und ohne Zugang zum öffentlichen Gesundheitssystem.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 und ohne kanadisches Kind gibt es dafür in Kanada derzeit keinen Weg.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kann diese Rolle noch nicht übernehmen. Wer als Elternteil oder Großelternteil auf einen Nachzug hofft, sollte deshalb realistisch einplanen, dass zwischen der Ankunft des Kindes in Kanada und dessen eigener Berechtigung als Sponsor häufig mehrere Jahre liegen – die Zeit, die das Kind für den eigenen PR-Antrag und gegebenenfalls die Einbürgerung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Steuern für Ruheständler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öffentlichen Provinz-Gesundheitspläne (etwa OHIP in Ontario) stehen Super-Visa-Inhaberinnen und -Inhabern nicht offen –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wie sich Kanadas Provinz-Gesundheitssysteme grundsätzlich von der deutschen gesetzlichen Krankenversicherung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Bundesfinanzhofs vom Mai 2018. Kanadische Steueransässige müssen die Rente zwar zusätzlich als Welteinkommen in der kanadischen Steuererklärung angeben, können die in Deutschland gezahlte Steuer aber als Anrechnung (</w:t>
      </w:r>
      <w:r>
        <w:rPr>
          <w:rFonts w:eastAsia="Cambria" w:cs="Cambria"/>
          <w:b w:val="false"/>
          <w:bCs w:val="false"/>
          <w:i/>
          <w:iCs/>
          <w:sz w:val="22"/>
          <w:szCs w:val="22"/>
        </w:rPr>
        <w:t>Foreign Tax Credit</w:t>
      </w:r>
      <w:r>
        <w:rPr>
          <w:rFonts w:eastAsia="Cambria" w:cs="Cambria"/>
          <w:b w:val="false"/>
          <w:bCs w:val="false"/>
          <w:i w:val="false"/>
          <w:iCs w:val="false"/>
          <w:sz w:val="22"/>
          <w:szCs w:val="22"/>
        </w:rPr>
        <w:t>) gegenrechnen – eine echte Doppelbesteuerung entsteht dadurch in der Regel nicht, wohl aber zusätzlicher Erklärungsaufwand in zwei Ländern. Die deutsche Seite dieser Rechnung, samt Rente, Riester/Rürup und Vorsorge, behandelt das Kapitel zu Steuern, Rente und Geld in diesem Buch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Ehepartner-Sponsoring verlangt kein Mindesteinkommen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15 bis 24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erlaubt bis zu fünf Jahre am Stück</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ist kein Daueraufenthaltstitel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Einkommensanrechnung der Eltern seit 2026 erleichtert die Schwelle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Pflichtversicherung von mindestens 100.000 CAD nötig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PNP-Unternehmerströme bleiben trotz Start-up-Visa-Pause offen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selbst faktisch geschlossen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 wird durch das DBA vermieden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bleibt trotzdem in Deutschland steuerpflichtig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kanadisches Kind kein Ruhestandsweg überhaupt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ehrlich, welcher Fall auf deine Familie zutrifft: Ehepartner-Sponsoring, Eltern-/Großeltern-Besuch über das Super Visa oder – ohne kanadisches Kind – realistisch gar keiner dieser Wege. Prüfe bei einem Sponsoring-Vorhaben frühzeitig die Einkommensschwellen und beginne die Unterlagen (Nachweise der Beziehung, Einkommensnachweise, Übersetzungen) rechtzeitig, da die Bearbeitung Monate bis Jahre dauert. Kläre außerdem, ob die sponsernde Person in Kanada überhaupt schon Staatsbürgerin, Staatsbürger oder PR-Inhaberin beziehungsweise PR-Inhaber ist – ohne diesen Status kann sie noch niemanden sponsern, egal wie gut die übrigen Voraussetzungen aussehen.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Und wer ohne jeden Kanada-Bezug an den Ruhestand dort denkt, sollte diesen Plan gegen realistischere Alternativen abwägen – etwa gegen die in den anderen Länder-Teilen dieses Buches beschriebenen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Ehepartner-Sponsoring, Super Visa oder kein familienbasierter Weg zutrifft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Ehepartner-Sponsoring: Einkommensnachweis des Sponsors und Beziehungsnachweise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Super Visa: mehrere Angebote für die Kranken-Notfallversicherung (mind. 100.000 CAD)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Einkommensschwelle der einladenden Person berechnen, inklusive möglicher Anrechnung ab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Gründungsplänen: provinzielle Unternehmerströme statt Start-up Visa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mit einer Steuerberatung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canada.ca prüfen, ob sich am PGP oder am Start-up Visa etwas 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51">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Ehepartner- und Lebenspartner-Sponsoring (</w:t>
      </w:r>
      <w:hyperlink r:id="rId552">
        <w:r>
          <w:rPr>
            <w:rStyle w:val="ListLabel113"/>
            <w:rFonts w:eastAsia="Cambria" w:cs="Cambria"/>
            <w:b w:val="false"/>
            <w:bCs w:val="false"/>
            <w:i w:val="false"/>
            <w:iCs w:val="false"/>
            <w:color w:val="0563C1"/>
            <w:sz w:val="22"/>
            <w:szCs w:val="22"/>
            <w:u w:val="single"/>
          </w:rPr>
          <w:t>canada.ca/.../sponsor-spouse-partner-child.html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Eltern- und Großeltern-Programm, Einkommensvoraussetzungen (</w:t>
      </w:r>
      <w:hyperlink r:id="rId553">
        <w:r>
          <w:rPr>
            <w:rStyle w:val="ListLabel113"/>
            <w:rFonts w:eastAsia="Cambria" w:cs="Cambria"/>
            <w:b w:val="false"/>
            <w:bCs w:val="false"/>
            <w:i w:val="false"/>
            <w:iCs w:val="false"/>
            <w:color w:val="0563C1"/>
            <w:sz w:val="22"/>
            <w:szCs w:val="22"/>
            <w:u w:val="single"/>
          </w:rPr>
          <w:t>canada.ca/.../sponsor-parents-grandparents/eligibility/income.html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Super Visa: Informationen und Anforderungen (</w:t>
      </w:r>
      <w:hyperlink r:id="rId554">
        <w:r>
          <w:rPr>
            <w:rStyle w:val="ListLabel113"/>
            <w:rFonts w:eastAsia="Cambria" w:cs="Cambria"/>
            <w:b w:val="false"/>
            <w:bCs w:val="false"/>
            <w:i w:val="false"/>
            <w:iCs w:val="false"/>
            <w:color w:val="0563C1"/>
            <w:sz w:val="22"/>
            <w:szCs w:val="22"/>
            <w:u w:val="single"/>
          </w:rPr>
          <w:t>canada.ca/.../super-visa.html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Zulässigkeit und designierte Organisationen (</w:t>
      </w:r>
      <w:hyperlink r:id="rId555">
        <w:r>
          <w:rPr>
            <w:rStyle w:val="ListLabel113"/>
            <w:rFonts w:eastAsia="Cambria" w:cs="Cambria"/>
            <w:b w:val="false"/>
            <w:bCs w:val="false"/>
            <w:i w:val="false"/>
            <w:iCs w:val="false"/>
            <w:color w:val="0563C1"/>
            <w:sz w:val="22"/>
            <w:szCs w:val="22"/>
            <w:u w:val="single"/>
          </w:rPr>
          <w:t>canada.ca/.../start-visa.html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BZSt — Doppelbesteuerungsabkommen Kanada–Deutschland (</w:t>
      </w:r>
      <w:hyperlink r:id="rId556">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Competent Authority Notices; </w:t>
      </w:r>
      <w:hyperlink r:id="rId557">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canada.ca.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5" w:name="__RefHeading___Toc56574_3457424410"/>
      <w:bookmarkStart w:id="146" w:name="tka05"/>
      <w:bookmarkEnd w:id="145"/>
      <w:r>
        <w:rPr>
          <w:rFonts w:eastAsia="Amazon Ember" w:cs="Amazon Ember" w:ascii="Amazon Ember" w:hAnsi="Amazon Ember"/>
          <w:b/>
          <w:bCs/>
          <w:color w:val="0000FF"/>
          <w:sz w:val="36"/>
          <w:szCs w:val="36"/>
        </w:rPr>
        <w:t>Kanada: Antrag, Konsulat und Kosten</w:t>
      </w:r>
      <w:bookmarkEnd w:id="1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sitzt am Küchentisch in Leipzig, aktualisiert zum wiederholten Mal sein Online-Bewerberprofil für die kanadische Einwanderung und findet zwischen zwei Schlucken Kaffee eine Nachricht vor: „You have been invited to apply.“ Kein Feuerwerk, kein Anruf, nicht einmal ein Ausrufezeichen – nur eine betont sachliche E-Mail, und von nun an laufen 60 Tage, in denen aus einem Online-Profil ein vollständiger Antrag werden muss. Was folgt, ist keine Reise zu einer Botschaft mit Wartenummer und Sicherheitsschleuse, sondern ein Verwaltungsmarathon am Bildschirm: ein Online-Konto, mehrere Gebühren in kanadischen Dollar, ein Termin bei einem privaten Dienstleister in Berlin für Fingerabdrücke – und die leise Erkenntnis, dass „online erledigt“ in Kanada nicht dasselbe bedeutet wie „schnell erledigt“.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der gesamte Antrag läuft online über dein persönliches Konto bei </w:t>
            </w:r>
            <w:r>
              <w:rPr>
                <w:rFonts w:eastAsia="Cambria" w:cs="Cambria"/>
                <w:b w:val="false"/>
                <w:bCs w:val="false"/>
                <w:i/>
                <w:iCs/>
                <w:sz w:val="20"/>
                <w:szCs w:val="20"/>
              </w:rPr>
              <w:t>Immigration, Refugees and Citizenship Canada</w:t>
            </w:r>
            <w:r>
              <w:rPr>
                <w:rFonts w:eastAsia="Cambria" w:cs="Cambria"/>
                <w:b w:val="false"/>
                <w:bCs w:val="false"/>
                <w:i w:val="false"/>
                <w:iCs w:val="false"/>
                <w:sz w:val="20"/>
                <w:szCs w:val="20"/>
              </w:rPr>
              <w:t xml:space="preserve"> (IRCC), der kanadischen Einwanderungsbehörde. Einen Termin bei einer kanadischen Auslandsvertretung gibt es für die meisten Antragsarten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einzelnes Arbeitsvisum kostet 155 CAD, der Antrag auf permanenten Aufenthalt für eine vierköpfige Familie schnell über 5.000 CAD – und eine Gebühr wird dabei gern übersehen.</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polizeiliches Führungszeugnis sind eigene Pflichtschritte mit eigenen Fristen, keine Fußnoten im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Biometrische Daten gibst du nicht bei einer Botschaft ab, sondern bei </w:t>
            </w:r>
            <w:r>
              <w:rPr>
                <w:rFonts w:eastAsia="Cambria" w:cs="Cambria"/>
                <w:b w:val="false"/>
                <w:bCs w:val="false"/>
                <w:i/>
                <w:iCs/>
                <w:sz w:val="20"/>
                <w:szCs w:val="20"/>
              </w:rPr>
              <w:t>VFS Global</w:t>
            </w:r>
            <w:r>
              <w:rPr>
                <w:rFonts w:eastAsia="Cambria" w:cs="Cambria"/>
                <w:b w:val="false"/>
                <w:bCs w:val="false"/>
                <w:i w:val="false"/>
                <w:iCs w:val="false"/>
                <w:sz w:val="20"/>
                <w:szCs w:val="20"/>
              </w:rPr>
              <w:t>, einem privaten Dienstleister mit Standort in Berlin.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halben Jahr, je nach Programm und Auslastung.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deutschen Auslandsvertretungen in Kanada helfen bei deutschen Dokumenten – beim kanadischen Antrag selbst helfen sie nicht, das entscheidet ausschließlich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Kein Botschaftstermin, aber ein Aktenberg: das IRCC-System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w:t>
      </w:r>
      <w:r>
        <w:rPr>
          <w:rFonts w:eastAsia="Cambria" w:cs="Cambria"/>
          <w:b w:val="false"/>
          <w:bCs w:val="false"/>
          <w:i/>
          <w:iCs/>
          <w:sz w:val="22"/>
          <w:szCs w:val="22"/>
        </w:rPr>
        <w:t>Permanent Residence</w:t>
      </w:r>
      <w:r>
        <w:rPr>
          <w:rFonts w:eastAsia="Cambria" w:cs="Cambria"/>
          <w:b w:val="false"/>
          <w:bCs w:val="false"/>
          <w:i w:val="false"/>
          <w:iCs w:val="false"/>
          <w:sz w:val="22"/>
          <w:szCs w:val="22"/>
        </w:rPr>
        <w:t>, kurz PR, funktional vergleichbar mit der amerikanischen Green Card) – alles läuft über dein persönliches IRCC-Konto. Dort lädst du Dokumente hoch, bezahlst Gebühren per Kreditkarte, verfolgst den Status und erhältst jede Nachricht der Behörde – nicht per Brief, nicht per Anruf, ausschließlich im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Grundsätzlich unterscheidet Kanada bei befristeten Arbeitsvisa zwei Schienen. Braucht dein Arbeitgeber vorab eine behördliche Bestätigung, dass keine Kanadierin oder kein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für die Stelle verfügbar ist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 läufst du über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LMIA-pflichtige Programm für befristete Arbeitskräfte). Zählt deine Stelle zu einer der über 50 Ausnahmekategorien – etwa konzerninterne Transfers oder bestimmte Handelsabkommen –, läuft sie stattdessen LMIA-frei über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Welcher Weg für dich passt und wie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Bundesprogramm für die permanente Aufenthaltserlaubnis über ein Punktesystem, im Detail funktioniert, erklärt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ausführlich. Hier geht es um das, was nach der Entscheidung für einen Weg kommt: das nüchterne Kleingedruckte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genehmigtes Visum ist noch keine Einreise. Bei den meisten Wegen bekommst du zunächst nur die Zusage; Arbeitsvisum oder der Status als Permanent Resident werden formal erst an der Grenze beziehungsweise bei der Landung wirksam – dazu mehr im </w:t>
            </w:r>
            <w:hyperlink w:anchor="tka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Antragsart, und wie so oft im Leben ist die erste Zahl, die man findet, selten die letzte.</w:t>
      </w:r>
    </w:p>
    <w:tbl>
      <w:tblPr>
        <w:tblW w:w="6480" w:type="dxa"/>
        <w:jc w:val="left"/>
        <w:tblInd w:w="0" w:type="dxa"/>
        <w:tblLayout w:type="fixed"/>
        <w:tblCellMar>
          <w:top w:w="50" w:type="dxa"/>
          <w:left w:w="80" w:type="dxa"/>
          <w:bottom w:w="50" w:type="dxa"/>
          <w:right w:w="80" w:type="dxa"/>
        </w:tblCellMar>
      </w:tblPr>
      <w:tblGrid>
        <w:gridCol w:w="2352"/>
        <w:gridCol w:w="1147"/>
        <w:gridCol w:w="1202"/>
        <w:gridCol w:w="1778"/>
      </w:tblGrid>
      <w:tr>
        <w:trPr>
          <w:tblHeader w:val="true"/>
          <w:cantSplit w:val="true"/>
        </w:trPr>
        <w:tc>
          <w:tcPr>
            <w:tcW w:w="23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Antragsart</w:t>
            </w:r>
          </w:p>
        </w:tc>
        <w:tc>
          <w:tcPr>
            <w:tcW w:w="11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12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Zusatzgebühr Partner/Kind</w:t>
            </w:r>
          </w:p>
        </w:tc>
        <w:tc>
          <w:tcPr>
            <w:tcW w:w="17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(Work Permit)</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155 CAD</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100 CAD bei offenem, nicht arbeitgebergebundenem Visum</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(Study Permit)</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CAD</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 Wirtschaftskategorie (Express Entry/PNP)</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1.590 CAD</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1.590 CAD, Kind 270 CAD</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Recht-auf-PR-Gebühr nur 990 CAD</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Recht-auf-permanenten-Aufenthalt-Gebühr (RPRF)</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CAD</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600 CAD, Kind entfällt</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wird gern übersehen</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Familiennachzug Ehepartner (aus dem Ausland)</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1.260 CAD</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 180 CAD</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RPRF 660 CAD</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CAD/Person</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Familien-Höchstsatz 170 CAD</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 von der Familiengröße gedeckelt</w:t>
            </w:r>
          </w:p>
        </w:tc>
      </w:tr>
      <w:tr>
        <w:trPr>
          <w:cantSplit w:val="true"/>
        </w:trPr>
        <w:tc>
          <w:tcPr>
            <w:tcW w:w="2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w:t>
            </w:r>
          </w:p>
        </w:tc>
        <w:tc>
          <w:tcPr>
            <w:tcW w:w="11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653 CAD (Erwachsene)</w:t>
            </w:r>
          </w:p>
        </w:tc>
        <w:tc>
          <w:tcPr>
            <w:tcW w:w="12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Minderjährige 100 CAD</w:t>
            </w:r>
          </w:p>
        </w:tc>
        <w:tc>
          <w:tcPr>
            <w:tcW w:w="1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75 CAD Staatsbürgerschaftszertifikat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Gebührenerhöhung vom 30. April 2026; Kanada erhebt seine Gebühren in kanadischen Dollar, unabhängig vom Wechselkurs zum Euro.)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Auffällig ist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xml:space="preserve"> (RPRF, die Gebühr für das Recht auf permanenten Aufenthalt). Sie taucht in vielen ersten Kostenschätzungen gar nicht auf, weil sie getrennt von der eigentlichen Antragsgebühr erhoben wird – 600 CAD pro Erwachsenem, nicht für Kinder, seit dem 30. April 2026 angehoben von zuvor 575 CAD. Wer nur die Zahl aus der Antragsgebühren-Tabelle im Kopf hat, erlebt beim tatsächlichen Bezahlbildschirm eine unangenehme Überraschung.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Biometriegebühr ist pro Familie auf 170 CAD gedeckelt – unabhängig davon, ob ihr zu zweit oder zu fünft seid. Für Einzelpersonen lohnt sich der Vergleich nicht, für Familien mit mehreren Kindern ist das eine der wenigen Stellen im gesamten Verfahren, an denen es günstiger wird, je größer die Familie ist.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(Markus, 40, Softwarearchitekt; Julia, 37, Apothekerin; Finn, 11; Mia, 7; Leipzig) reicht nach der Einladung den PR-Antrag über Express Entry ein. Markus und Julia zahlen je 1.590 CAD Antragsgebühr, für Finn und Mia kommen je 270 CAD dazu – macht 3.720 CAD allein an Antragsgebühren. Dazu die RPRF für die Eltern (2 × 600 CAD) und die gedeckelte Familien-Biometriegebühr von 170 CAD. Summe: 5.090 CAD, bevor Sprachtest, Kompetenzbewertung des Abschlusses, Gesundheitsuntersuchung und Führungszeugnisse überhaupt eingerechnet sind. Am Küchentisch in Leipzig hatte das vorher niemand so konkret aufgeschrieben.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Versprechen und Wirklichkeit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IRCC veröffentlicht für die meisten Programme einen Servicestandard, keine Garantie. Für Express Entry gilt seit Anfang 2022 in der Regel eine Bearbeitungszeit von 6 Monaten ab vollständigem Antrag, die IRCC nach eigenen Angaben meist einhält. Ein Arbeitsvisum, das auf einer bereits genehmigten LMIA beruht und von außerhalb Kanadas gestellt wird, braucht üblicherweise 7 bis 13 Wochen – wobei die LMIA selbst, je nach Kategorie, weitere 8 bis 88 Werktage in Anspruch nimmt, bevor dein Arbeitgeber überhaupt mit deinem eigentlichen Antrag beginnen kann. Ein Studienvisum ist mit 60 Tagen bei Antragstellung außerhalb Kanadas beziehungsweise 120 Tagen von innerhalb veranschlagt.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IRCC selbst einräumt, „rollende Schätzungen“ auf Basis zuletzt abgeschlossener Fälle – keine Zusage für deinen konkreten Antrag. Realistisch bedeutet das: Zwischen Einladung und tatsächlicher Einreise können bei Express Entry leicht sechs bis zwölf Monate liegen, bei einem klassischen Arbeitgeber-Antrag mit vorgeschalteter LMIA eher vier bis acht Monate insgesamt.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 in Deutschland erst, wenn die Genehmigung tatsächlich vorliegt – nicht schon, wenn die LMIA deines künftigen Arbeitgebers durchgekommen ist. Zwischen diesen beiden Schritten liegt in der Praxis noch der komplette eigentliche Visumantrag.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Biometrie: der Termin bei VFS Global in Berlin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üblicherweise eine eigene, separate Servicegebühr – die aktuelle Höhe steht auf der VFS-Seite, nicht bei IRCC. Die eigentliche Prüfung deines Antrags bleibt vollständig bei IRCC, dort werden lediglich biometrische Daten erfasst und teils Dokumente entgegengenommen.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permanente Aufenthaltserlaubnis und viele befristete Visa ist eine vollständige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xml:space="preserve"> (IME, die Einwanderungs-Gesundheitsuntersuchung) Pflicht – und zwar ausschließlich bei einem von IRCC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liegen bei 200 bis 450 CAD pro Erwachsenem und 140 bis 180 CAD pro Kind, direkt beim Arzt zu zahlen; das Ergebnis gilt 12 Monate. Seit dem 21. August 2025 müssen Express-Entry-Antragsteller auf dem Weg zur permanenten Aufenthaltserlaubnis die Untersuchung bereits vor der eigentlichen Antragstellung absolvieren,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Sonderfall, den man kennen sollte, ohne sich davon verunsichern zu lassen: Bei erheblichem, dauerhaftem Pflege- oder Behandlungsbedarf eines Familienmitglieds prüft IRCC, ob die zu erwartenden Kosten für das kanadische Gesundheits- oder Sozialsystem eine bestimmte Schwelle übersteigen – 2026 liegt sie bei 144.390 CAD über 5 Jahre. Das betrifft die wenigsten Familien, ist aber bei bekannten chronischen Erkrankungen oder Behinderungen eines Kindes ein Punkt, den du frühzeitig mit einer Fachperson besprechen solltest, nicht erst beim Untersuchungstermin.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Panel Physicians sind nicht an jeder deutschen Ecke zu finden. Buche den Termin, sobald die Aufforderung im IRCC-Konto erscheint – ein voller Terminkalender beim nächstgelegenen zugelassenen Arzt verzögert sonst den gesamten 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Polizeiliches Führungszeugnis: einfacher, als du vielleicht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Antragstellerinnen und Antragsteller ab 18 Jahren verlangt IRCC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aus jedem Land, in dem seit dem 18. Geburtstag mindestens sechs zusammenhängende Monate gelebt wurde; das Zeugnis für das aktuelle Wohnsitzland muss zudem vergleichsweise frisch sein. Für Deutschland ist das der </w:t>
      </w:r>
      <w:r>
        <w:rPr>
          <w:rFonts w:eastAsia="Cambria" w:cs="Cambria"/>
          <w:b w:val="false"/>
          <w:bCs w:val="false"/>
          <w:i/>
          <w:iCs/>
          <w:sz w:val="22"/>
          <w:szCs w:val="22"/>
        </w:rPr>
        <w:t>Certificate of Good Conduct</w:t>
      </w:r>
      <w:r>
        <w:rPr>
          <w:rFonts w:eastAsia="Cambria" w:cs="Cambria"/>
          <w:b w:val="false"/>
          <w:bCs w:val="false"/>
          <w:i w:val="false"/>
          <w:iCs w:val="false"/>
          <w:sz w:val="22"/>
          <w:szCs w:val="22"/>
        </w:rPr>
        <w:t xml:space="preserve"> – das bekannte Führungszeugnis, das du beim Bundesamt für Justiz in Bonn online, postalisch oder persönlich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nehmen an, ein Führungszeugnis für eine ausländische Behörde brauche automatisch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Für Kanada ist das in aller Regel nicht der Fall. IRCC verlangt lediglich das Original; einzige Einschränkung: Wurde dein Führungszeugnis vor Februar 2019 ausgestellt, brauchst du zusätzlich eine beglaubigte Übersetzung ins Englische oder Französische, weil ältere Exemplare nur auf Deutsch ausgestellt wurden. Neuere Führungszeugnisse sind bereits mehrsprachig und werden ohne weitere Übersetzung akzeptiert.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seit dem 18. Geburtstag schon einmal länger als sechs Monate am Stück in einem dritten Land gelebt hat – ein Auslandssemester zählt in der Regel nicht, ein längerer Arbeitsaufenthalt schon –, braucht außerdem ein Führungszeugnis von dort. Das gerät in der Vorbereitung leicht in Vergessenheit, weil man zuerst nur an das eigene Heimatland denkt.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Einwanderungsberater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Kanada einen eigenen regulierten Berufsstand: den </w:t>
      </w:r>
      <w:r>
        <w:rPr>
          <w:rFonts w:eastAsia="Cambria" w:cs="Cambria"/>
          <w:b w:val="false"/>
          <w:bCs w:val="false"/>
          <w:i/>
          <w:iCs/>
          <w:sz w:val="22"/>
          <w:szCs w:val="22"/>
        </w:rPr>
        <w:t>Regulated Canadian Immigration Consultant</w:t>
      </w:r>
      <w:r>
        <w:rPr>
          <w:rFonts w:eastAsia="Cambria" w:cs="Cambria"/>
          <w:b w:val="false"/>
          <w:bCs w:val="false"/>
          <w:i w:val="false"/>
          <w:iCs w:val="false"/>
          <w:sz w:val="22"/>
          <w:szCs w:val="22"/>
        </w:rPr>
        <w:t xml:space="preserve"> (RCIC, den zugelassenen Einwanderungsberater). Reguliert wird dieser Berufsstand vom </w:t>
      </w:r>
      <w:r>
        <w:rPr>
          <w:rFonts w:eastAsia="Cambria" w:cs="Cambria"/>
          <w:b w:val="false"/>
          <w:bCs w:val="false"/>
          <w:i/>
          <w:iCs/>
          <w:sz w:val="22"/>
          <w:szCs w:val="22"/>
        </w:rPr>
        <w:t>College of Immigration and Citizenship Consultants</w:t>
      </w:r>
      <w:r>
        <w:rPr>
          <w:rFonts w:eastAsia="Cambria" w:cs="Cambria"/>
          <w:b w:val="false"/>
          <w:bCs w:val="false"/>
          <w:i w:val="false"/>
          <w:iCs w:val="false"/>
          <w:sz w:val="22"/>
          <w:szCs w:val="22"/>
        </w:rP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klar geregeltes Arbeitsvisum brauchst du in der Regel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RCIC oder eine kanadische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 und die kanadische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erwarten, dass die kanadische Botschaft in Berlin beim eigenen Visumantrag hilft oder wenigstens Auskunft gibt. Tatsächlich bearbeitet die Botschaft keine eingehenden Anträge deutscher Antragsteller; das erledigt IRCC ausschließlich online, wie oben beschrieben. Die kanadische Botschaft (Leipziger Platz 17, 10117 Berlin) und die Konsularvertretungen in München, Düsseldorf und Stuttgart sind in erster Linie für kanadische Staatsangehörige da – Pässe, Notfallhilfe, Beglaubigungen –, nicht für den deutschen Antragsteller im eigenen Wohnzimmer.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 geografisch der halbe Kontinent. Für den Westen – British Columbia, Alberta, Saskatchewan, Yukon und die Nordwest-Territorien – ist stattdessen das Generalkonsulat Vancouver zuständig.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mit Ziel Calgary bedeutet das etwas, das auf den ersten Blick wenig einleuchtet: Calgary liegt rund 1.000 Kilometer von Vancouver entfernt, konsularisch gehört er trotzdem dorthin – nicht zum vermeintlich naheliegenderen Toronto. Ein Generalkonsulat gibt es zudem in Montreal, das nach eigener Aufgabenbeschreibung allerdings keine klassischen Konsulardienste mehr anbietet; für Pass, Beglaubigung oder Notfallhilfe bleibt trotz Sitz in Québec das Generalkonsulat Toronto zuständig.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Welche deutsche Vertretung für dich zuständig ist, hängt von der Provinz ab, nicht von der Entfernung auf der Landkarte. Prüfe das früh, nicht erst, wenn du einen neuen Reisepass brauchst.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(29, Öl- und Gasingenieur, Hannover) bekommt ein Jobangebot eines Unternehmens in Calgary, das für ihn die LMIA beantragt – Kosten für Lukas: nur die Work-Permit-Gebühr von 155 CAD plus 85 CAD Biometrie, den Rest trägt der Arbeitgeber. Sein Führungszeugnis braucht keine Apostille, seine Gesundheitsuntersuchung beim Panel Physician in Hannover kostet ihn rund 280 CAD. Vom Jobangebot bis zur Genehmigung des Arbeitsvisums vergehen gut fünf Monate – die LMIA seines Arbeitgebers allein braucht schon zwei davon. Für Passfragen bleibt Lukas später übrigens das Generalkonsulat Vancouver zuständig, nicht das geografisch nähere Toronto.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Recht-auf-PR-Gebühr wird in ersten Kostenschätzungen leicht übersehen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Biometrie-Termin in Berlin gut erreichbar, keine lange Anfahrt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Apostille-Aufwand beim Führungszeugnis wie bei manch anderem Zielland</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schwanken stark und sind reine Schätzwerte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Biometriegebühr pro Familie gedeckelt, nicht pro Kopf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verloren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über das Kapitel zum Arbeitsweg, welcher Weg für dich passt – das entscheidet, ob eine LMIA deines Arbeitgebers oder ein eigenes Express-Entry-Profil der erste Schritt ist. Lege dein IRCC-Konto an, kalkuliere die Gesamtkosten inklusive RPRF realistisch, und bestelle Führungszeugnis sowie gegebenenfalls die passende Übersetzung frühzeitig. Buche Biometrie- und Gesundheitstermin, sobald IRCC dich dazu auffordert, und entscheide bewusst, ob ein registrierter RCIC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Zielweg geklärt (Work Permit LMIA-pflichtig/-frei, Express Entry, PNP, Study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IRCC-Kundenkonto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inklusive der separaten RPRF von 600 CAD pro Erwachsenem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für jedes Land mit mindestens sechs zusammenhängenden Monaten Aufenthalt seit dem 18. Geburtstag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Führungszeugnis mit Ausstellungsdatum vor Februar 2019: beglaubigte Übersetzung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VFS Global Berlin für Biometrie gebucht, sobald IRCC dazu auffordert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einem zugelassenen Panel Physician für die Gesundheitsuntersuchung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RCIC sinnvoll ist; Registrierung im CICC-Register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deutsche Auslandsvertretung für die Zielprovinz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IRCC-Seite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Gebühren: </w:t>
      </w:r>
      <w:hyperlink r:id="rId558">
        <w:r>
          <w:rPr>
            <w:rStyle w:val="ListLabel113"/>
            <w:rFonts w:eastAsia="Cambria" w:cs="Cambria"/>
            <w:b w:val="false"/>
            <w:bCs w:val="false"/>
            <w:i w:val="false"/>
            <w:iCs w:val="false"/>
            <w:color w:val="0563C1"/>
            <w:sz w:val="22"/>
            <w:szCs w:val="22"/>
            <w:u w:val="single"/>
          </w:rPr>
          <w:t>ircc.canada.ca/english/information/fees/fees.asp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Bearbeitungszeiten: </w:t>
      </w:r>
      <w:hyperlink r:id="rId559">
        <w:r>
          <w:rPr>
            <w:rStyle w:val="ListLabel113"/>
            <w:rFonts w:eastAsia="Cambria" w:cs="Cambria"/>
            <w:b w:val="false"/>
            <w:bCs w:val="false"/>
            <w:i w:val="false"/>
            <w:iCs w:val="false"/>
            <w:color w:val="0563C1"/>
            <w:sz w:val="22"/>
            <w:szCs w:val="22"/>
            <w:u w:val="single"/>
          </w:rPr>
          <w:t>canada.ca/en/immigration-refugees-citizenship/services/application/check-processing-times.html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Panel Physicians: </w:t>
      </w:r>
      <w:hyperlink r:id="rId560">
        <w:r>
          <w:rPr>
            <w:rStyle w:val="ListLabel113"/>
            <w:rFonts w:eastAsia="Cambria" w:cs="Cambria"/>
            <w:b w:val="false"/>
            <w:bCs w:val="false"/>
            <w:i w:val="false"/>
            <w:iCs w:val="false"/>
            <w:color w:val="0563C1"/>
            <w:sz w:val="22"/>
            <w:szCs w:val="22"/>
            <w:u w:val="single"/>
          </w:rPr>
          <w:t>canada.ca/en/immigration-refugees-citizenship/corporate/partners-service-providers/panel-physicians.html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Polizeiliches Führungszeugnis aus Deutschland: </w:t>
      </w:r>
      <w:hyperlink r:id="rId561">
        <w:r>
          <w:rPr>
            <w:rStyle w:val="ListLabel113"/>
            <w:rFonts w:eastAsia="Cambria" w:cs="Cambria"/>
            <w:b w:val="false"/>
            <w:bCs w:val="false"/>
            <w:i w:val="false"/>
            <w:iCs w:val="false"/>
            <w:color w:val="0563C1"/>
            <w:sz w:val="22"/>
            <w:szCs w:val="22"/>
            <w:u w:val="single"/>
          </w:rPr>
          <w:t>canada.ca/en/immigration-refugees-citizenship/services/application/medical-police/police-certificates/how/germany.html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College of Immigration and Citizenship Consultants — Register: </w:t>
      </w:r>
      <w:hyperlink r:id="rId562">
        <w:r>
          <w:rPr>
            <w:rStyle w:val="ListLabel113"/>
            <w:rFonts w:eastAsia="Cambria" w:cs="Cambria"/>
            <w:b w:val="false"/>
            <w:bCs w:val="false"/>
            <w:i w:val="false"/>
            <w:iCs w:val="false"/>
            <w:color w:val="0563C1"/>
            <w:sz w:val="22"/>
            <w:szCs w:val="22"/>
            <w:u w:val="single"/>
          </w:rPr>
          <w:t>college-ic.ca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VFS Global — Visa Application Centre Berlin: </w:t>
      </w:r>
      <w:hyperlink r:id="rId563">
        <w:r>
          <w:rPr>
            <w:rStyle w:val="ListLabel113"/>
            <w:rFonts w:eastAsia="Cambria" w:cs="Cambria"/>
            <w:b w:val="false"/>
            <w:bCs w:val="false"/>
            <w:i w:val="false"/>
            <w:iCs w:val="false"/>
            <w:color w:val="0563C1"/>
            <w:sz w:val="22"/>
            <w:szCs w:val="22"/>
            <w:u w:val="single"/>
          </w:rPr>
          <w:t>visa.vfsglobal.com/deu/de/can</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64">
        <w:r>
          <w:rPr>
            <w:rStyle w:val="ListLabel113"/>
            <w:rFonts w:eastAsia="Cambria" w:cs="Cambria"/>
            <w:b w:val="false"/>
            <w:bCs w:val="false"/>
            <w:i w:val="false"/>
            <w:iCs w:val="false"/>
            <w:color w:val="0563C1"/>
            <w:sz w:val="22"/>
            <w:szCs w:val="22"/>
            <w:u w:val="single"/>
          </w:rPr>
          <w:t>kanada.diplo.de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565">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ircc.canada.ca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7" w:name="__RefHeading___Toc56576_3457424410"/>
      <w:bookmarkStart w:id="148" w:name="tka06"/>
      <w:bookmarkEnd w:id="147"/>
      <w:r>
        <w:rPr>
          <w:rFonts w:eastAsia="Amazon Ember" w:cs="Amazon Ember" w:ascii="Amazon Ember" w:hAnsi="Amazon Ember"/>
          <w:b/>
          <w:bCs/>
          <w:color w:val="0000FF"/>
          <w:sz w:val="36"/>
          <w:szCs w:val="36"/>
        </w:rPr>
        <w:t>Kanada: Ankunft, erste Tage und Wochen</w:t>
      </w:r>
      <w:bookmarkEnd w:id="1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steht noch halb gepackt in der Ecke, der Jetlag hat sich noch nicht verzogen, und schon wartet ein Stapel erster Termine, von dem kein Reiseführer je etwas erwähnt hat: eine Sozialversicherungsnummer, ein Bankkonto, eine Handynummer, eine Krankenversicherungskarte, irgendwann auch eine Wohnung, die nicht nur für zwei Wochen gemietet ist. Wer aus Deutschland kommt, unterschätzt gern, wie viel Verwaltung sich in den ersten kanadischen Wochen ballt – nicht, weil Kanada besonders bürokratisch wäre, sondern weil sich höflich und gründlich hier offenbar nicht gegenseitig ausschließen.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Einreisekontrolle der </w:t>
            </w:r>
            <w:r>
              <w:rPr>
                <w:rFonts w:eastAsia="Cambria" w:cs="Cambria"/>
                <w:b w:val="false"/>
                <w:bCs w:val="false"/>
                <w:i/>
                <w:iCs/>
                <w:sz w:val="20"/>
                <w:szCs w:val="20"/>
              </w:rPr>
              <w:t>Canada Border Services Agency</w:t>
            </w:r>
            <w:r>
              <w:rPr>
                <w:rFonts w:eastAsia="Cambria" w:cs="Cambria"/>
                <w:b w:val="false"/>
                <w:bCs w:val="false"/>
                <w:i w:val="false"/>
                <w:iCs w:val="false"/>
                <w:sz w:val="20"/>
                <w:szCs w:val="20"/>
              </w:rPr>
              <w:t xml:space="preserve"> (CBSA, der kanadische Grenzschutz) ist meist zügig – bei einer permanenten Aufenthaltserlaubnis wird dort aber erst formal dein Status wirksam, nicht schon mit der Genehmigung aus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Social Insurance Number</w:t>
            </w:r>
            <w:r>
              <w:rPr>
                <w:rFonts w:eastAsia="Cambria" w:cs="Cambria"/>
                <w:b w:val="false"/>
                <w:bCs w:val="false"/>
                <w:i w:val="false"/>
                <w:iCs w:val="false"/>
                <w:sz w:val="20"/>
                <w:szCs w:val="20"/>
              </w:rPr>
              <w:t xml:space="preserve"> (SIN, die kanadische Sozialversicherungsnummer) sofort: kostenlos, oft binnen fünf Werktagen bestätigt, aber ohne sie kein Gehalt und keine Steuererklärung.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sofort Zugang zur staatlichen Provinz-Krankenversicherung hast, hängt stark von der Provinz ab – Ontario ohne Wartezeit, andere Provinzen mit bis zu drei Monaten.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besser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CBSA und die eigentliche „Landung“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bei der ein CBSA-Beamter deine </w:t>
      </w:r>
      <w:r>
        <w:rPr>
          <w:rFonts w:eastAsia="Cambria" w:cs="Cambria"/>
          <w:b w:val="false"/>
          <w:bCs w:val="false"/>
          <w:i/>
          <w:iCs/>
          <w:sz w:val="22"/>
          <w:szCs w:val="22"/>
        </w:rPr>
        <w:t>Confirmation of Permanent Residence</w:t>
      </w:r>
      <w:r>
        <w:rPr>
          <w:rFonts w:eastAsia="Cambria" w:cs="Cambria"/>
          <w:b w:val="false"/>
          <w:bCs w:val="false"/>
          <w:i w:val="false"/>
          <w:iCs w:val="false"/>
          <w:sz w:val="22"/>
          <w:szCs w:val="22"/>
        </w:rPr>
        <w:t xml:space="preserve"> (COPR, die Bestätigung des permanenten Aufenthalts) prüft und deinen Status offiziell aktiviert. Ohne dieses Dokument im Handgepäck – nicht im aufgegebenen Koffer – klappt die Landung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nicht nur digital auf dem Handy, dessen Akku ausgerechnet nach zehn Stunden Flug selten volle Leistung zeigt.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IRCC-Genehmigung nicht mit der tatsächlichen Einreiseerlaubnis. Beides ist rechtlich getrennt, und der zweite Schritt findet ausschließlich am Grenzübergang statt – vorbereitet, aber nicht vorweggenommen.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Vom Flughafen kommst du in Toronto, Calgary oder Vancouver meist per Zug, Bus, Taxi oder Fahrdienst wie Uber in die Innenstadt; der </w:t>
      </w:r>
      <w:r>
        <w:rPr>
          <w:rFonts w:eastAsia="Cambria" w:cs="Cambria"/>
          <w:b w:val="false"/>
          <w:bCs w:val="false"/>
          <w:i/>
          <w:iCs/>
          <w:sz w:val="22"/>
          <w:szCs w:val="22"/>
        </w:rPr>
        <w:t>Union Pearson Express</w:t>
      </w:r>
      <w:r>
        <w:rPr>
          <w:rFonts w:eastAsia="Cambria" w:cs="Cambria"/>
          <w:b w:val="false"/>
          <w:bCs w:val="false"/>
          <w:i w:val="false"/>
          <w:iCs w:val="false"/>
          <w:sz w:val="22"/>
          <w:szCs w:val="22"/>
        </w:rPr>
        <w:t xml:space="preserve"> etwa verbindet den Flughafen Toronto Pearson direkt und ohne Umsteigen mit der Innenstadt. Wechsle nur so viel Bargeld wie nötig am Flughafenschalter – die Kurse dort sind selten die besten –,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Zeitzonen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ist geografisch so groß, dass ein einzelner „Zeitunterschied zu Kanada“ wenig aussagt: Toronto liegt in der Eastern Time Zone, rund sechs Stunden hinter Deutschland, Calgary in der Mountain Time Zone, rund acht Stunden dahinter – und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Social Insurance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SIN sein –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unterschriebenem Formular, oder persönlich bei einer Filiale von </w:t>
      </w:r>
      <w:r>
        <w:rPr>
          <w:rFonts w:eastAsia="Cambria" w:cs="Cambria"/>
          <w:b w:val="false"/>
          <w:bCs w:val="false"/>
          <w:i/>
          <w:iCs/>
          <w:sz w:val="22"/>
          <w:szCs w:val="22"/>
        </w:rPr>
        <w:t>Service Canada</w:t>
      </w:r>
      <w:r>
        <w:rPr>
          <w:rFonts w:eastAsia="Cambria" w:cs="Cambria"/>
          <w:b w:val="false"/>
          <w:bCs w:val="false"/>
          <w:i w:val="false"/>
          <w:iCs w:val="false"/>
          <w:sz w:val="22"/>
          <w:szCs w:val="22"/>
        </w:rPr>
        <w:t xml:space="preserve"> – dort meist mit sofortiger Ausstellung. Nötig sind ein gültiges Primärdokument (Pass plus Arbeits- oder Studienvisum beziehungsweise die PR-Bestätigung) sowie ein Sekundärdokument zum Identitätsnachweis. Die Online-Bestätigung dauert in der Regel bis zu fünf Werktage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 ein Betrag, der in den ohnehin teuren ersten Wochen schlicht fehlt.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SIN ist reine Steuer- und Arbeits-ID. Für die Provinz-Krankenversicherung und für Sozialleistungen meldest du dich separat an – dazu gleich mehr. Das </w:t>
            </w:r>
            <w:hyperlink w:anchor="tka07">
              <w:r>
                <w:rPr>
                  <w:rStyle w:val="ListLabel116"/>
                  <w:rFonts w:eastAsia="Cambria" w:cs="Cambria"/>
                  <w:b w:val="false"/>
                  <w:bCs w:val="false"/>
                  <w:i w:val="false"/>
                  <w:iCs w:val="false"/>
                  <w:color w:val="0563C1"/>
                  <w:sz w:val="20"/>
                  <w:szCs w:val="20"/>
                  <w:u w:val="single"/>
                </w:rPr>
                <w:t>Kapitel zu Steuer-ID, Bank und Kredit in diesem Teil</w:t>
              </w:r>
            </w:hyperlink>
            <w:r>
              <w:rPr>
                <w:rFonts w:eastAsia="Cambria" w:cs="Cambria"/>
                <w:b w:val="false"/>
                <w:bCs w:val="false"/>
                <w:i w:val="false"/>
                <w:iCs w:val="false"/>
                <w:sz w:val="20"/>
                <w:szCs w:val="20"/>
              </w:rPr>
              <w:t xml:space="preserve"> vertieft, was danach mit deiner ersten Steuererklärung als „Newcomer“ passiert.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kanadisches Bankkonto –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turbulentesten Woche noch einen Filialtermin einzuschieben. Ohne Voreröffnung holst du das nach der Landung nach; alle Banken verlangen dafür einmalig eine persönliche Identifizierung mit Pass und Aufenthaltsnachweis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zweiter Punkt, den viele erst hier lernen: Deine deutsche Bonität zählt in Kanada nicht das Geringste. Die kanadischen Auskunfteien Equifax Canada und TransUnion Canada übernehmen keine ausländische Kredithistorie – der Aufbau beginnt bei null, unabhängig davon, wie zuverlässig du in Deutschland je deine Rechnungen bezahlt hast. Der klassische Weg: eine </w:t>
      </w:r>
      <w:r>
        <w:rPr>
          <w:rFonts w:eastAsia="Cambria" w:cs="Cambria"/>
          <w:b w:val="false"/>
          <w:bCs w:val="false"/>
          <w:i/>
          <w:iCs/>
          <w:sz w:val="22"/>
          <w:szCs w:val="22"/>
        </w:rPr>
        <w:t>Secured Credit Card</w:t>
      </w:r>
      <w:r>
        <w:rPr>
          <w:rFonts w:eastAsia="Cambria" w:cs="Cambria"/>
          <w:b w:val="false"/>
          <w:bCs w:val="false"/>
          <w:i w:val="false"/>
          <w:iCs w:val="false"/>
          <w:sz w:val="22"/>
          <w:szCs w:val="22"/>
        </w:rP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Kreditkarte gleich in der ersten Woche, auch wenn du sie kaum brauchst. Jeder Monat, den du wartest, ist ein Monat, den du später bei Miet-, Auto- oder Hypothekenanträgen an Kredithistorie vermisst.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Provinz-Krankenversicherung: der Unterschied, der sofort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w:t>
      </w:r>
      <w:r>
        <w:rPr>
          <w:rFonts w:eastAsia="Cambria" w:cs="Cambria"/>
          <w:b w:val="false"/>
          <w:bCs w:val="false"/>
          <w:i/>
          <w:iCs/>
          <w:sz w:val="22"/>
          <w:szCs w:val="22"/>
        </w:rPr>
        <w:t>OHIP</w:t>
      </w:r>
      <w:r>
        <w:rPr>
          <w:rFonts w:eastAsia="Cambria" w:cs="Cambria"/>
          <w:b w:val="false"/>
          <w:bCs w:val="false"/>
          <w:i w:val="false"/>
          <w:iCs w:val="false"/>
          <w:sz w:val="22"/>
          <w:szCs w:val="22"/>
        </w:rPr>
        <w:t>, dem Ontario Health Insurance Plan) wurde die frühere dreimonatige Wartefrist bereits 2020 abgeschafft; die Deckung gilt ab Antragstellung, die Karte selbst kommt praktisch erst vier bis sechs Wochen später per Post. In British Columbia (</w:t>
      </w:r>
      <w:r>
        <w:rPr>
          <w:rFonts w:eastAsia="Cambria" w:cs="Cambria"/>
          <w:b w:val="false"/>
          <w:bCs w:val="false"/>
          <w:i/>
          <w:iCs/>
          <w:sz w:val="22"/>
          <w:szCs w:val="22"/>
        </w:rPr>
        <w:t>MSP</w:t>
      </w:r>
      <w:r>
        <w:rPr>
          <w:rFonts w:eastAsia="Cambria" w:cs="Cambria"/>
          <w:b w:val="false"/>
          <w:bCs w:val="false"/>
          <w:i w:val="false"/>
          <w:iCs w:val="false"/>
          <w:sz w:val="22"/>
          <w:szCs w:val="22"/>
        </w:rPr>
        <w:t>, dem Medical Services Plan) dagegen bleibt eine Wartefrist von drei vollen Kalendermonaten plus dem Rest des Ankunftsmonats bestehen, auch wenn die Versicherung selbst seit 2020 beitragsfrei ist. Für Alberta und Saskatchewan berichten mehrere unabhängige Quellen von keiner oder nur einer sehr kurzen Wartefrist – im Einzelfall lohnt sich vor dem Umzug trotzdem eine direkte Nachfrage bei der Provinzbehörde, da diese Angabe nicht amtlich im Detail geprüft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jede Wartefrist gilt dieselbe Empfehlung: eine private Übergangsversicherung abschließen, nicht abwarten und hoffen. Anbieter wie Manulife, Sun Life oder Blue Cross bieten Policen für Neuankömmlinge in einer Preisspanne von grob 100 bis 200 CAD pro Person und Monat, je nach Deckungsumfang. Was die Provinz-Pläne abdecken – und was, wie Zahnbehandlung oder Medikamente außerhalb des Krankenhauses, meist zusätzlich versichert werden muss –, erklärt das </w:t>
      </w:r>
      <w:hyperlink w:anchor="tka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Regeln deiner Zielprovinz nicht mit denen einer anderen. Wer aus Erzählungen von Bekannten in Toronto ableitet, es gebe generell keine Wartefrist in Kanada, steht in Vancouver oder Montreal unter Umständen drei Monate ohne jede staatliche Absicherung da.</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landet mit bereits genehmigtem PR-Status in Toronto und lässt die COPR bei der CBSA prüfen – ab diesem Moment sind alle vier offiziell Permanent Residents. Noch in derselben Woche beantragen Markus und Julia online die SIN für sich und die Kinder, bestätigt binnen vier Werktagen. Da Ontario keine Wartefrist kennt, melden sie sich direkt für die Gesundheitskarten an; die Plastikkarten selbst treffen erst gut einen Monat später per Post ein, bis dahin gilt für die Familie noch die deutsche Auslandskrankenversicherung. Das Bankkonto bei einer der Big-Five-Banken hatte Julia bereits vier Wochen vor dem Abflug online eingerichtet – am zweiten Tag in Toronto reicht ein kurzer Filialbesuch zur Identifizierung.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Kanada in aller Regel kein EU-Roaming, und wer das erst am Flughafen bemerkt,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Kanada-Datenpaket, eingerichtet schon vor dem Abflug, oder eine physische Prepaid-SIM direkt nach der Landung – erhältlich an Kiosken im Ankunftsbereich, in Drogerien und bei den Netzbetreibern selbst. Die drei etablierten Anbieter Rogers, Bell und Telus decken das Land am dichtesten ab, auch abseits der Großstädte, verlangen dafür aber meist höhere Preise als ihre eigenen Zweitmarken – etwa Fido, Koodo, Virgin Plus oder Chatr –, die auf demselben Netz laufen, jedoch günstiger und meist ganz ohne Bonitätsprüfung zu haben sind. Für den Anfang ist Prepaid die unkompliziertere Wahl; einen Laufzeitvertrag verlangt ohnehin oft eine kanadische Kreditkarte oder Bonitätsprüfung, die frisch Angekommene naturgemäß noch nicht vorweisen können. Behalte deine deutsche Nummer als Zweit-SIM, solange dort noch Bestätigungscodes von Bank oder deutschen Behörden ankommen.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Wohnung: Übergang und 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kanadische Adresse ist selten die endgültige, und so solltest du sie auch buchen: mit kostenloser Stornierung, ohne Langzeitvertrag. Ein möbliertes Apartment auf Zeit, ein Airbnb oder ein Hotel mit Wochenpreisen überbrücken die ersten ein bis zwei Wochen, in denen du erst SIN, Bankkonto und einen ersten Gehaltsnachweis vorweisen solltest, bevor du dich um einen regulären Mietvertrag bemühst – viele Vermieter verlangen genau diese Unterlagen als Teil der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weshalb manche Vermieter eine höhere Kaution, eine Bürgschaft oder gleich mehrere Monatsmieten im Voraus verlangen –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Hotelbudget in Torschlusspanik zu geraten. Mit vollständigen Unterlagen und einer Terminliste in der Tasche kommst du in begehrten Vierteln von Toronto oder Vancouver deutlich weiter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Provinz und Flug ab.</w:t>
      </w:r>
    </w:p>
    <w:tbl>
      <w:tblPr>
        <w:tblW w:w="6480" w:type="dxa"/>
        <w:jc w:val="left"/>
        <w:tblInd w:w="0" w:type="dxa"/>
        <w:tblLayout w:type="fixed"/>
        <w:tblCellMar>
          <w:top w:w="50" w:type="dxa"/>
          <w:left w:w="80" w:type="dxa"/>
          <w:bottom w:w="50" w:type="dxa"/>
          <w:right w:w="80" w:type="dxa"/>
        </w:tblCellMar>
      </w:tblPr>
      <w:tblGrid>
        <w:gridCol w:w="1093"/>
        <w:gridCol w:w="3301"/>
        <w:gridCol w:w="2086"/>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3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0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Landung/COPR-Prüfung, Übergangsunterkunft beziehen, SIM aktivieren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beantragen; Bankkonto eröffnen oder vor Ort verifizieren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der Provinz-Krankenversicherung, sofern keine Wartefrist gilt; sonst private Übergangsversicherung prüfen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Bewerbungsmappe vorbereiten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Sozialleistungen mit dem Arbeitgeber klären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reist mit seinem Arbeitsvisum allein nach Calgary, zunächst für zwei Wochen in ein möbliertes Apartment mit Wochenpreis. Am dritten Tag holt er seine vorab online bestellte Prepaid-SIM in einer Drogerie ab, am vierten Tag beantragt er online die SIN – bestätigt fünf Tage später. Da Alberta laut den ihm vorliegenden Informationen ohne nennenswerte Wartefrist arbeitet, meldet er sich in der zweiten Woche direkt bei der Provinzbehörde für die Gesundheitsversicherung an, sicherheitshalber mit einer zusätzlichen kurzen privaten Überbrückungspolice für die ersten Tage. Die Wohnungssuche beginnt er bewusst erst, nachdem der erste Gehaltsnachweis vorliegt.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46"/>
        <w:gridCol w:w="3133"/>
      </w:tblGrid>
      <w:tr>
        <w:trPr>
          <w:tblHeader w:val="true"/>
          <w:cantSplit w:val="true"/>
        </w:trPr>
        <w:tc>
          <w:tcPr>
            <w:tcW w:w="33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erst nach Ankunft mit gültigem Status-Nachweis beantragbar</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SIN-Bestätigung meist innerhalb weniger Werktage</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Kredithistorie beginnt trotz deutscher Bonität bei null</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ganz ohne Wartefrist beim Gesundheitssystem</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und einige andere Provinzen mit bis zu drei Monaten Wartefrist</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Prepaid-SIM unkompliziert und ohne Bonitätsprüfung</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ohne Kredithistorie stellenweise mühsam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COPR beziehungsweise Visumsbestätigung und alle Nachweise griffbereit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SIN-Antrag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beim Gesundheitssystem vorab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Secured Credit Card oder Newcomer-Kreditkarte in der ersten Woche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Einreise: </w:t>
      </w:r>
      <w:hyperlink r:id="rId566">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 Canada — Social Insurance Number: </w:t>
      </w:r>
      <w:hyperlink r:id="rId567">
        <w:r>
          <w:rPr>
            <w:rStyle w:val="ListLabel113"/>
            <w:rFonts w:eastAsia="Cambria" w:cs="Cambria"/>
            <w:b w:val="false"/>
            <w:bCs w:val="false"/>
            <w:i w:val="false"/>
            <w:iCs w:val="false"/>
            <w:color w:val="0563C1"/>
            <w:sz w:val="22"/>
            <w:szCs w:val="22"/>
            <w:u w:val="single"/>
          </w:rPr>
          <w:t>canada.ca/en/employment-social-development/services/sin.html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OHIP-Anmeldung: </w:t>
      </w:r>
      <w:hyperlink r:id="rId568">
        <w:r>
          <w:rPr>
            <w:rStyle w:val="ListLabel113"/>
            <w:rFonts w:eastAsia="Cambria" w:cs="Cambria"/>
            <w:b w:val="false"/>
            <w:bCs w:val="false"/>
            <w:i w:val="false"/>
            <w:iCs w:val="false"/>
            <w:color w:val="0563C1"/>
            <w:sz w:val="22"/>
            <w:szCs w:val="22"/>
            <w:u w:val="single"/>
          </w:rPr>
          <w:t>ontario.ca/page/apply-ohip-and-get-health-card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British Columbia — MSP-Wartefrist: </w:t>
      </w:r>
      <w:hyperlink r:id="rId569">
        <w:r>
          <w:rPr>
            <w:rStyle w:val="ListLabel113"/>
            <w:rFonts w:eastAsia="Cambria" w:cs="Cambria"/>
            <w:b w:val="false"/>
            <w:bCs w:val="false"/>
            <w:i w:val="false"/>
            <w:iCs w:val="false"/>
            <w:color w:val="0563C1"/>
            <w:sz w:val="22"/>
            <w:szCs w:val="22"/>
            <w:u w:val="single"/>
          </w:rPr>
          <w:t>www2.gov.bc.ca/gov/content/health/health-drug-coverage/msp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CRA — Steuern für Neuankömmlinge: </w:t>
      </w:r>
      <w:hyperlink r:id="rId570">
        <w:r>
          <w:rPr>
            <w:rStyle w:val="ListLabel113"/>
            <w:rFonts w:eastAsia="Cambria" w:cs="Cambria"/>
            <w:b w:val="false"/>
            <w:bCs w:val="false"/>
            <w:i w:val="false"/>
            <w:iCs w:val="false"/>
            <w:color w:val="0563C1"/>
            <w:sz w:val="22"/>
            <w:szCs w:val="22"/>
            <w:u w:val="single"/>
          </w:rPr>
          <w:t>canada.ca/en/revenue-agency/services/tax/individuals/international-tax/newcomers-canada-immigrants.html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71">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Wartefristen der Provinz-Krankenversicherungen, SIN-Verfahren, Bankkonditionen für Neuankömmlinge sowie Mobilfunktarife. Prüfe vor der Einreise die aktuellen Seiten von CBSA, Service Canada und der Provinzbehörde deines Zielorts.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9" w:name="__RefHeading___Toc56578_3457424410"/>
      <w:bookmarkStart w:id="150" w:name="tka07"/>
      <w:bookmarkEnd w:id="149"/>
      <w:r>
        <w:rPr>
          <w:rFonts w:eastAsia="Amazon Ember" w:cs="Amazon Ember" w:ascii="Amazon Ember" w:hAnsi="Amazon Ember"/>
          <w:b/>
          <w:bCs/>
          <w:color w:val="0000FF"/>
          <w:sz w:val="36"/>
          <w:szCs w:val="36"/>
        </w:rPr>
        <w:t>Kanada: SIN, Steuern, Bank und Kredit aufbauen</w:t>
      </w:r>
      <w:bookmarkEnd w:id="1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Bergers erster Arbeitstag in Calgary beginnt vielversprechend: Bürotour, Laptop, ein Firmenausweis mit einem Foto, auf dem er müder aussieht, als er sich fühlt. Dann fragt die Personalabteilung nach seiner </w:t>
      </w:r>
      <w:r>
        <w:rPr>
          <w:rFonts w:eastAsia="Cambria" w:cs="Cambria"/>
          <w:b w:val="false"/>
          <w:bCs w:val="false"/>
          <w:i/>
          <w:iCs/>
          <w:sz w:val="22"/>
          <w:szCs w:val="22"/>
        </w:rPr>
        <w:t>Social Insurance Number</w:t>
      </w:r>
      <w:r>
        <w:rPr>
          <w:rFonts w:eastAsia="Cambria" w:cs="Cambria"/>
          <w:b w:val="false"/>
          <w:bCs w:val="false"/>
          <w:i w:val="false"/>
          <w:iCs w:val="false"/>
          <w:sz w:val="22"/>
          <w:szCs w:val="22"/>
        </w:rPr>
        <w:t xml:space="preserve"> (SIN, der neunstelligen kanadischen Sozialversicherungsnummer) – und Lukas muss zugeben, dass er sie noch gar nicht hat. Kein Beinbruch, aber ein deutlicher Hinweis darauf, dass ein kanadisches Arbeitsleben mit einem Formular beginnt, nicht mit einem Handschlag. Dieses Kapitel zeigt, wie du die SIN beantragst, wie das kanadische Steuersystem für Neuankömmlinge funktioniert, was Einkommen- und Verbrauchsteuer je nach Provinz kosten – und wie du dir bei null eine kanadische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SIN beantragst du kostenlos online, per Post oder persönlich; ohne sie gibt es kein Gehalt, keine Steuererklärung und kein vollwertiges Bankkonto.</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besteuert nach steuerlicher Ansässigkeit, nicht nach Staatsangehörigkeit: Ab dem Tag deiner Ansässigkeit zählt dein Weltjahreseinkommen.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bisherige GST/HST-Credit wird zum 3. Juli 2026 durch die neue </w:t>
            </w:r>
            <w:r>
              <w:rPr>
                <w:rFonts w:eastAsia="Cambria" w:cs="Cambria"/>
                <w:b w:val="false"/>
                <w:bCs w:val="false"/>
                <w:i/>
                <w:iCs/>
                <w:sz w:val="20"/>
                <w:szCs w:val="20"/>
              </w:rPr>
              <w:t>Canada Groceries and Essentials Benefit</w:t>
            </w:r>
            <w:r>
              <w:rPr>
                <w:rFonts w:eastAsia="Cambria" w:cs="Cambria"/>
                <w:b w:val="false"/>
                <w:bCs w:val="false"/>
                <w:i w:val="false"/>
                <w:iCs w:val="false"/>
                <w:sz w:val="20"/>
                <w:szCs w:val="20"/>
              </w:rPr>
              <w:t xml:space="preserve"> (CGEB) abgelöst – melde dich trotzdem früh mit Formular RC151 an.</w:t>
            </w:r>
          </w:p>
          <w:p>
            <w:pPr>
              <w:pStyle w:val="ListParagraph"/>
              <w:numPr>
                <w:ilvl w:val="0"/>
                <w:numId w:val="1"/>
              </w:numPr>
              <w:spacing w:lineRule="exact" w:line="264" w:before="0" w:after="50"/>
              <w:rPr/>
            </w:pPr>
            <w:r>
              <w:rPr>
                <w:rFonts w:eastAsia="Cambria" w:cs="Cambria"/>
                <w:b w:val="false"/>
                <w:bCs w:val="false"/>
                <w:i w:val="false"/>
                <w:iCs w:val="false"/>
                <w:sz w:val="20"/>
                <w:szCs w:val="20"/>
              </w:rPr>
              <w:t>Einkommensteuer ist Bundessache plus Provinzsache: 2026 liegt der Bundessatz zwischen 14 % und 33 %, dazu kommt eine eigene Provinztabelle – Ontario und British Columbia unterscheiden sich in der Spitzenbelastung deutlich.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Mehrwertsteuer reicht von 5 % in Alberta bis 15 % in mehreren Ostprovinzen – ein Umzug über eine Provinzgrenze verändert jeden Einkaufszettel.</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bei Equifax Canada und TransUnion Canada nichts: Du baust deine Kreditwürdigkeit über eine gesicherte Kreditkarte oder ein Newcomer-Paket der großen Banken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SIN: dein Zugang zum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SIN ist die Voraussetzung, um in Kanada legal zu arbeiten, Steuererklärungen abzugeben und Sozialleistungen wie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(Arbeitslosenversicherung) oder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gesetzliche Rente) zu beziehen. Auch ein Bankkonto mit vollem Funktionsumfang setzt sie in der Regel voraus. Ohne SIN bist du im kanadischen System schlicht nicht vorhanden – eine erstaunlich wirkungsvolle Art, dir vorübergehend jede Bürokratie zu ersparen, nur leider auch jedes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Wege führen zur SIN: online über das </w:t>
      </w:r>
      <w:r>
        <w:rPr>
          <w:rFonts w:eastAsia="Cambria" w:cs="Cambria"/>
          <w:b w:val="false"/>
          <w:bCs w:val="false"/>
          <w:i/>
          <w:iCs/>
          <w:sz w:val="22"/>
          <w:szCs w:val="22"/>
        </w:rPr>
        <w:t>eSIN-Portal</w:t>
      </w:r>
      <w:r>
        <w:rPr>
          <w:rFonts w:eastAsia="Cambria" w:cs="Cambria"/>
          <w:b w:val="false"/>
          <w:bCs w:val="false"/>
          <w:i w:val="false"/>
          <w:iCs w:val="false"/>
          <w:sz w:val="22"/>
          <w:szCs w:val="22"/>
        </w:rPr>
        <w:t xml:space="preserve">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 etwa dein Work Permit oder die PR-Karte –, dazu ein Sekundärdokument wie den Reisepass. Bei Namensabweichungen zwischen den Dokumenten verlangt Service Canada einen zusätzlichen Nachweis. Die Beantragung ist in allen drei Verfahren kostenlos; die Online-Bestätigung kommt meist binnen fünf Werktagen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 xml:space="preserve"> (MSCA, das persönliche Online-Konto bei Service Canada).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befristeter Aufenthaltstitel – also Work oder Study Permit – erhalten eine SIN, die mit der Ziffer „9“ beginnt und ein Ablaufdatum entsprechend dem Aufenthaltstitel trägt. Nach der Umstellung auf den unbefristeten </w:t>
      </w:r>
      <w:r>
        <w:rPr>
          <w:rFonts w:eastAsia="Cambria" w:cs="Cambria"/>
          <w:b w:val="false"/>
          <w:bCs w:val="false"/>
          <w:i/>
          <w:iCs/>
          <w:sz w:val="22"/>
          <w:szCs w:val="22"/>
        </w:rPr>
        <w:t>Permanent-Resident</w:t>
      </w:r>
      <w:r>
        <w:rPr>
          <w:rFonts w:eastAsia="Cambria" w:cs="Cambria"/>
          <w:b w:val="false"/>
          <w:bCs w:val="false"/>
          <w:i w:val="false"/>
          <w:iCs w:val="false"/>
          <w:sz w:val="22"/>
          <w:szCs w:val="22"/>
        </w:rPr>
        <w:t>-Status (PR) musst du eine neue, unbefristete SIN beantragen; die alte „9er“-Nummer läuft dann einfach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SIN in deiner ersten Woche in Kanada, auch wenn Wohnungssuche und Jetlag drängender wirken. Ohne SIN kann die Personalabteilung deinen Lohn nicht korrekt melden, und die erste Gehaltsabrechnung verzögert sich im ungünstigsten Fall um Wochen.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wird die SIN in der Praxis seltener als allgemeiner Ausweis bei Vermietern oder Ladengeschäften verlangt; gib sie deshalb nur an autorisierte Stellen weiter – Arbeitgeber, die Steuerbehörde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(CRA) und Banken für Zinsmeldungen. Eine SIN-Karte im Portemonnaie ist ebenso riskant wie eine Kreditkarte: lieber zu Hause verwahren und nur die Nummer selbst bei Bedarf mitteilen.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CRA: Besteuerung nach Wohnsitz statt nach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CRA ist die kanadische Bundessteuerbehörde und damit ungefähr das, was in Deutschland Finanzamt und Bundeszentralamt für Steuern zusammen wären. Entscheidend für Neuankömmlinge ist ein einziges Prinzip: Kanada besteuert nach steuerlicher Ansässigkeit (</w:t>
      </w:r>
      <w:r>
        <w:rPr>
          <w:rFonts w:eastAsia="Cambria" w:cs="Cambria"/>
          <w:b w:val="false"/>
          <w:bCs w:val="false"/>
          <w:i/>
          <w:iCs/>
          <w:sz w:val="22"/>
          <w:szCs w:val="22"/>
        </w:rPr>
        <w:t>Residency</w:t>
      </w:r>
      <w:r>
        <w:rPr>
          <w:rFonts w:eastAsia="Cambria" w:cs="Cambria"/>
          <w:b w:val="false"/>
          <w:bCs w:val="false"/>
          <w:i w:val="false"/>
          <w:iCs w:val="false"/>
          <w:sz w:val="22"/>
          <w:szCs w:val="22"/>
        </w:rPr>
        <w:t>), nicht nach Staatsangehörigkeit. Sobald du im Einwanderungsjahr als ansässig giltst, musst du ab genau diesem Tag dein Weltjahreseinkommen versteuern; Einkommen, das du vor dem Zuzug im Ausland erzielt hast, bleibt in Kanada steuerfrei.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erste Jahr deiner steuerlichen Ansässigkeit giltst du bei der CRA als „Newcomer“. Der persönliche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wird dabei anteilig nach den Tagen berechnet, die du im Jahr tatsächlich in Kanada ansässig warst – ziehst du im September zu, bekommst du also nur einen Bruchteil des vollen Jahresfreibetrags. Die SIN ist Voraussetzung für die elektronische Steuererklärung; ohne sie bleibt nur der Postweg.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Formulare lohnen sich früh, nicht erst zur ersten Steuererklärung: Mit Formular RC151 (</w:t>
      </w:r>
      <w:r>
        <w:rPr>
          <w:rFonts w:eastAsia="Cambria" w:cs="Cambria"/>
          <w:b w:val="false"/>
          <w:bCs w:val="false"/>
          <w:i/>
          <w:iCs/>
          <w:sz w:val="22"/>
          <w:szCs w:val="22"/>
        </w:rPr>
        <w:t>GST/HST Credit Application for Individuals Who Become Residents of Canada</w:t>
      </w:r>
      <w:r>
        <w:rPr>
          <w:rFonts w:eastAsia="Cambria" w:cs="Cambria"/>
          <w:b w:val="false"/>
          <w:bCs w:val="false"/>
          <w:i w:val="false"/>
          <w:iCs w:val="false"/>
          <w:sz w:val="22"/>
          <w:szCs w:val="22"/>
        </w:rPr>
        <w:t xml:space="preserve">) meldest du dich für die Verbrauchsteuer-Gutschrift an; mit Formular RC66 beantragst du, sofern du Kinder hast, die </w:t>
      </w:r>
      <w:r>
        <w:rPr>
          <w:rFonts w:eastAsia="Cambria" w:cs="Cambria"/>
          <w:b w:val="false"/>
          <w:bCs w:val="false"/>
          <w:i/>
          <w:iCs/>
          <w:sz w:val="22"/>
          <w:szCs w:val="22"/>
        </w:rPr>
        <w:t>Canada Child Benefit</w:t>
      </w:r>
      <w:r>
        <w:rPr>
          <w:rFonts w:eastAsia="Cambria" w:cs="Cambria"/>
          <w:b w:val="false"/>
          <w:bCs w:val="false"/>
          <w:i w:val="false"/>
          <w:iCs w:val="false"/>
          <w:sz w:val="22"/>
          <w:szCs w:val="22"/>
        </w:rPr>
        <w:t xml:space="preserve"> (das kanadische Kindergeld). Der Anspruch kann schon vor der ersten Steuererklärung entstehen – wer wartet, verschenkt bares Geld.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RC151 und, falls zutreffend, RC66 gleich mit dem SIN-Antrag oder kurz nach der Ankunft ein. Beide Leistungen laufen unabhängig von deiner ersten Steuererklärung und sollen speziell die ersten, finanziell engen Monate abfedern.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Reform 2026: Vom GST/HST-Credit zur CGEB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bisherige GST/HST-Credit – eine vierteljährliche Gutschrift, die einen Teil der Verbrauchsteuerlast für niedrige und mittlere Einkommen ausgleicht – wird zum Zahlungstermin 3. Juli 2026 durch die neue </w:t>
      </w:r>
      <w:r>
        <w:rPr>
          <w:rFonts w:eastAsia="Cambria" w:cs="Cambria"/>
          <w:b w:val="false"/>
          <w:bCs w:val="false"/>
          <w:i/>
          <w:iCs/>
          <w:sz w:val="22"/>
          <w:szCs w:val="22"/>
        </w:rPr>
        <w:t>Canada Groceries and Essentials Benefit</w:t>
      </w:r>
      <w:r>
        <w:rPr>
          <w:rFonts w:eastAsia="Cambria" w:cs="Cambria"/>
          <w:b w:val="false"/>
          <w:bCs w:val="false"/>
          <w:i w:val="false"/>
          <w:iCs w:val="false"/>
          <w:sz w:val="22"/>
          <w:szCs w:val="22"/>
        </w:rPr>
        <w:t xml:space="preserve"> (CGEB, wörtlich „Kanada-Zuschuss für Lebensmittel und Grundbedarf“) abgelöst. Die letzte reguläre GST/HST-Credit-Zahlung nach altem System erfolgt am 2. April 2026, dazwischen gibt es einen einmaligen Zuschlag am 5. Juni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Anspruchsvoraussetzungen und Beträge der CGEB waren zum Zeitpunkt dieses Kapitels noch nicht im Detail dokumentiert – die Reform wurde erst im Januar 2026 angekündigt. Melde dich trotzdem, wie oben beschrieben, über RC151 an: Diese Anmeldung bleibt die Grundlage, über die dich die CRA für die Nachfolgeleistung berücksichtigt.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vor deiner Ankunft nicht auf konkrete CGEB-Beträge aus Foren oder älteren Ratgebern. Prüfe kurz vor dem Umzug direkt bei der CRA (canada.ca), wie die Leistung zum Zeitpunkt deiner Einwanderung tatsächlich ausgestaltet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Bund, Ontario, British Columbia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Einkommensteuer setzt sich in Kanada aus zwei Schichten zusammen: einem Bundestarif, der überall gleich gilt, und einem Provinztarif, der von Provinz zu Provinz erheblich variiert. Für 2026 gilt bundesweit dieser progressive Tarif:</w:t>
      </w:r>
    </w:p>
    <w:tbl>
      <w:tblPr>
        <w:tblW w:w="6480" w:type="dxa"/>
        <w:jc w:val="left"/>
        <w:tblInd w:w="0" w:type="dxa"/>
        <w:tblLayout w:type="fixed"/>
        <w:tblCellMar>
          <w:top w:w="50" w:type="dxa"/>
          <w:left w:w="80" w:type="dxa"/>
          <w:bottom w:w="50" w:type="dxa"/>
          <w:right w:w="80" w:type="dxa"/>
        </w:tblCellMar>
      </w:tblPr>
      <w:tblGrid>
        <w:gridCol w:w="4105"/>
        <w:gridCol w:w="2374"/>
      </w:tblGrid>
      <w:tr>
        <w:trPr>
          <w:tblHeader w:val="true"/>
          <w:cantSplit w:val="true"/>
        </w:trPr>
        <w:tc>
          <w:tcPr>
            <w:tcW w:w="4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3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Bundessatz</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0–58.523</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58.523–117.045</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117.045–181.440</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181.440–258.482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Eingangssatz sank von historisch 15 % auf 14 %, gesetzlich bereits 2025 beschlossen und seit 2026 voll wirksam. Der Bundes-Grundfreibetrag liegt 2026 bei 16.452 CAD und schmilzt für sehr hohe Einkommen im Bereich 181.440 bis 258.482 CAD auf 14.829 CAD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zusätzlich einen eigenen, niedriger wirkenden Tarif – der Eindruck täuscht allerdings, denn hier kommt eine Besonderheit hinzu:</w:t>
      </w:r>
    </w:p>
    <w:tbl>
      <w:tblPr>
        <w:tblW w:w="6480" w:type="dxa"/>
        <w:jc w:val="left"/>
        <w:tblInd w:w="0" w:type="dxa"/>
        <w:tblLayout w:type="fixed"/>
        <w:tblCellMar>
          <w:top w:w="50" w:type="dxa"/>
          <w:left w:w="80" w:type="dxa"/>
          <w:bottom w:w="50" w:type="dxa"/>
          <w:right w:w="80" w:type="dxa"/>
        </w:tblCellMar>
      </w:tblPr>
      <w:tblGrid>
        <w:gridCol w:w="3924"/>
        <w:gridCol w:w="2555"/>
      </w:tblGrid>
      <w:tr>
        <w:trPr>
          <w:tblHeader w:val="true"/>
          <w:cantSplit w:val="true"/>
        </w:trPr>
        <w:tc>
          <w:tcPr>
            <w:tcW w:w="39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Ontario-Satz</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0–53.891</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53.891–107.785</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107.785–150.000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13,16 %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on top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20 % auf die Ontario-Steuer, die 5.818 CAD übersteigt, plus weitere 36 % auf den Teil über 7.446 CAD. Eine Steuer auf die eigene Steuer klingt zunächst wie ein Verwaltungsscherz, ist aber bittere Ernsthaftigkeit – sie wirkt faktisch wie eine sechste, verschärfte Progressionsstufe schon ab mittleren Einkommen. Der Ontario-Grundfreibetrag liegt bei 12.989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rechnet in sieben statt fünf Stufen und geht deutlich höher hinauf:</w:t>
      </w:r>
    </w:p>
    <w:tbl>
      <w:tblPr>
        <w:tblW w:w="6480" w:type="dxa"/>
        <w:jc w:val="left"/>
        <w:tblInd w:w="0" w:type="dxa"/>
        <w:tblLayout w:type="fixed"/>
        <w:tblCellMar>
          <w:top w:w="50" w:type="dxa"/>
          <w:left w:w="80" w:type="dxa"/>
          <w:bottom w:w="50" w:type="dxa"/>
          <w:right w:w="80" w:type="dxa"/>
        </w:tblCellMar>
      </w:tblPr>
      <w:tblGrid>
        <w:gridCol w:w="4372"/>
        <w:gridCol w:w="2107"/>
      </w:tblGrid>
      <w:tr>
        <w:trPr>
          <w:tblHeader w:val="true"/>
          <w:cantSplit w:val="true"/>
        </w:trPr>
        <w:tc>
          <w:tcPr>
            <w:tcW w:w="4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BC-Satz</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0–50.363</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50.363–100.728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100.728–115.648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115.648–140.430</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12,29 %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140.430–190.405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190.405–265.545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zu versteuernden Einkommen bis 24.580 CAD fällt in British Columbia dank der Niedrigeinkommen-Steuerreduktion in der Regel gar keine Provinzsteuer an. Überschlägig (eigene Näherungsrechnung aus den Tabellen oben, keine offizielle Kombinationszahl) liegt der kombinierte Spitzensteuersatz aus Bund und Provinz in Ontario bei rund 46 % einschließlich Surtax-Effekt, in British Columbia bei rund 53 % für Einkommen über 265.545 CAD.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mit hohem CRS-Score über Express Entry nach Toronto, Ontario. Markus, Softwarearchitekt, verdient klar über dem Ontario-Surtax-Schwellenwert. Bei der ersten gemeinsamen Steuerschätzung mit einer kanadischen Steuerberaterin stutzt Julia, als neben der eigentlichen Ontario-Steuer noch eine „Surtax“-Zeile auftaucht – eine Steuer auf die Steuer war ihr aus dem deutschen System schlicht nicht bekannt. Die Beraterin erklärt gelassen, dass Ontario damit seit Jahrzehnten arbeitet und die Zahl auf dem Bescheid trotzdem korrekt ist. Familie Ahrens plant die kombinierte Bundes- und Provinzlast von da an bewusst mit ein, statt sich jedes Jahr aufs Neue zu wundern.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Mehrwertsteuer: ein System, viele Gesichter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nur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von 5 % kennt, geht oft davon aus, in Kanada gelte überall dieselbe Verbrauchsteuer. Tatsächlich bestimmt die Provinz, in der du einkaufst, den tatsächlichen Satz – und der schwankt zwischen 5 und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Provinzen erheben eine harmonisierte Steuer (</w:t>
      </w:r>
      <w:r>
        <w:rPr>
          <w:rFonts w:eastAsia="Cambria" w:cs="Cambria"/>
          <w:b w:val="false"/>
          <w:bCs w:val="false"/>
          <w:i/>
          <w:iCs/>
          <w:sz w:val="22"/>
          <w:szCs w:val="22"/>
        </w:rPr>
        <w:t>Harmonized Sales Tax</w:t>
      </w:r>
      <w:r>
        <w:rPr>
          <w:rFonts w:eastAsia="Cambria" w:cs="Cambria"/>
          <w:b w:val="false"/>
          <w:bCs w:val="false"/>
          <w:i w:val="false"/>
          <w:iCs w:val="false"/>
          <w:sz w:val="22"/>
          <w:szCs w:val="22"/>
        </w:rPr>
        <w:t>, HST), die GST und Provinzanteil in einem Satz zusammenfasst: Ontario 13 %; New Brunswick, Neufundland &amp; Labrador und Prince Edward Island je 15 %; Nova Scotia 14 % (zum 1. April 2025 von 15 % gesenkt). Vier Provinzen erheben die GST plus eine separate Provinzsteuer: British Columbia 12 % (5 % GST + 7 % PST), Manitoba 12 % (5 % + 7 % RST), Saskatchewan 11 % (5 % + 6 % PST) und Québec 14,975 % (5 % + 9,975 % QST, von der eigenen Provinzbehörde Revenu Québec verwaltet). Vier Gebiete verlangen nur die 5 % GST ohne Provinzanteil: Alberta, Yukon, die Nordwest-Territorien und Nunavut.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von Alberta nach Ontario oder gar in eine HST-Provinz mit 15 % umzieht, zahlt beim gleichen Einkauf fast das Dreifache an Verbrauchsteuer – nicht weil die Regale dort teurer bestückt wären, sondern weil eine unsichtbare Provinzgrenze plötzlich sehr real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arbeitet als Öl- und Gasingenieur mit einem LMIA-pflichtigen Work Permit in Calgary, Alberta. Beim ersten großen Einkauf für die neue Wohnung rechnet er aus alter Gewohnheit automatisch mit 19 % Mehrwertsteuer und wundert sich über den niedrigen Kassenbon – bis ihm auffällt, dass Alberta schlicht nur die 5 % GST kennt, ganz ohne Provinzsteuer. Als er das seinem ehemaligen Studienkollegen erzählt, der zeitgleich nach Toronto gezogen ist und dort 13 % HST zahlt, folgt am Telefon erst Unglauben, dann leiser Neid.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die Big Five und ihre Newcomer-Pakete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kanadische Privatkundenmarkt wird von den „Big Five“ dominiert: </w:t>
      </w:r>
      <w:r>
        <w:rPr>
          <w:rFonts w:eastAsia="Cambria" w:cs="Cambria"/>
          <w:b w:val="false"/>
          <w:bCs w:val="false"/>
          <w:i/>
          <w:iCs/>
          <w:sz w:val="22"/>
          <w:szCs w:val="22"/>
        </w:rPr>
        <w:t>Royal Bank of Canada</w:t>
      </w:r>
      <w:r>
        <w:rPr>
          <w:rFonts w:eastAsia="Cambria" w:cs="Cambria"/>
          <w:b w:val="false"/>
          <w:bCs w:val="false"/>
          <w:i w:val="false"/>
          <w:iCs w:val="false"/>
          <w:sz w:val="22"/>
          <w:szCs w:val="22"/>
        </w:rPr>
        <w:t xml:space="preserve"> (RBC), </w:t>
      </w:r>
      <w:r>
        <w:rPr>
          <w:rFonts w:eastAsia="Cambria" w:cs="Cambria"/>
          <w:b w:val="false"/>
          <w:bCs w:val="false"/>
          <w:i/>
          <w:iCs/>
          <w:sz w:val="22"/>
          <w:szCs w:val="22"/>
        </w:rPr>
        <w:t>TD Canada Trust</w:t>
      </w:r>
      <w:r>
        <w:rPr>
          <w:rFonts w:eastAsia="Cambria" w:cs="Cambria"/>
          <w:b w:val="false"/>
          <w:bCs w:val="false"/>
          <w:i w:val="false"/>
          <w:iCs w:val="false"/>
          <w:sz w:val="22"/>
          <w:szCs w:val="22"/>
        </w:rPr>
        <w:t xml:space="preserve">, </w:t>
      </w:r>
      <w:r>
        <w:rPr>
          <w:rFonts w:eastAsia="Cambria" w:cs="Cambria"/>
          <w:b w:val="false"/>
          <w:bCs w:val="false"/>
          <w:i/>
          <w:iCs/>
          <w:sz w:val="22"/>
          <w:szCs w:val="22"/>
        </w:rPr>
        <w:t>Scotiabank</w:t>
      </w:r>
      <w:r>
        <w:rPr>
          <w:rFonts w:eastAsia="Cambria" w:cs="Cambria"/>
          <w:b w:val="false"/>
          <w:bCs w:val="false"/>
          <w:i w:val="false"/>
          <w:iCs w:val="false"/>
          <w:sz w:val="22"/>
          <w:szCs w:val="22"/>
        </w:rPr>
        <w:t xml:space="preserve">, </w:t>
      </w:r>
      <w:r>
        <w:rPr>
          <w:rFonts w:eastAsia="Cambria" w:cs="Cambria"/>
          <w:b w:val="false"/>
          <w:bCs w:val="false"/>
          <w:i/>
          <w:iCs/>
          <w:sz w:val="22"/>
          <w:szCs w:val="22"/>
        </w:rPr>
        <w:t>Bank of Montreal</w:t>
      </w:r>
      <w:r>
        <w:rPr>
          <w:rFonts w:eastAsia="Cambria" w:cs="Cambria"/>
          <w:b w:val="false"/>
          <w:bCs w:val="false"/>
          <w:i w:val="false"/>
          <w:iCs w:val="false"/>
          <w:sz w:val="22"/>
          <w:szCs w:val="22"/>
        </w:rPr>
        <w:t xml:space="preserve"> (BMO) und </w:t>
      </w:r>
      <w:r>
        <w:rPr>
          <w:rFonts w:eastAsia="Cambria" w:cs="Cambria"/>
          <w:b w:val="false"/>
          <w:bCs w:val="false"/>
          <w:i/>
          <w:iCs/>
          <w:sz w:val="22"/>
          <w:szCs w:val="22"/>
        </w:rPr>
        <w:t>CIBC</w:t>
      </w:r>
      <w:r>
        <w:rPr>
          <w:rFonts w:eastAsia="Cambria" w:cs="Cambria"/>
          <w:b w:val="false"/>
          <w:bCs w:val="false"/>
          <w:i w:val="false"/>
          <w:iCs w:val="false"/>
          <w:sz w:val="22"/>
          <w:szCs w:val="22"/>
        </w:rP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rFonts w:eastAsia="Cambria" w:cs="Cambria"/>
          <w:b w:val="false"/>
          <w:bCs w:val="false"/>
          <w:i/>
          <w:iCs/>
          <w:sz w:val="22"/>
          <w:szCs w:val="22"/>
        </w:rPr>
        <w:t>Interac-e-Transfers</w:t>
      </w:r>
      <w:r>
        <w:rPr>
          <w:rFonts w:eastAsia="Cambria" w:cs="Cambria"/>
          <w:b w:val="false"/>
          <w:bCs w:val="false"/>
          <w:i w:val="false"/>
          <w:iCs w:val="false"/>
          <w:sz w:val="22"/>
          <w:szCs w:val="22"/>
        </w:rP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 verifiziere sie direkt bei der Bank, bevor du dich festlegst.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fünf Banken verlangen für das Basis-Newcomer-Konto und die zugehörige Kreditkarte keine kanadische Kredithistorie – ein deutlicher Unterschied zum regulären Kreditkartengeschäft, bei dem die Bonitätsprüfung sonst zum Standard gehört.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bei null anfangen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makellose Schufa-Akte interessiert Equifax Canada und TransUnion Canada – die beiden großen kanadischen Kreditauskunfteien – ungefähr so sehr wie ein deutscher Wetterbericht: gar nicht. Jahrzehnte pünktlicher Zahlungen in Deutschland werden nicht importiert, übersetzt oder auch nur zur Kenntnis genommen. Du startest bei null, unabhängig davon, wie sauber deine Bonität zu Hause war.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klassische Einstieg ist die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zunehmend verbreitete Strategie ist </w:t>
      </w:r>
      <w:r>
        <w:rPr>
          <w:rFonts w:eastAsia="Cambria" w:cs="Cambria"/>
          <w:b w:val="false"/>
          <w:bCs w:val="false"/>
          <w:i/>
          <w:iCs/>
          <w:sz w:val="22"/>
          <w:szCs w:val="22"/>
        </w:rPr>
        <w:t>Rent Reporting</w:t>
      </w:r>
      <w:r>
        <w:rPr>
          <w:rFonts w:eastAsia="Cambria" w:cs="Cambria"/>
          <w:b w:val="false"/>
          <w:bCs w:val="false"/>
          <w:i w:val="false"/>
          <w:iCs w:val="false"/>
          <w:sz w:val="22"/>
          <w:szCs w:val="22"/>
        </w:rPr>
        <w:t>: Mietzahlungen lassen sich über bestimmte Dienste an die Auskunfteien melden und zählen dann ebenfalls für den Score-Aufbau – ein Weg, der sich lohnt, bevor die erste Kreditkarte überhaupt genehmigt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Kanada ist ein eigenständiges System, komplett getrennt von der deutschen Schufa. Niemand „nimmt sie mit“ – du baust sie ab dem ersten Tag in Kanada neu auf, und je früher du damit beginnst, desto eher zahlt es sich bei Miete, Autofinanzierung oder späterer Hypothek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nicht mehrere Kreditkarten gleichzeitig, nur um den Aufbau zu beschleunigen. Jede Anfrage hinterlässt eine Spur in deiner Akte und kann den frisch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im 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reguläre Frist für die Steuererklärung ist der 30. April des Folgejahres, für die meisten Privatpersonen unabhängig vom Einreisedatum. Bist du selbstständig, gilt in der Regel der 15. Juni als Abgabefrist für die Erklärung selbst – die tatsächliche Zahlung ist aber unverändert bereits zum 30. April fällig, was gerne übersehen wird. Deine erste vollständige Steuererklärung als „Newcomer“ wird üblicherweise für das Kalenderjahr fällig, in dem du steuerlich ansässig geworden bist; bewahre dafür von Anfang an Gehaltsabrechnungen und Belege sorgfältig 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die die deutsche Seite kennt oder sich mit einer deutschen Steuerberatung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SIN-Beantragung ist kostenlos und meist zügig erledigt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SIN keine korrekte Lohnabrechnung und keine Steuererklärung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 und RC66 lassen sich schon vor der ersten Steuererklärung einreichen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CGEB-Reform 2026 bringt Unsicherheit bei den genauen Leistungen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öffnen Konto und Kreditkarte ohne Wartezeit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Konditionen der Bankpakete sind befristet und ändern sich häufig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Provinzwahl kann die Steuer- und Verbrauchsteuerlast spürbar senken (z. B. Alberta)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BC-Spitzensteuersätze liegen kombiniert bei rund 46 bis 53 %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Gesicherte Kreditkarte liefert schon nach wenigen Monaten einen ersten Score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kanadische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 online, postalisch oder persönlich beantragt, Primär- und Sekundärdokument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My Service Canada Account (MSCA) eingerichtet, Bestätigung der SIN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RC151 (GST/HST-Credit bzw. CGEB)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Formular RC66 (Canada Child Benefit)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Newcomer-Bankpaket verglichen und Konto bei einer der Big-Five-Banken eröffnet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Bundes- und Provinzsteuertabelle für deine Zielprovinz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GST/HST-Satz deiner Zielprovinz beim Haushaltsbudget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oder Newcomer-Kreditkarte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Nicht mehrere Kreditanträge gleichzeitig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erste kanadische Steuererklärung (30. April) im Kalender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72">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 xml:space="preserve"> – CRA: SIN-Beantragung, Steuersätze, Newcomer-Regeln, RC151/RC66</w:t>
      </w:r>
    </w:p>
    <w:p>
      <w:pPr>
        <w:pStyle w:val="ListParagraph"/>
        <w:numPr>
          <w:ilvl w:val="0"/>
          <w:numId w:val="1"/>
        </w:numPr>
        <w:spacing w:lineRule="exact" w:line="288" w:before="0" w:after="60"/>
        <w:rPr/>
      </w:pPr>
      <w:hyperlink r:id="rId573">
        <w:r>
          <w:rPr>
            <w:rStyle w:val="ListLabel113"/>
            <w:rFonts w:eastAsia="Cambria" w:cs="Cambria"/>
            <w:b w:val="false"/>
            <w:bCs w:val="false"/>
            <w:i w:val="false"/>
            <w:iCs w:val="false"/>
            <w:color w:val="0563C1"/>
            <w:sz w:val="22"/>
            <w:szCs w:val="22"/>
            <w:u w:val="single"/>
          </w:rPr>
          <w:t>canada.ca/en/employment-social-development/services/sin</w:t>
        </w:r>
      </w:hyperlink>
      <w:r>
        <w:rPr>
          <w:rFonts w:eastAsia="Cambria" w:cs="Cambria"/>
          <w:b w:val="false"/>
          <w:bCs w:val="false"/>
          <w:i w:val="false"/>
          <w:iCs w:val="false"/>
          <w:sz w:val="22"/>
          <w:szCs w:val="22"/>
        </w:rPr>
        <w:t xml:space="preserve"> – SIN-Antrag im Detail</w:t>
      </w:r>
    </w:p>
    <w:p>
      <w:pPr>
        <w:pStyle w:val="ListParagraph"/>
        <w:numPr>
          <w:ilvl w:val="0"/>
          <w:numId w:val="1"/>
        </w:numPr>
        <w:spacing w:lineRule="exact" w:line="288" w:before="0" w:after="60"/>
        <w:rPr/>
      </w:pPr>
      <w:hyperlink r:id="rId574">
        <w:r>
          <w:rPr>
            <w:rStyle w:val="ListLabel113"/>
            <w:rFonts w:eastAsia="Cambria" w:cs="Cambria"/>
            <w:b w:val="false"/>
            <w:bCs w:val="false"/>
            <w:i w:val="false"/>
            <w:iCs w:val="false"/>
            <w:color w:val="0563C1"/>
            <w:sz w:val="22"/>
            <w:szCs w:val="22"/>
            <w:u w:val="single"/>
          </w:rPr>
          <w:t>www2.gov.bc.ca/gov/content/taxes/income-taxes</w:t>
        </w:r>
      </w:hyperlink>
      <w:r>
        <w:rPr>
          <w:rFonts w:eastAsia="Cambria" w:cs="Cambria"/>
          <w:b w:val="false"/>
          <w:bCs w:val="false"/>
          <w:i w:val="false"/>
          <w:iCs w:val="false"/>
          <w:sz w:val="22"/>
          <w:szCs w:val="22"/>
        </w:rPr>
        <w:t xml:space="preserve"> – British-Columbia-Steuersätze</w:t>
      </w:r>
    </w:p>
    <w:p>
      <w:pPr>
        <w:pStyle w:val="ListParagraph"/>
        <w:numPr>
          <w:ilvl w:val="0"/>
          <w:numId w:val="1"/>
        </w:numPr>
        <w:spacing w:lineRule="exact" w:line="288" w:before="0" w:after="60"/>
        <w:rPr/>
      </w:pPr>
      <w:hyperlink r:id="rId575">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unabhängige kanadische Steuer-Referenzseite (Ontario- und Provinztabellen)</w:t>
      </w:r>
    </w:p>
    <w:p>
      <w:pPr>
        <w:pStyle w:val="ListParagraph"/>
        <w:numPr>
          <w:ilvl w:val="0"/>
          <w:numId w:val="1"/>
        </w:numPr>
        <w:spacing w:lineRule="exact" w:line="288" w:before="0" w:after="60"/>
        <w:rPr/>
      </w:pPr>
      <w:hyperlink r:id="rId576">
        <w:r>
          <w:rPr>
            <w:rStyle w:val="ListLabel113"/>
            <w:rFonts w:eastAsia="Cambria" w:cs="Cambria"/>
            <w:b w:val="false"/>
            <w:bCs w:val="false"/>
            <w:i w:val="false"/>
            <w:iCs w:val="false"/>
            <w:color w:val="0563C1"/>
            <w:sz w:val="22"/>
            <w:szCs w:val="22"/>
            <w:u w:val="single"/>
          </w:rPr>
          <w:t>rbc.com</w:t>
        </w:r>
      </w:hyperlink>
      <w:r>
        <w:rPr>
          <w:rFonts w:eastAsia="Cambria" w:cs="Cambria"/>
          <w:b w:val="false"/>
          <w:bCs w:val="false"/>
          <w:i w:val="false"/>
          <w:iCs w:val="false"/>
          <w:sz w:val="22"/>
          <w:szCs w:val="22"/>
        </w:rPr>
        <w:t xml:space="preserve"> / </w:t>
      </w:r>
      <w:hyperlink r:id="rId577">
        <w:r>
          <w:rPr>
            <w:rStyle w:val="ListLabel113"/>
            <w:rFonts w:eastAsia="Cambria" w:cs="Cambria"/>
            <w:b w:val="false"/>
            <w:bCs w:val="false"/>
            <w:i w:val="false"/>
            <w:iCs w:val="false"/>
            <w:color w:val="0563C1"/>
            <w:sz w:val="22"/>
            <w:szCs w:val="22"/>
            <w:u w:val="single"/>
          </w:rPr>
          <w:t>td.com</w:t>
        </w:r>
      </w:hyperlink>
      <w:r>
        <w:rPr>
          <w:rFonts w:eastAsia="Cambria" w:cs="Cambria"/>
          <w:b w:val="false"/>
          <w:bCs w:val="false"/>
          <w:i w:val="false"/>
          <w:iCs w:val="false"/>
          <w:sz w:val="22"/>
          <w:szCs w:val="22"/>
        </w:rPr>
        <w:t xml:space="preserve"> / </w:t>
      </w:r>
      <w:hyperlink r:id="rId578">
        <w:r>
          <w:rPr>
            <w:rStyle w:val="ListLabel113"/>
            <w:rFonts w:eastAsia="Cambria" w:cs="Cambria"/>
            <w:b w:val="false"/>
            <w:bCs w:val="false"/>
            <w:i w:val="false"/>
            <w:iCs w:val="false"/>
            <w:color w:val="0563C1"/>
            <w:sz w:val="22"/>
            <w:szCs w:val="22"/>
            <w:u w:val="single"/>
          </w:rPr>
          <w:t>scotiabank.com</w:t>
        </w:r>
      </w:hyperlink>
      <w:r>
        <w:rPr>
          <w:rFonts w:eastAsia="Cambria" w:cs="Cambria"/>
          <w:b w:val="false"/>
          <w:bCs w:val="false"/>
          <w:i w:val="false"/>
          <w:iCs w:val="false"/>
          <w:sz w:val="22"/>
          <w:szCs w:val="22"/>
        </w:rPr>
        <w:t xml:space="preserve"> / </w:t>
      </w:r>
      <w:hyperlink r:id="rId579">
        <w:r>
          <w:rPr>
            <w:rStyle w:val="ListLabel113"/>
            <w:rFonts w:eastAsia="Cambria" w:cs="Cambria"/>
            <w:b w:val="false"/>
            <w:bCs w:val="false"/>
            <w:i w:val="false"/>
            <w:iCs w:val="false"/>
            <w:color w:val="0563C1"/>
            <w:sz w:val="22"/>
            <w:szCs w:val="22"/>
            <w:u w:val="single"/>
          </w:rPr>
          <w:t>bmo.com</w:t>
        </w:r>
      </w:hyperlink>
      <w:r>
        <w:rPr>
          <w:rFonts w:eastAsia="Cambria" w:cs="Cambria"/>
          <w:b w:val="false"/>
          <w:bCs w:val="false"/>
          <w:i w:val="false"/>
          <w:iCs w:val="false"/>
          <w:sz w:val="22"/>
          <w:szCs w:val="22"/>
        </w:rPr>
        <w:t xml:space="preserve"> / </w:t>
      </w:r>
      <w:hyperlink r:id="rId580">
        <w:r>
          <w:rPr>
            <w:rStyle w:val="ListLabel113"/>
            <w:rFonts w:eastAsia="Cambria" w:cs="Cambria"/>
            <w:b w:val="false"/>
            <w:bCs w:val="false"/>
            <w:i w:val="false"/>
            <w:iCs w:val="false"/>
            <w:color w:val="0563C1"/>
            <w:sz w:val="22"/>
            <w:szCs w:val="22"/>
            <w:u w:val="single"/>
          </w:rPr>
          <w:t>cibc.com</w:t>
        </w:r>
      </w:hyperlink>
      <w:r>
        <w:rPr>
          <w:rFonts w:eastAsia="Cambria" w:cs="Cambria"/>
          <w:b w:val="false"/>
          <w:bCs w:val="false"/>
          <w:i w:val="false"/>
          <w:iCs w:val="false"/>
          <w:sz w:val="22"/>
          <w:szCs w:val="22"/>
        </w:rPr>
        <w:t xml:space="preserve"> – Newcomer-Bankpakete der Big Five</w:t>
      </w:r>
    </w:p>
    <w:p>
      <w:pPr>
        <w:pStyle w:val="ListParagraph"/>
        <w:numPr>
          <w:ilvl w:val="0"/>
          <w:numId w:val="1"/>
        </w:numPr>
        <w:spacing w:lineRule="exact" w:line="288" w:before="0" w:after="60"/>
        <w:rPr/>
      </w:pPr>
      <w:hyperlink r:id="rId581">
        <w:r>
          <w:rPr>
            <w:rStyle w:val="ListLabel113"/>
            <w:rFonts w:eastAsia="Cambria" w:cs="Cambria"/>
            <w:b w:val="false"/>
            <w:bCs w:val="false"/>
            <w:i w:val="false"/>
            <w:iCs w:val="false"/>
            <w:color w:val="0563C1"/>
            <w:sz w:val="22"/>
            <w:szCs w:val="22"/>
            <w:u w:val="single"/>
          </w:rPr>
          <w:t>equifax.ca</w:t>
        </w:r>
      </w:hyperlink>
      <w:r>
        <w:rPr>
          <w:rFonts w:eastAsia="Cambria" w:cs="Cambria"/>
          <w:b w:val="false"/>
          <w:bCs w:val="false"/>
          <w:i w:val="false"/>
          <w:iCs w:val="false"/>
          <w:sz w:val="22"/>
          <w:szCs w:val="22"/>
        </w:rPr>
        <w:t xml:space="preserve"> / </w:t>
      </w:r>
      <w:hyperlink r:id="rId582">
        <w:r>
          <w:rPr>
            <w:rStyle w:val="ListLabel113"/>
            <w:rFonts w:eastAsia="Cambria" w:cs="Cambria"/>
            <w:b w:val="false"/>
            <w:bCs w:val="false"/>
            <w:i w:val="false"/>
            <w:iCs w:val="false"/>
            <w:color w:val="0563C1"/>
            <w:sz w:val="22"/>
            <w:szCs w:val="22"/>
            <w:u w:val="single"/>
          </w:rPr>
          <w:t>transunion.ca</w:t>
        </w:r>
      </w:hyperlink>
      <w:r>
        <w:rPr>
          <w:rFonts w:eastAsia="Cambria" w:cs="Cambria"/>
          <w:b w:val="false"/>
          <w:bCs w:val="false"/>
          <w:i w:val="false"/>
          <w:iCs w:val="false"/>
          <w:sz w:val="22"/>
          <w:szCs w:val="22"/>
        </w:rPr>
        <w:t xml:space="preserve"> – Kreditauskunft und Score-Aufbau in Kanada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canada.ca und den Websites deiner gewählten Bank.</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1" w:name="__RefHeading___Toc56580_3457424410"/>
      <w:bookmarkStart w:id="152" w:name="tka08"/>
      <w:bookmarkEnd w:id="151"/>
      <w:r>
        <w:rPr>
          <w:rFonts w:eastAsia="Amazon Ember" w:cs="Amazon Ember" w:ascii="Amazon Ember" w:hAnsi="Amazon Ember"/>
          <w:b/>
          <w:bCs/>
          <w:color w:val="0000FF"/>
          <w:sz w:val="36"/>
          <w:szCs w:val="36"/>
        </w:rPr>
        <w:t>Kanada: Das Gesundheitssystem</w:t>
      </w:r>
      <w:bookmarkEnd w:id="152"/>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Deutschland aufgewachsen ist, kennt es nicht anders: Krankenversicherung ist Pflicht, greift ab dem ersten Tag, fertig. Kanada gilt in Deutschland als das Land mit der freundlichen, kostenlosen „Medicare“ für alle – ein Ruf, der bei genauerem Hinsehen eine wichtige Einschränkung verschweigt. Tatsächlich gibt es kein einziges nationales System, sondern 13 getrennte Provinz- und Territorialsysteme, und mehrere davon lassen Neuankömmlinge erst nach einer Wartefrist ohne Deckung dastehen. Dieses Kapitel erklärt, wie die Provinz-Krankenversicherung funktioniert, wo genau die Lücke lauert – und wie du sie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Kanada hat kein einheitliches „Medicare“-System, sondern 13 separate Provinz- und Territorialsysteme mit dem </w:t>
            </w:r>
            <w:r>
              <w:rPr>
                <w:rFonts w:eastAsia="Cambria" w:cs="Cambria"/>
                <w:b w:val="false"/>
                <w:bCs w:val="false"/>
                <w:i/>
                <w:iCs/>
                <w:sz w:val="20"/>
                <w:szCs w:val="20"/>
              </w:rPr>
              <w:t>Canada Health Act</w:t>
            </w:r>
            <w:r>
              <w:rPr>
                <w:rFonts w:eastAsia="Cambria" w:cs="Cambria"/>
                <w:b w:val="false"/>
                <w:bCs w:val="false"/>
                <w:i w:val="false"/>
                <w:iCs w:val="false"/>
                <w:sz w:val="20"/>
                <w:szCs w:val="20"/>
              </w:rPr>
              <w:t xml:space="preserve"> als bundesweitem Mindeststandard.</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hat die frühere Drei-Monats-Wartefrist bereits 2020 abgeschafft: Die Deckung gilt dort ab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British Columbia und Québec verlangen weiterhin eine Wartefrist von rund drei Monaten ab Zuzug.</w:t>
            </w:r>
          </w:p>
          <w:p>
            <w:pPr>
              <w:pStyle w:val="ListParagraph"/>
              <w:numPr>
                <w:ilvl w:val="0"/>
                <w:numId w:val="1"/>
              </w:numPr>
              <w:spacing w:lineRule="exact" w:line="264" w:before="0" w:after="50"/>
              <w:rPr/>
            </w:pPr>
            <w:r>
              <w:rPr>
                <w:rFonts w:eastAsia="Cambria" w:cs="Cambria"/>
                <w:b w:val="false"/>
                <w:bCs w:val="false"/>
                <w:i w:val="false"/>
                <w:iCs w:val="false"/>
                <w:sz w:val="20"/>
                <w:szCs w:val="20"/>
              </w:rPr>
              <w:t>Alberta und Saskatchewan gelten laut mehreren Quellen als praktisch wartefrei, das ist aber nicht für jede Provinz einzeln amtlich bestätigt – vor dem Umzug direkt bei der Provinz nachfragen.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Wartefrist brauchst du eine private Übergangsversicherung, meist rund 100 bis 200 CAD pro Person und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Selbst mit Provinz-Krankenversicherung bleiben Zahnbehandlung, verschreibungspflichtige Medikamente außerhalb der Klinik, Sehhilfen und Physiotherapie meist unversichert – dafür brauchst du eine private Zusatzversicherung.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System, 13 Varianten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von 1984 ist ein Rahmengesetz: Er verpflichtet jede Provinz und jedes Territorium, eine öffentliche Krankenversicherung mit bestimmten Mindeststandards anzubieten – medizinisch notwendige Arzt- und Krankenhausleistungen, allgemein zugänglich, ohne Zuzahlung an der Behandlungsstelle. Wie im Detail die einzelne Provinz das umsetzt, welche Wartefrist für Neuankömmlinge gilt und wie die Anmeldung abläuft, entscheidet sie aber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deutsche Auswanderer stellen sich unter „kanadischem Gesundheitssystem“ so etwas wie eine nationale Einheitskasse vor, vergleichbar mit einem zentralisierten NHS. Tatsächlich heißt das Programm in jeder Provinz anders – in Ontario etwa </w:t>
      </w:r>
      <w:r>
        <w:rPr>
          <w:rFonts w:eastAsia="Cambria" w:cs="Cambria"/>
          <w:b w:val="false"/>
          <w:bCs w:val="false"/>
          <w:i/>
          <w:iCs/>
          <w:sz w:val="22"/>
          <w:szCs w:val="22"/>
        </w:rPr>
        <w:t>OHIP</w:t>
      </w:r>
      <w:r>
        <w:rPr>
          <w:rFonts w:eastAsia="Cambria" w:cs="Cambria"/>
          <w:b w:val="false"/>
          <w:bCs w:val="false"/>
          <w:i w:val="false"/>
          <w:iCs w:val="false"/>
          <w:sz w:val="22"/>
          <w:szCs w:val="22"/>
        </w:rPr>
        <w:t xml:space="preserve"> (</w:t>
      </w:r>
      <w:r>
        <w:rPr>
          <w:rFonts w:eastAsia="Cambria" w:cs="Cambria"/>
          <w:b w:val="false"/>
          <w:bCs w:val="false"/>
          <w:i/>
          <w:iCs/>
          <w:sz w:val="22"/>
          <w:szCs w:val="22"/>
        </w:rPr>
        <w:t>Ontario Health Insurance Plan</w:t>
      </w:r>
      <w:r>
        <w:rPr>
          <w:rFonts w:eastAsia="Cambria" w:cs="Cambria"/>
          <w:b w:val="false"/>
          <w:bCs w:val="false"/>
          <w:i w:val="false"/>
          <w:iCs w:val="false"/>
          <w:sz w:val="22"/>
          <w:szCs w:val="22"/>
        </w:rPr>
        <w:t xml:space="preserve">), in British Columbia </w:t>
      </w:r>
      <w:r>
        <w:rPr>
          <w:rFonts w:eastAsia="Cambria" w:cs="Cambria"/>
          <w:b w:val="false"/>
          <w:bCs w:val="false"/>
          <w:i/>
          <w:iCs/>
          <w:sz w:val="22"/>
          <w:szCs w:val="22"/>
        </w:rPr>
        <w:t>MSP</w:t>
      </w:r>
      <w:r>
        <w:rPr>
          <w:rFonts w:eastAsia="Cambria" w:cs="Cambria"/>
          <w:b w:val="false"/>
          <w:bCs w:val="false"/>
          <w:i w:val="false"/>
          <w:iCs w:val="false"/>
          <w:sz w:val="22"/>
          <w:szCs w:val="22"/>
        </w:rPr>
        <w:t xml:space="preserve"> (</w:t>
      </w:r>
      <w:r>
        <w:rPr>
          <w:rFonts w:eastAsia="Cambria" w:cs="Cambria"/>
          <w:b w:val="false"/>
          <w:bCs w:val="false"/>
          <w:i/>
          <w:iCs/>
          <w:sz w:val="22"/>
          <w:szCs w:val="22"/>
        </w:rPr>
        <w:t>Medical Services Plan</w:t>
      </w:r>
      <w:r>
        <w:rPr>
          <w:rFonts w:eastAsia="Cambria" w:cs="Cambria"/>
          <w:b w:val="false"/>
          <w:bCs w:val="false"/>
          <w:i w:val="false"/>
          <w:iCs w:val="false"/>
          <w:sz w:val="22"/>
          <w:szCs w:val="22"/>
        </w:rPr>
        <w:t xml:space="preserve">), in Québec </w:t>
      </w:r>
      <w:r>
        <w:rPr>
          <w:rFonts w:eastAsia="Cambria" w:cs="Cambria"/>
          <w:b w:val="false"/>
          <w:bCs w:val="false"/>
          <w:i/>
          <w:iCs/>
          <w:sz w:val="22"/>
          <w:szCs w:val="22"/>
        </w:rPr>
        <w:t>RAMQ</w:t>
      </w:r>
      <w:r>
        <w:rPr>
          <w:rFonts w:eastAsia="Cambria" w:cs="Cambria"/>
          <w:b w:val="false"/>
          <w:bCs w:val="false"/>
          <w:i w:val="false"/>
          <w:iCs w:val="false"/>
          <w:sz w:val="22"/>
          <w:szCs w:val="22"/>
        </w:rPr>
        <w:t xml:space="preserve"> (</w:t>
      </w:r>
      <w:r>
        <w:rPr>
          <w:rFonts w:eastAsia="Cambria" w:cs="Cambria"/>
          <w:b w:val="false"/>
          <w:bCs w:val="false"/>
          <w:i/>
          <w:iCs/>
          <w:sz w:val="22"/>
          <w:szCs w:val="22"/>
        </w:rPr>
        <w:t>Régie de l’assurance maladie du Québec</w:t>
      </w:r>
      <w:r>
        <w:rPr>
          <w:rFonts w:eastAsia="Cambria" w:cs="Cambria"/>
          <w:b w:val="false"/>
          <w:bCs w:val="false"/>
          <w:i w:val="false"/>
          <w:iCs w:val="false"/>
          <w:sz w:val="22"/>
          <w:szCs w:val="22"/>
        </w:rPr>
        <w:t>) –, und die Regeln für Neuankömmlinge unterscheiden sich spürbar. Wer aus Ontario-Erfahrungsberichten pauschal auf ganz Kanada schließt, kann eine teure Überraschung erleben, sobald er nach British Columbia oder Québec zieht.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Provinz, in der du dich niederlässt, bestimmt maßgeblich, wie lange du ohne Krankenversicherungsschutz bist. Das ist bei der Wahl deines Zielorts (siehe das </w:t>
            </w:r>
            <w:hyperlink w:anchor="tka09">
              <w:r>
                <w:rPr>
                  <w:rStyle w:val="ListLabel116"/>
                  <w:rFonts w:eastAsia="Cambria" w:cs="Cambria"/>
                  <w:b w:val="false"/>
                  <w:bCs w:val="false"/>
                  <w:i w:val="false"/>
                  <w:iCs w:val="false"/>
                  <w:color w:val="0563C1"/>
                  <w:sz w:val="20"/>
                  <w:szCs w:val="20"/>
                  <w:u w:val="single"/>
                </w:rPr>
                <w:t>Kapitel zum Wohnen in diesem Teil</w:t>
              </w:r>
            </w:hyperlink>
            <w:r>
              <w:rPr>
                <w:rFonts w:eastAsia="Cambria" w:cs="Cambria"/>
                <w:b w:val="false"/>
                <w:bCs w:val="false"/>
                <w:i w:val="false"/>
                <w:iCs w:val="false"/>
                <w:sz w:val="20"/>
                <w:szCs w:val="20"/>
              </w:rPr>
              <w:t>) ein Faktor, den viele erst zu spät bedenken.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Ontario: keine Wartefrist mehr seit 2020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seine historische Drei-Monats-Wartefrist, die seit 1994 galt, im März 2020 abgeschafft – und sie ist 2026 weiterhin außer Kraft. Wer sich bei OHIP anmeldet und die Zulassungskriterien erfüllt, ist ab dem Tag der Antragstellung versichert, auch wenn die physische Gesundheitskarte erst nach vier bis sechs Wochen im Briefkasten liegt. Bis dahin gilt die Anmeldebestätigung als Nachweis.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über Express Entry mit hohem CRS-Score nach Toronto. Vor der Abreise aus Leipzig hatte Julia, von Beruf Apothekerin, aus Erzählungen von Bekannten in Vancouver eine dreimonatige Deckungslücke einkalkuliert und bereits nach einer teuren privaten Übergangsversicherung für die ganze Familie gesucht. In der ersten Woche in Toronto stellt sich beim OHIP-Antrag heraus, dass diese Sorge unbegründet war: Ontario schützt ab dem Tag der Antragstellung, die Wartefrist gibt es seit 2020 schlicht nicht mehr. Finn und Mia sind bei ihrem ersten Kinderarztbesuch bereits regulär versichert, ohne dass die Familie einen einzigen Dollar für eine Übergangspolice ausgegeben hat.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praktische Bearbeitungsdauer bis zur Kartenzustellung liegt bei etwa vier bis sechs Wochen; melde dich trotzdem so früh wie möglich an, damit die Deckung selbst keinen Tag Verzögerung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British Columbia und Québec: drei Monate ohne Deckung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hält an der Drei-Monats-Wartefrist fest – sie umfasst den Rest des Ankunftsmonats plus zwei weitere volle Kalendermonate. Wer am 10. eines Monats einreist, ist also erst ab dem Ersten des übernächsten Folgemonats über den MSP versichert. Immerhin ist der MSP seit dem 1. Januar 2020 beitragsfrei – die Wartefrist bleibt trotzdem bestehen, unabhängig von dieser Entlastung.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den MSP- oder RAMQ-Antrag sofort nach der Ankunft, auch wenn die Wartefrist ohnehin läuft. Die Bearbeitung braucht Zeit, und ein verspäteter Antrag verlängert die faktische Lücke zusätzlich, statt sie nur auf dem Papier zu verkürzen.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Alberta und Saskatchewan: praktisch keine Wartefrist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Alberta und Saskatchewan berichten mehrere unabhängige Quellen übereinstimmend von keiner oder so gut wie keiner Wartefrist – solltest du also in eine dieser beiden Provinzen ziehen, greift der Versicherungsschutz in der Regel ohne die in British Columbia oder Québec übliche Lücke. Für einzelne Provinzen liegt dafür allerdings keine direkt geprüfte Primärquelle vor; bestätige den genauen Stand deshalb kurz vor dem Umzug beim zuständigen Provinzministerium.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zieht mit einem LMIA-pflichtigen Work Permit als Öl- und Gasingenieur nach Calgary, Alberta. Auf Empfehlung eines Kollegen hatte er sich vorsorglich schon auf eine mehrmonatige Übergangsversicherung eingestellt – die Erfahrungen seiner Bekannten in British Columbia hatten ihn entsprechend vorsichtig gemacht. Beim Antrag stellt sich heraus, dass Alberta ohne nennenswerte Wartefrist arbeitet; die Alberta Health Care Insurance Plan-Karte greift fast unmittelbar nach der Anmeldung. Lukas storniert die bereits fast abgeschlossene private Zwischenpolice wieder – ein Anruf, den er gerne führt.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Lücke für Neuankömmlinge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einer Provinz mit Wartefrist ankommt und keine Übergangsversicherung hat, trägt jede Behandlung in dieser Zeit vollständig selbst –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 eine Wette, die sich nicht jeder bewusst eingeht, aber viele unbewusst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scheinbar kleine Ereignisse – ein gebrochener Finger beim Umzugskisten-Tragen, eine Mittelohrentzündung bei Kindern – lösen ohne Versicherung volle Rechnungen aus. Plane die Wartefrist aktiv ein, statt sie zu verdrängen.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Übergangsversicherung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was du mitbringst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Pr>
            <w:rStyle w:val="ListLabel113"/>
            <w:rFonts w:eastAsia="Cambria" w:cs="Cambria"/>
            <w:b w:val="false"/>
            <w:bCs w:val="false"/>
            <w:i w:val="false"/>
            <w:iCs w:val="false"/>
            <w:color w:val="0563C1"/>
            <w:sz w:val="22"/>
            <w:szCs w:val="22"/>
            <w:u w:val="single"/>
          </w:rPr>
          <w:t>Kapitel zu SIN, Steuern, Bank und Kredit in diesem Teil</w:t>
        </w:r>
      </w:hyperlink>
      <w:r>
        <w:rPr>
          <w:rFonts w:eastAsia="Cambria" w:cs="Cambria"/>
          <w:b w:val="false"/>
          <w:bCs w:val="false"/>
          <w:i w:val="false"/>
          <w:iCs w:val="false"/>
          <w:sz w:val="22"/>
          <w:szCs w:val="22"/>
        </w:rPr>
        <w:t>). Melde neben dir selbst auch Partner und Kinder gleich mit an; Kinder laufen in den meisten Provinzen über denselben Familieneintrag wie die Eltern.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Provinz-Krankenversicherung in deiner ersten Woche, unabhängig davon, ob eine Wartefrist gilt oder nicht. In Ontario beginnt die Deckung ab Antragstellung – jeder Tag Verzögerung beim Antrag ist ein Tag ohne Schutz, obwohl er vermeidbar gewesen wäre. In British Columbia und Québec läuft die Wartefrist ohnehin, verkürzt sich aber nicht durch Zuwarten.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Provinz-Krankenversicherung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hinkt, weil die beiden Systeme unterschiedlich finanziert sind – hilft aber trotzdem, die größten Unterschiede einzuordnen:</w:t>
      </w:r>
    </w:p>
    <w:tbl>
      <w:tblPr>
        <w:tblW w:w="6480" w:type="dxa"/>
        <w:jc w:val="left"/>
        <w:tblInd w:w="0" w:type="dxa"/>
        <w:tblLayout w:type="fixed"/>
        <w:tblCellMar>
          <w:top w:w="50" w:type="dxa"/>
          <w:left w:w="80" w:type="dxa"/>
          <w:bottom w:w="50" w:type="dxa"/>
          <w:right w:w="80" w:type="dxa"/>
        </w:tblCellMar>
      </w:tblPr>
      <w:tblGrid>
        <w:gridCol w:w="1393"/>
        <w:gridCol w:w="2193"/>
        <w:gridCol w:w="2894"/>
      </w:tblGrid>
      <w:tr>
        <w:trPr>
          <w:tblHeader w:val="true"/>
          <w:cantSplit w:val="true"/>
        </w:trPr>
        <w:tc>
          <w:tcPr>
            <w:tcW w:w="13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8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Provinz-Krankenversicherung (Kanada)</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 und Arbeitgeber</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der Provinz, keine laufende Monatsprämie (British Columbia erhob sie bis 2020, seither ebenfalls beitragsfrei)</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der Deckung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praktisch ab Beschäftigungsbeginn beziehungsweise Anmeldung</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ab Antragstellung; British Columbia und Québec: erst nach rund drei Monaten Wartefrist</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Hausarztwahl</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grundsätzlich freie Wahl, in der Praxis aber vielerorts Mangel an aufnahmefähigen Hausärzten</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enthaltene Leistungen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vergleichsweise wenige, je nach Kasse teils Zusatzleistungen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Physiotherapie, Krankentransport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auffälligste Unterschied für Neuankömmlinge ist selten die Leistung selbst, sondern der Zeitpunkt, ab dem sie greift – und genau darauf zielt dieses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mit der Provinz-Karte: Hausarzt, Walk-in-Klinik,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Provinz-Krankenversicherung einmal aktiv, unterscheidet sich der Praxisalltag spürbar von Deutschland. Ein fester Hausarzt (</w:t>
      </w:r>
      <w:r>
        <w:rPr>
          <w:rFonts w:eastAsia="Cambria" w:cs="Cambria"/>
          <w:b w:val="false"/>
          <w:bCs w:val="false"/>
          <w:i/>
          <w:iCs/>
          <w:sz w:val="22"/>
          <w:szCs w:val="22"/>
        </w:rPr>
        <w:t>Family Doctor</w:t>
      </w:r>
      <w:r>
        <w:rPr>
          <w:rFonts w:eastAsia="Cambria" w:cs="Cambria"/>
          <w:b w:val="false"/>
          <w:bCs w:val="false"/>
          <w:i w:val="false"/>
          <w:iCs w:val="false"/>
          <w:sz w:val="22"/>
          <w:szCs w:val="22"/>
        </w:rPr>
        <w:t xml:space="preserve">) ist in Kanada keine Selbstverständlichkeit: In vielen Regionen sind Praxen bereits ausgelastet und führen Wartelisten für neue Patienten, die sich über Monate ziehen können. Bis sich ein fester Hausarzt findet, weichen viele Neuankömmlinge auf eine </w:t>
      </w:r>
      <w:r>
        <w:rPr>
          <w:rFonts w:eastAsia="Cambria" w:cs="Cambria"/>
          <w:b w:val="false"/>
          <w:bCs w:val="false"/>
          <w:i/>
          <w:iCs/>
          <w:sz w:val="22"/>
          <w:szCs w:val="22"/>
        </w:rPr>
        <w:t>Walk-in-Klinik</w:t>
      </w:r>
      <w:r>
        <w:rPr>
          <w:rFonts w:eastAsia="Cambria" w:cs="Cambria"/>
          <w:b w:val="false"/>
          <w:bCs w:val="false"/>
          <w:i w:val="false"/>
          <w:iCs w:val="false"/>
          <w:sz w:val="22"/>
          <w:szCs w:val="22"/>
        </w:rPr>
        <w:t xml:space="preserve"> (Klinik ohne Terminvereinbarung, meist mit längeren Wartezeiten im Wartezimmer statt vorab) aus, die über die Provinz-Karte abrechnet, ohne dass eine feste Anmeldung nötig wäre.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nicht dringende medizinische Fragen bieten mehrere Provinzen eine telefonische Gesundheitsberatung an, häufig unter der Nummer 811 erreichbar; das genaue Angebot unterscheidet sich je Provinz. Für Fachärzte ist in der Regel weiterhin eine Überweisung vom Hausarzt nötig, ähnlich wie in Deutschland –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fester Hausarzt ist in Kanada eher ein Ziel, auf das du hinarbeitest, als ein Automatismus, der mit der Versicherungskarte mitkommt. Melde dich früh auf Wartelisten an und nutze Walk-in-Kliniken und die telefonische Gesundheitsberatung als Brücke.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Provinz-Versicherung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Selbst mit gültiger Provinz-Krankenversicherung bist du nicht vollständig abgesichert. Zahnbehandlungen, verschreibungspflichtige Medikamente außerhalb eines Krankenhausaufenthalts, Sehhilfen, Physiotherapie und der Krankentransport per Rettungswagen fallen in den meisten Provinzen nicht unter die gesetzliche Deckung. Wer das absichern möchte, braucht eine private Zusatzversicherung – häufig über den Arbeitgeber als sogenannte </w:t>
      </w:r>
      <w:r>
        <w:rPr>
          <w:rFonts w:eastAsia="Cambria" w:cs="Cambria"/>
          <w:b w:val="false"/>
          <w:bCs w:val="false"/>
          <w:i/>
          <w:iCs/>
          <w:sz w:val="22"/>
          <w:szCs w:val="22"/>
        </w:rPr>
        <w:t>Extended Health Benefits</w:t>
      </w:r>
      <w:r>
        <w:rPr>
          <w:rFonts w:eastAsia="Cambria" w:cs="Cambria"/>
          <w:b w:val="false"/>
          <w:bCs w:val="false"/>
          <w:i w:val="false"/>
          <w:iCs w:val="false"/>
          <w:sz w:val="22"/>
          <w:szCs w:val="22"/>
        </w:rPr>
        <w:t xml:space="preserve"> (erweiterte Gesundheitsleistungen), ein in Kanada verbreiteter Bestandteil des Gehaltspakets, den du im Bewerbungsgespräch aktiv erfragen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beim neuen Arbeitgeber gezielt nach dem Umfang der Extended Health Benefits, bevor du eigene, unnötig teure Zusatzverträge abschließt. Viele größere Arbeitgeber decken Zahn, Medikamente und Sehhilfen bereits zu einem erheblichen Teil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relevante Arztbriefe möglichst in englischer Übersetzung mit – ein neuer Hausarzt oder eine Walk-in-Klinik in Kanada kennt weder deine Vorerkrankungen noch deinen Impfstatus, und ein deutsches Dokument ohne Übersetzung nützt im Zweifel wenig. Bei Dauermedikation lohnt sich zusätzlich ein Vorrat für die ersten Wochen sowie ein englischsprachiger Nachweis über Wirkstoff und Dosierung, da ein deutsches Rezept in kanadischen Apotheken nicht eingelöst werden kann und zunächst ein neues von einem in Kanada zugelassenen Arzt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15"/>
        <w:gridCol w:w="2864"/>
      </w:tblGrid>
      <w:tr>
        <w:trPr>
          <w:tblHeader w:val="true"/>
          <w:cantSplit w:val="true"/>
        </w:trPr>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Grundversorgung über die Provinz-Krankenversicherung ist für Berechtigte im Kern kostenfrei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einheitliches System – 13 Provinz- und Territorialregeln mit eigenen Fristen</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keine Wartefrist mehr seit 2020, Deckung ab Antragstellung</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und Québec: rund drei Monate ohne Deckung nach Zuzug</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und Saskatchewan gelten als praktisch wartefrei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und Physiotherapie meist unversichert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überbrückt die Lücke planbar</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Übergangsversicherung trägst du jede Behandlung während der Wartefrist voll selbst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bieten häufig Extended Health Benefits als Zusatzschutz</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Genaue 2026er-Tarife der Übergangsversicherer ändern sich häufig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vor dem Umzug direkt bei der Provinzbehörde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(v. a. British Columbia, Québec):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Aufenthaltsnachweis und Adressnachweis für den Antrag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Antrag auf Provinz-Krankenversicherung in der ersten Woche gestellt, Partner und Kinder mit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Anmeldebestätigung als vorläufigen Nachweis griffbereit, bis die Karte per Post ankommt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Extended Health Benefits beim Arbeitgeber erfragt, bevor eigene Zusatzverträge abgeschlossen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Zusatzversicherung für Zahn, Medikamente, Sehhilfen und Physiotherapie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Wartelisten mehrerer Hausarztpraxen eingetragen, nächstgelegene Walk-in-Klinik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SIN-Antrag parallel im Blick (siehe das </w:t>
            </w:r>
            <w:hyperlink w:anchor="tka07">
              <w:r>
                <w:rPr>
                  <w:rStyle w:val="ListLabel116"/>
                  <w:rFonts w:eastAsia="Cambria" w:cs="Cambria"/>
                  <w:b w:val="false"/>
                  <w:bCs w:val="false"/>
                  <w:i w:val="false"/>
                  <w:iCs w:val="false"/>
                  <w:color w:val="0563C1"/>
                  <w:sz w:val="20"/>
                  <w:szCs w:val="20"/>
                  <w:u w:val="single"/>
                </w:rPr>
                <w:t>Kapitel zu SIN, Steuern, Bank und Kredit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83">
        <w:r>
          <w:rPr>
            <w:rStyle w:val="ListLabel113"/>
            <w:rFonts w:eastAsia="Cambria" w:cs="Cambria"/>
            <w:b w:val="false"/>
            <w:bCs w:val="false"/>
            <w:i w:val="false"/>
            <w:iCs w:val="false"/>
            <w:color w:val="0563C1"/>
            <w:sz w:val="22"/>
            <w:szCs w:val="22"/>
            <w:u w:val="single"/>
          </w:rPr>
          <w:t>canada.ca/en/health-canada</w:t>
        </w:r>
      </w:hyperlink>
      <w:r>
        <w:rPr>
          <w:rFonts w:eastAsia="Cambria" w:cs="Cambria"/>
          <w:b w:val="false"/>
          <w:bCs w:val="false"/>
          <w:i w:val="false"/>
          <w:iCs w:val="false"/>
          <w:sz w:val="22"/>
          <w:szCs w:val="22"/>
        </w:rPr>
        <w:t xml:space="preserve"> – Canada Health Act, Grundprinzipien der Provinz-Krankenversicherung</w:t>
      </w:r>
    </w:p>
    <w:p>
      <w:pPr>
        <w:pStyle w:val="ListParagraph"/>
        <w:numPr>
          <w:ilvl w:val="0"/>
          <w:numId w:val="1"/>
        </w:numPr>
        <w:spacing w:lineRule="exact" w:line="288" w:before="0" w:after="60"/>
        <w:rPr/>
      </w:pPr>
      <w:hyperlink r:id="rId584">
        <w:r>
          <w:rPr>
            <w:rStyle w:val="ListLabel113"/>
            <w:rFonts w:eastAsia="Cambria" w:cs="Cambria"/>
            <w:b w:val="false"/>
            <w:bCs w:val="false"/>
            <w:i w:val="false"/>
            <w:iCs w:val="false"/>
            <w:color w:val="0563C1"/>
            <w:sz w:val="22"/>
            <w:szCs w:val="22"/>
            <w:u w:val="single"/>
          </w:rPr>
          <w:t>ontario.ca/page/apply-ohip-and-get-health-card</w:t>
        </w:r>
      </w:hyperlink>
      <w:r>
        <w:rPr>
          <w:rFonts w:eastAsia="Cambria" w:cs="Cambria"/>
          <w:b w:val="false"/>
          <w:bCs w:val="false"/>
          <w:i w:val="false"/>
          <w:iCs w:val="false"/>
          <w:sz w:val="22"/>
          <w:szCs w:val="22"/>
        </w:rPr>
        <w:t xml:space="preserve"> – OHIP-Anmeldung, keine Wartefrist</w:t>
      </w:r>
    </w:p>
    <w:p>
      <w:pPr>
        <w:pStyle w:val="ListParagraph"/>
        <w:numPr>
          <w:ilvl w:val="0"/>
          <w:numId w:val="1"/>
        </w:numPr>
        <w:spacing w:lineRule="exact" w:line="288" w:before="0" w:after="60"/>
        <w:rPr/>
      </w:pPr>
      <w:hyperlink r:id="rId585">
        <w:r>
          <w:rPr>
            <w:rStyle w:val="ListLabel113"/>
            <w:rFonts w:eastAsia="Cambria" w:cs="Cambria"/>
            <w:b w:val="false"/>
            <w:bCs w:val="false"/>
            <w:i w:val="false"/>
            <w:iCs w:val="false"/>
            <w:color w:val="0563C1"/>
            <w:sz w:val="22"/>
            <w:szCs w:val="22"/>
            <w:u w:val="single"/>
          </w:rPr>
          <w:t>www2.gov.bc.ca/gov/content/health/health-drug-coverage/msp</w:t>
        </w:r>
      </w:hyperlink>
      <w:r>
        <w:rPr>
          <w:rFonts w:eastAsia="Cambria" w:cs="Cambria"/>
          <w:b w:val="false"/>
          <w:bCs w:val="false"/>
          <w:i w:val="false"/>
          <w:iCs w:val="false"/>
          <w:sz w:val="22"/>
          <w:szCs w:val="22"/>
        </w:rPr>
        <w:t xml:space="preserve"> – MSP-Anmeldung und Wartefrist in British Columbia</w:t>
      </w:r>
    </w:p>
    <w:p>
      <w:pPr>
        <w:pStyle w:val="ListParagraph"/>
        <w:numPr>
          <w:ilvl w:val="0"/>
          <w:numId w:val="1"/>
        </w:numPr>
        <w:spacing w:lineRule="exact" w:line="288" w:before="0" w:after="60"/>
        <w:rPr/>
      </w:pPr>
      <w:hyperlink r:id="rId586">
        <w:r>
          <w:rPr>
            <w:rStyle w:val="ListLabel113"/>
            <w:rFonts w:eastAsia="Cambria" w:cs="Cambria"/>
            <w:b w:val="false"/>
            <w:bCs w:val="false"/>
            <w:i w:val="false"/>
            <w:iCs w:val="false"/>
            <w:color w:val="0563C1"/>
            <w:sz w:val="22"/>
            <w:szCs w:val="22"/>
            <w:u w:val="single"/>
          </w:rPr>
          <w:t>ramq.gouv.qc.ca</w:t>
        </w:r>
      </w:hyperlink>
      <w:r>
        <w:rPr>
          <w:rFonts w:eastAsia="Cambria" w:cs="Cambria"/>
          <w:b w:val="false"/>
          <w:bCs w:val="false"/>
          <w:i w:val="false"/>
          <w:iCs w:val="false"/>
          <w:sz w:val="22"/>
          <w:szCs w:val="22"/>
        </w:rPr>
        <w:t xml:space="preserve"> – Anmeldung und Wartefrist in Québec</w:t>
      </w:r>
    </w:p>
    <w:p>
      <w:pPr>
        <w:pStyle w:val="ListParagraph"/>
        <w:numPr>
          <w:ilvl w:val="0"/>
          <w:numId w:val="1"/>
        </w:numPr>
        <w:spacing w:lineRule="exact" w:line="288" w:before="0" w:after="60"/>
        <w:rPr/>
      </w:pPr>
      <w:hyperlink r:id="rId587">
        <w:r>
          <w:rPr>
            <w:rStyle w:val="ListLabel113"/>
            <w:rFonts w:eastAsia="Cambria" w:cs="Cambria"/>
            <w:b w:val="false"/>
            <w:bCs w:val="false"/>
            <w:i w:val="false"/>
            <w:iCs w:val="false"/>
            <w:color w:val="0563C1"/>
            <w:sz w:val="22"/>
            <w:szCs w:val="22"/>
            <w:u w:val="single"/>
          </w:rPr>
          <w:t>alberta.ca/ahcip</w:t>
        </w:r>
      </w:hyperlink>
      <w:r>
        <w:rPr>
          <w:rFonts w:eastAsia="Cambria" w:cs="Cambria"/>
          <w:b w:val="false"/>
          <w:bCs w:val="false"/>
          <w:i w:val="false"/>
          <w:iCs w:val="false"/>
          <w:sz w:val="22"/>
          <w:szCs w:val="22"/>
        </w:rPr>
        <w:t xml:space="preserve"> – Alberta Health Care Insurance Plan</w:t>
      </w:r>
    </w:p>
    <w:p>
      <w:pPr>
        <w:pStyle w:val="ListParagraph"/>
        <w:numPr>
          <w:ilvl w:val="0"/>
          <w:numId w:val="1"/>
        </w:numPr>
        <w:spacing w:lineRule="exact" w:line="288" w:before="0" w:after="60"/>
        <w:rPr/>
      </w:pPr>
      <w:hyperlink r:id="rId588">
        <w:r>
          <w:rPr>
            <w:rStyle w:val="ListLabel113"/>
            <w:rFonts w:eastAsia="Cambria" w:cs="Cambria"/>
            <w:b w:val="false"/>
            <w:bCs w:val="false"/>
            <w:i w:val="false"/>
            <w:iCs w:val="false"/>
            <w:color w:val="0563C1"/>
            <w:sz w:val="22"/>
            <w:szCs w:val="22"/>
            <w:u w:val="single"/>
          </w:rPr>
          <w:t>saskatchewan.ca/residents/health</w:t>
        </w:r>
      </w:hyperlink>
      <w:r>
        <w:rPr>
          <w:rFonts w:eastAsia="Cambria" w:cs="Cambria"/>
          <w:b w:val="false"/>
          <w:bCs w:val="false"/>
          <w:i w:val="false"/>
          <w:iCs w:val="false"/>
          <w:sz w:val="22"/>
          <w:szCs w:val="22"/>
        </w:rPr>
        <w:t xml:space="preserve"> – Saskatchewan Health Coverage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Wartefristen einzelner Provinzen, Tarife privater Übergangsversicherer sowie Umfang und Bedingungen von Extended Health Benefits einzelner Arbeitgeber. Prüfe vor jeder Entscheidung die aktuellen Seiten deiner Zielprovinz und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3" w:name="__RefHeading___Toc56582_3457424410"/>
      <w:bookmarkStart w:id="154" w:name="tka09"/>
      <w:bookmarkEnd w:id="153"/>
      <w:r>
        <w:rPr>
          <w:rFonts w:eastAsia="Amazon Ember" w:cs="Amazon Ember" w:ascii="Amazon Ember" w:hAnsi="Amazon Ember"/>
          <w:b/>
          <w:bCs/>
          <w:color w:val="0000FF"/>
          <w:sz w:val="36"/>
          <w:szCs w:val="36"/>
        </w:rPr>
        <w:t>Kanada: Wohnen und die besten Orte zum Leben</w:t>
      </w:r>
      <w:bookmarkEnd w:id="15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steht Anfang Februar zum ersten Mal auf seinem Balkon in Calgary, sieht auf eine schneebedeckte Straße – und zwei Stunden später auf nackten Asphalt, weil ein warmer Fallwind namens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die Temperatur um 15 Grad nach oben katapultiert hat. Die Nachbarin nickt nur, als sei das die normalste Sache der Welt, was es in Calgary tatsächlich ist. Beim kanadischen Wohnungsmarkt braucht es eine ähnliche Portion Gelassenheit: Mieten verlangt eine Kreditauskunft, die es in Deutschland so nicht gibt, und Kaufen bedeutet mancherorts, binnen Minuten gegen unsichtbare Mitbieter zu bestehen. Wo du am Ende landest, entscheidet nicht nur das Budget, sondern auch, ob du eher mit Blizzards, Eisstürmen oder Hurrikan-Ausläufern leben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Portale wie rentals.ca, meist mit Kreditauskunft (</w:t>
            </w:r>
            <w:r>
              <w:rPr>
                <w:rFonts w:eastAsia="Cambria" w:cs="Cambria"/>
                <w:b w:val="false"/>
                <w:bCs w:val="false"/>
                <w:i/>
                <w:iCs/>
                <w:sz w:val="20"/>
                <w:szCs w:val="20"/>
              </w:rPr>
              <w:t>Credit Report</w:t>
            </w:r>
            <w:r>
              <w:rPr>
                <w:rFonts w:eastAsia="Cambria" w:cs="Cambria"/>
                <w:b w:val="false"/>
                <w:bCs w:val="false"/>
                <w:i w:val="false"/>
                <w:iCs w:val="false"/>
                <w:sz w:val="20"/>
                <w:szCs w:val="20"/>
              </w:rPr>
              <w:t>) und Einkommensnachweis; die Kautionsregeln unterscheiden sich stark: Ontario und Québec verbieten Schadenskautionen komplett, Alberta erlaubt bis zu einer, British Columbia bis zu einer halben Monatsmiete.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Kaufverbot für Nicht-Kanadier (befristet bis 1. Januar 2027) betrifft die meisten Wohnimmobilien in Städten; wer ein Arbeitsvisum mit mindestens 183 Tagen Restlaufzeit hat, darf trotzdem eine einzige Immobilie kaufen.</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erheben zusätzlich eine Sondersteuer für ausländische Käufer (Ontario bis zu 35 % in Toronto, BC 20 % in Metro Vancouver); Permanent Residents sind davon ausgenommen.</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sind am teuersten, bieten aber die meisten Jobs; Calgary und Montréal sind spürbar günstiger, verlangen dafür Kompromisse bei Sprache (Montréal) oder Jobfokus (Calgary).</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Derecho, Chinook-Vereisung, Eissturm oder Hurrikan-Ausläufer –, das in die Versicherungsprämie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Bewerbung, Kaution,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überwiegend online, über Portale wie rentals.ca oder kijiji.ca – funktional vergleichbar mit deutschen Immobilienportalen, nur mit deutlich mehr Fotos vom begehbaren Kleiderschrank. Wer sich bewirbt, legt üblicherweise eine Kreditauskunft (</w:t>
      </w:r>
      <w:r>
        <w:rPr>
          <w:rFonts w:eastAsia="Cambria" w:cs="Cambria"/>
          <w:b w:val="false"/>
          <w:bCs w:val="false"/>
          <w:i/>
          <w:iCs/>
          <w:sz w:val="22"/>
          <w:szCs w:val="22"/>
        </w:rPr>
        <w:t>Credit Report</w:t>
      </w:r>
      <w:r>
        <w:rPr>
          <w:rFonts w:eastAsia="Cambria" w:cs="Cambria"/>
          <w:b w:val="false"/>
          <w:bCs w:val="false"/>
          <w:i w:val="false"/>
          <w:iCs w:val="false"/>
          <w:sz w:val="22"/>
          <w:szCs w:val="22"/>
        </w:rPr>
        <w:t>, vergleichbar mit einer erweiterten 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lohnt ein zweiter Blick auf die Provinz, denn hier unterscheidet sich Kanada deutlicher, als man erwartet. In Ontario ist eine Schadenskaution schlicht verboten – erlaubt ist ausschließlich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 der Vermieter darf dort einfach nicht mehr verlangen, selbst wenn er es wollte. Mietverträge laufen meist zwölf Monate; danach folgt automatisch ein formloser Zeitmietvertrag (</w:t>
      </w:r>
      <w:r>
        <w:rPr>
          <w:rFonts w:eastAsia="Cambria" w:cs="Cambria"/>
          <w:b w:val="false"/>
          <w:bCs w:val="false"/>
          <w:i/>
          <w:iCs/>
          <w:sz w:val="22"/>
          <w:szCs w:val="22"/>
        </w:rPr>
        <w:t>Month-to-Month Tenancy</w:t>
      </w:r>
      <w:r>
        <w:rPr>
          <w:rFonts w:eastAsia="Cambria" w:cs="Cambria"/>
          <w:b w:val="false"/>
          <w:bCs w:val="false"/>
          <w:i w:val="false"/>
          <w:iCs w:val="false"/>
          <w:sz w:val="22"/>
          <w:szCs w:val="22"/>
        </w:rPr>
        <w:t>) zu denselben Bedingungen, sofern niemand 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Ausstattung gilt ein anderer Standard als in Deutschland: Kühlschrank und Herd gehören praktisch immer zur Wohnung, Waschmaschine und Trockner je nach Gebäude entweder in der eigenen Einheit oder als Gemeinschaftswaschraum im Keller – eine komplett unmöblierte Küche wie in vielen deutschen Mietwohnungen ist unüblich. Ob Heizkosten in der Miete enthalten sind, hängt stark vom Gebäudetyp ab: In älteren Mehrfamilienhäusern übernimmt oft der Vermieter Heizung und Warmwasser, in freistehenden Häusern und neueren Eigentumswohnungen zahlt meist der Mieter Strom (</w:t>
      </w:r>
      <w:r>
        <w:rPr>
          <w:rFonts w:eastAsia="Cambria" w:cs="Cambria"/>
          <w:b w:val="false"/>
          <w:bCs w:val="false"/>
          <w:i/>
          <w:iCs/>
          <w:sz w:val="22"/>
          <w:szCs w:val="22"/>
        </w:rPr>
        <w:t>Hydro</w:t>
      </w:r>
      <w:r>
        <w:rPr>
          <w:rFonts w:eastAsia="Cambria" w:cs="Cambria"/>
          <w:b w:val="false"/>
          <w:bCs w:val="false"/>
          <w:i w:val="false"/>
          <w:iCs w:val="false"/>
          <w:sz w:val="22"/>
          <w:szCs w:val="22"/>
        </w:rPr>
        <w:t>) und Heizung separat –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der Mietpreisbremse (</w:t>
      </w:r>
      <w:r>
        <w:rPr>
          <w:rFonts w:eastAsia="Cambria" w:cs="Cambria"/>
          <w:b w:val="false"/>
          <w:bCs w:val="false"/>
          <w:i/>
          <w:iCs/>
          <w:sz w:val="22"/>
          <w:szCs w:val="22"/>
        </w:rPr>
        <w:t>Rent Control</w:t>
      </w:r>
      <w:r>
        <w:rPr>
          <w:rFonts w:eastAsia="Cambria" w:cs="Cambria"/>
          <w:b w:val="false"/>
          <w:bCs w:val="false"/>
          <w:i w:val="false"/>
          <w:iCs w:val="false"/>
          <w:sz w:val="22"/>
          <w:szCs w:val="22"/>
        </w:rPr>
        <w:t>) unterscheiden sich die Provinzen deutlich. Ontario deckelt die jährliche Mieterhöhung für die meisten Bestandswohnungen gesetzlich – Neubauten ab einem bestimmten Stichdatum sind davon ausgenommen. British Columbia und Québec kennen ähnliche, jährlich neu festgelegte Obergrenzen. Alberta dagegen verzichtet komplett auf eine Mietpreisbremse: Der Vermieter darf die Miete bei Vertragsverlängerung grundsätzlich frei neu verhandeln, solange er die vorgeschriebene Ankündigungsfrist einhält.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Montréal und Calgary liegen bei der Miete merklich unter Toronto und Vancouver – rund 700 bis 800 CAD weniger im Monat für eine vergleichbare Wohnung. Wer beim Jobmarkt flexibel ist, sollte diese beiden Städte ernsthaft mit in die Rechnung nehmen, statt automatisch auf die bekannteren Namen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bewirbt sich auf eine Einzimmerwohnung im Stadtteil Beltline. Die Hausverwaltung fragt nach einer kanadischen Kreditauskunft, die er naturgemäß nicht hat. Statt aufzugeben, legt er seinen unbefristeten Arbeitsvertrag, die ersten beiden Gehaltsabrechnungen und ein Schreiben seines Arbeitgebers vor, das sein Gehalt bestätigt – und bietet an, die ersten drei Monatsmieten im Voraus zu überweisen. Die Zusage kommt zwei Tage später. Die Kaution, in Alberta bis zu einer vollen Monatsmiete zulässig, überweist er direkt an die Verwaltung, nicht an eine Treuhandstelle wie in manch anderer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Ablauf, Käuferschutz und das Kaufverbot für Ausländer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ähnelt in den Grundzügen dem deutschen Immobilienkauf, nur ohne Notartermin: In den meisten Provinzen prüft ein auf Immobilienrecht spezialisierter Anwalt (</w:t>
      </w:r>
      <w:r>
        <w:rPr>
          <w:rFonts w:eastAsia="Cambria" w:cs="Cambria"/>
          <w:b w:val="false"/>
          <w:bCs w:val="false"/>
          <w:i/>
          <w:iCs/>
          <w:sz w:val="22"/>
          <w:szCs w:val="22"/>
        </w:rPr>
        <w:t>Real Estate Lawyer</w:t>
      </w:r>
      <w:r>
        <w:rPr>
          <w:rFonts w:eastAsia="Cambria" w:cs="Cambria"/>
          <w:b w:val="false"/>
          <w:bCs w:val="false"/>
          <w:i w:val="false"/>
          <w:iCs w:val="false"/>
          <w:sz w:val="22"/>
          <w:szCs w:val="22"/>
        </w:rPr>
        <w:t xml:space="preserve">) den Vertrag und wickelt die Übergabe ab, in Québec übernimmt das traditionell ein </w:t>
      </w:r>
      <w:r>
        <w:rPr>
          <w:rFonts w:eastAsia="Cambria" w:cs="Cambria"/>
          <w:b w:val="false"/>
          <w:bCs w:val="false"/>
          <w:i/>
          <w:iCs/>
          <w:sz w:val="22"/>
          <w:szCs w:val="22"/>
        </w:rPr>
        <w:t>Notaire</w:t>
      </w:r>
      <w:r>
        <w:rPr>
          <w:rFonts w:eastAsia="Cambria" w:cs="Cambria"/>
          <w:b w:val="false"/>
          <w:bCs w:val="false"/>
          <w:i w:val="false"/>
          <w:iCs w:val="false"/>
          <w:sz w:val="22"/>
          <w:szCs w:val="22"/>
        </w:rPr>
        <w:t>. Ein unterschriebenes Kaufangebot (</w:t>
      </w:r>
      <w:r>
        <w:rPr>
          <w:rFonts w:eastAsia="Cambria" w:cs="Cambria"/>
          <w:b w:val="false"/>
          <w:bCs w:val="false"/>
          <w:i/>
          <w:iCs/>
          <w:sz w:val="22"/>
          <w:szCs w:val="22"/>
        </w:rPr>
        <w:t>Offer</w:t>
      </w:r>
      <w:r>
        <w:rPr>
          <w:rFonts w:eastAsia="Cambria" w:cs="Cambria"/>
          <w:b w:val="false"/>
          <w:bCs w:val="false"/>
          <w:i w:val="false"/>
          <w:iCs w:val="false"/>
          <w:sz w:val="22"/>
          <w:szCs w:val="22"/>
        </w:rPr>
        <w:t xml:space="preserve">) ist in den meisten Provinzen sofort bindend, sobald der Verkäufer annimmt –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w:t>
      </w:r>
      <w:r>
        <w:rPr>
          <w:rFonts w:eastAsia="Cambria" w:cs="Cambria"/>
          <w:b w:val="false"/>
          <w:bCs w:val="false"/>
          <w:i/>
          <w:iCs/>
          <w:sz w:val="22"/>
          <w:szCs w:val="22"/>
        </w:rPr>
        <w:t>Blind Bidding</w:t>
      </w:r>
      <w:r>
        <w:rPr>
          <w:rFonts w:eastAsia="Cambria" w:cs="Cambria"/>
          <w:b w:val="false"/>
          <w:bCs w:val="false"/>
          <w:i w:val="false"/>
          <w:iCs w:val="false"/>
          <w:sz w:val="22"/>
          <w:szCs w:val="22"/>
        </w:rPr>
        <w:t xml:space="preserve"> verbreitet: Interessenten geben verdeckte Gebote ab, ohne die Angebote der Konkurrenz zu kennen, oft deutlich über dem Angebotspreis – eine sehr kanadische Form des Wettbewerbs, höflich im Ton, aber schonungslos im Ergebnis.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zusätzlich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Angebot lohnt sich eine Hypotheken-Vorabzusage (</w:t>
      </w:r>
      <w:r>
        <w:rPr>
          <w:rFonts w:eastAsia="Cambria" w:cs="Cambria"/>
          <w:b w:val="false"/>
          <w:bCs w:val="false"/>
          <w:i/>
          <w:iCs/>
          <w:sz w:val="22"/>
          <w:szCs w:val="22"/>
        </w:rPr>
        <w:t>Mortgage Pre-Approval</w:t>
      </w:r>
      <w:r>
        <w:rPr>
          <w:rFonts w:eastAsia="Cambria" w:cs="Cambria"/>
          <w:b w:val="false"/>
          <w:bCs w:val="false"/>
          <w:i w:val="false"/>
          <w:iCs w:val="false"/>
          <w:sz w:val="22"/>
          <w:szCs w:val="22"/>
        </w:rPr>
        <w:t>) bei der eigenen Bank oder einem Hypothekenmakler – sie zeigt dem Verkäufer, dass die Finanzierung steht, und ist bei Blind-Bidding-Situationen praktisch Pflicht. Eine Haus-Inspektion (</w:t>
      </w:r>
      <w:r>
        <w:rPr>
          <w:rFonts w:eastAsia="Cambria" w:cs="Cambria"/>
          <w:b w:val="false"/>
          <w:bCs w:val="false"/>
          <w:i/>
          <w:iCs/>
          <w:sz w:val="22"/>
          <w:szCs w:val="22"/>
        </w:rPr>
        <w:t>Home Inspection</w:t>
      </w:r>
      <w:r>
        <w:rPr>
          <w:rFonts w:eastAsia="Cambria" w:cs="Cambria"/>
          <w:b w:val="false"/>
          <w:bCs w:val="false"/>
          <w:i w:val="false"/>
          <w:iCs w:val="false"/>
          <w:sz w:val="22"/>
          <w:szCs w:val="22"/>
        </w:rPr>
        <w:t>) vor der endgültigen Zusage ist unüblich vorgeschrieben, aber in den meisten Kaufangeboten als Bedingung (</w:t>
      </w:r>
      <w:r>
        <w:rPr>
          <w:rFonts w:eastAsia="Cambria" w:cs="Cambria"/>
          <w:b w:val="false"/>
          <w:bCs w:val="false"/>
          <w:i/>
          <w:iCs/>
          <w:sz w:val="22"/>
          <w:szCs w:val="22"/>
        </w:rPr>
        <w:t>Condition</w:t>
      </w:r>
      <w:r>
        <w:rPr>
          <w:rFonts w:eastAsia="Cambria" w:cs="Cambria"/>
          <w:b w:val="false"/>
          <w:bCs w:val="false"/>
          <w:i w:val="false"/>
          <w:iCs w:val="false"/>
          <w:sz w:val="22"/>
          <w:szCs w:val="22"/>
        </w:rPr>
        <w:t>) einbaubar, sofern der Verkäufermarkt das zulässt – in hart umkämpften Lagen verzichten Käufer aus Konkurrenzdruck darauf, was ein reales Risiko bleibt. Zu den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zählen neben der Grunderwerbsteuer (</w:t>
      </w:r>
      <w:r>
        <w:rPr>
          <w:rFonts w:eastAsia="Cambria" w:cs="Cambria"/>
          <w:b w:val="false"/>
          <w:bCs w:val="false"/>
          <w:i/>
          <w:iCs/>
          <w:sz w:val="22"/>
          <w:szCs w:val="22"/>
        </w:rPr>
        <w:t>Land Transfer Tax</w:t>
      </w:r>
      <w:r>
        <w:rPr>
          <w:rFonts w:eastAsia="Cambria" w:cs="Cambria"/>
          <w:b w:val="false"/>
          <w:bCs w:val="false"/>
          <w:i w:val="false"/>
          <w:iCs w:val="false"/>
          <w:sz w:val="22"/>
          <w:szCs w:val="22"/>
        </w:rPr>
        <w:t>, gestaffelt nach Kaufpreis und Provinz) die Anwalts- oder Notargebühren sowie die Grundbucheintragung; als Faustregel kalkulieren Käufer obendrauf 1,5 bis 4 % des Kaufpreises außerhalb der Anzahlung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Käufer ohne Permanent Residence kommt seit dem 1. Januar 2023 eine deutliche Hürde hinzu: Das bundesweite „Prohibition on the Purchase of Residential Property by Non-Canadians Act“ verbietet Nicht-Kanadiern grundsätzlich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 der PR-Status wirkt hier ganz ähnlich wie in Australien: Er entscheidet, ob dich das Gesetz überhaupt betrifft.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erheben zwei Provinzen eine eigene Steuer für ausländische Käufer, unabhängig vom Bundesverbot: Ontario verlangt eine „Non-Resident Speculation Tax“ von 25 % des Kaufpreises landesweit, in Toronto kommt eine städtische Zusatzabgabe von 10 % hinzu – macht zusammen 35 % Aufschlag auf den Kaufpreis. British Columbia erhebt in Metro Vancouver und weiteren festgelegten Regionen eine „Additional Property Transfer Tax“ von 20 %. Alberta und die meisten anderen Provinzen kennen keine vergleichbare Sondersteuer. Auch hier gilt: Permanent Residents zahlen diese Steuern nicht, sie treffen ausschließlich „foreign nationals“ ohne PR-Status.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dich das Kaufverbot und die Foreign-Buyer-Steuern treffen, hängt am Aufenthaltsstatus, nicht an Herkunft oder Aufenthaltsdauer. Wer wie Familie Ahrens über Express Entry direkt mit Permanent Residence einreist, ist von der ersten Sekunde an ausgenommen. Wer mit einem befristeten Arbeitsvisum kommt, bleibt „foreign national“, bis der PR-Status offiziell erteilt ist – unabhängig davon, wie lange man schon in Kanada lebt oder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 im Zweifel klärt das ein auf Immobilienrecht spezialisierter Anwalt vorab.</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über Express Entry direkt mit Permanent Residence nach Toronto. Markus und Julia mieten die ersten Monate in Etobicoke, während sie Schuldistrikte für Finn (11) und Mia (7) vergleichen. Als sie nach anderthalb Jahren ein Reihenhaus besichtigen, geben sie ein verdecktes Gebot ab, ohne die Konkurrenz zu kennen – am Ende liegt ihr Angebot knapp über dem von zwei weiteren Familien. Weil sie Permanent Residents sind, zahlen sie nur die reguläre Grunderwerbsteuer (</w:t>
            </w:r>
            <w:r>
              <w:rPr>
                <w:rFonts w:eastAsia="Cambria" w:cs="Cambria"/>
                <w:b w:val="false"/>
                <w:bCs w:val="false"/>
                <w:i/>
                <w:iCs/>
                <w:sz w:val="20"/>
                <w:szCs w:val="20"/>
              </w:rPr>
              <w:t>Land Transfer Tax</w:t>
            </w:r>
            <w:r>
              <w:rPr>
                <w:rFonts w:eastAsia="Cambria" w:cs="Cambria"/>
                <w:b w:val="false"/>
                <w:bCs w:val="false"/>
                <w:i w:val="false"/>
                <w:iCs w:val="false"/>
                <w:sz w:val="20"/>
                <w:szCs w:val="20"/>
              </w:rPr>
              <w:t>), weder die 35-prozentige Non-Resident Speculation Tax noch braucht es eine Ausnahmegenehmigung vom Kaufverbot. Ein Kollege aus Julias Apotheke, der noch auf einem befristeten Visum arbeitet, hätte für dasselbe Haus rund 385.000 CAD zusätzlich aufbringen müssen – allein wegen des fehlenden PR-Status.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„Kanada ist überall gleich kalt, also spielt der Wohnort für das Klima kaum eine Rolle.“ Tatsächlich liegen zwischen einem Calgary-Winter mit Chinook-Wärmeeinbrüchen und einem Vancouver-Winter mit Dauerregen bei milden Plusgraden klimatisch Welten – und jede der sechs großen Städte trägt außerdem ihr eigenes Naturgefahren-Risiko, das Versicherer Jahr für Jahr neu bepreisen. Rechne über Miete oder Kaufpreis hinaus auch mit den üblichen Fixkosten für Heizung, Auto und Kinderbetreuung; sie schwanken zwischen den Städten spürbar weniger als Miete und Kaufpreis, gehören aber ebenso in die Budgetrechnung.</w:t>
      </w:r>
    </w:p>
    <w:p>
      <w:pPr>
        <w:pStyle w:val="Normal"/>
        <w:keepNext w:val="false"/>
        <w:keepLines w:val="false"/>
        <w:spacing w:lineRule="exact" w:line="288" w:before="0" w:after="140"/>
        <w:jc w:val="left"/>
        <w:rPr/>
      </w:pPr>
      <w:r>
        <w:rPr>
          <w:rFonts w:eastAsia="Cambria" w:cs="Cambria"/>
          <w:b/>
          <w:bCs/>
          <w:i w:val="false"/>
          <w:iCs w:val="false"/>
          <w:sz w:val="22"/>
          <w:szCs w:val="22"/>
        </w:rPr>
        <w:t>Toronto (Ontario)</w:t>
      </w:r>
      <w:r>
        <w:rPr>
          <w:rFonts w:eastAsia="Cambria" w:cs="Cambria"/>
          <w:b w:val="false"/>
          <w:bCs w:val="false"/>
          <w:i w:val="false"/>
          <w:iCs w:val="false"/>
          <w:sz w:val="22"/>
          <w:szCs w:val="22"/>
        </w:rPr>
        <w:t xml:space="preserve"> hat ein feucht-kontinentales Klima mit warmen, teils schwülen Sommern und kalten, schneereichen Wintern – meist berechenbar, bis zum Derecho vom Mai 2022: Böen bis 190 km/h, rund vier Tornados entlang einer etwa 1.000 Kilometer langen Schneise quer durch Südontario, mehrere Notstandserklärungen. Beim Wohnen ist Toronto die zweitteuerste Metro Kanadas: Miete durchschnittlich 2.660 CAD, Kaufpreis rund 993.410 CAD. Der Jobmarkt gleicht das teilweise aus –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pPr>
        <w:pStyle w:val="Normal"/>
        <w:keepNext w:val="false"/>
        <w:keepLines w:val="false"/>
        <w:spacing w:lineRule="exact" w:line="288" w:before="0" w:after="140"/>
        <w:jc w:val="left"/>
        <w:rPr/>
      </w:pPr>
      <w:r>
        <w:rPr>
          <w:rFonts w:eastAsia="Cambria" w:cs="Cambria"/>
          <w:b/>
          <w:bCs/>
          <w:i w:val="false"/>
          <w:iCs w:val="false"/>
          <w:sz w:val="22"/>
          <w:szCs w:val="22"/>
        </w:rPr>
        <w:t>Vancouver (British Columbia)</w:t>
      </w:r>
      <w:r>
        <w:rPr>
          <w:rFonts w:eastAsia="Cambria" w:cs="Cambria"/>
          <w:b w:val="false"/>
          <w:bCs w:val="false"/>
          <w:i w:val="false"/>
          <w:iCs w:val="false"/>
          <w:sz w:val="22"/>
          <w:szCs w:val="22"/>
        </w:rPr>
        <w:t xml:space="preserve"> gilt klimatisch als ozeanisch-mild, was die milden Temperaturen betrifft –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pPr>
        <w:pStyle w:val="Normal"/>
        <w:keepNext w:val="false"/>
        <w:keepLines w:val="false"/>
        <w:spacing w:lineRule="exact" w:line="288" w:before="0" w:after="140"/>
        <w:jc w:val="left"/>
        <w:rPr/>
      </w:pPr>
      <w:r>
        <w:rPr>
          <w:rFonts w:eastAsia="Cambria" w:cs="Cambria"/>
          <w:b/>
          <w:bCs/>
          <w:i w:val="false"/>
          <w:iCs w:val="false"/>
          <w:sz w:val="22"/>
          <w:szCs w:val="22"/>
        </w:rPr>
        <w:t>Calgary (Alberta)</w:t>
      </w:r>
      <w:r>
        <w:rPr>
          <w:rFonts w:eastAsia="Cambria" w:cs="Cambria"/>
          <w:b w:val="false"/>
          <w:bCs w:val="false"/>
          <w:i w:val="false"/>
          <w:iCs w:val="false"/>
          <w:sz w:val="22"/>
          <w:szCs w:val="22"/>
        </w:rPr>
        <w:t xml:space="preserve">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gegenüber etwa 41 CAD in Toronto – ein Unterschied von rechnerisch rund 14.500 CAD im Jahr.</w:t>
      </w:r>
    </w:p>
    <w:p>
      <w:pPr>
        <w:pStyle w:val="Normal"/>
        <w:keepNext w:val="false"/>
        <w:keepLines w:val="false"/>
        <w:spacing w:lineRule="exact" w:line="288" w:before="0" w:after="140"/>
        <w:jc w:val="left"/>
        <w:rPr/>
      </w:pPr>
      <w:r>
        <w:rPr>
          <w:rFonts w:eastAsia="Cambria" w:cs="Cambria"/>
          <w:b/>
          <w:bCs/>
          <w:i w:val="false"/>
          <w:iCs w:val="false"/>
          <w:sz w:val="22"/>
          <w:szCs w:val="22"/>
        </w:rPr>
        <w:t>Montréal (Québec)</w:t>
      </w:r>
      <w:r>
        <w:rPr>
          <w:rFonts w:eastAsia="Cambria" w:cs="Cambria"/>
          <w:b w:val="false"/>
          <w:bCs w:val="false"/>
          <w:i w:val="false"/>
          <w:iCs w:val="false"/>
          <w:sz w:val="22"/>
          <w:szCs w:val="22"/>
        </w:rPr>
        <w:t xml:space="preserve"> hat ebenfalls feucht-kontinentales Klima mit kalten, schneereichen Wintern –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grundsätzlich Französisch statt Englisch im Behördenkontakt vorschreibt.</w:t>
      </w:r>
    </w:p>
    <w:p>
      <w:pPr>
        <w:pStyle w:val="Normal"/>
        <w:keepNext w:val="false"/>
        <w:keepLines w:val="false"/>
        <w:spacing w:lineRule="exact" w:line="288" w:before="0" w:after="140"/>
        <w:jc w:val="left"/>
        <w:rPr/>
      </w:pPr>
      <w:r>
        <w:rPr>
          <w:rFonts w:eastAsia="Cambria" w:cs="Cambria"/>
          <w:b/>
          <w:bCs/>
          <w:i w:val="false"/>
          <w:iCs w:val="false"/>
          <w:sz w:val="22"/>
          <w:szCs w:val="22"/>
        </w:rPr>
        <w:t>Ottawa (Ontario, mit Gatineau in Québec)</w:t>
      </w:r>
      <w:r>
        <w:rPr>
          <w:rFonts w:eastAsia="Cambria" w:cs="Cambria"/>
          <w:b w:val="false"/>
          <w:bCs w:val="false"/>
          <w:i w:val="false"/>
          <w:iCs w:val="false"/>
          <w:sz w:val="22"/>
          <w:szCs w:val="22"/>
        </w:rPr>
        <w:t xml:space="preserve"> teilt sich das feucht-kontinentale Klima mit Toronto, ist aber seltener von Tornados betroffen –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North mit Schwerpunkt Telekommunikation, Cybersicherheit und Photonik. Der Park beschäftigt laut einer Wirkungsstudie direkt rund 31.000 Menschen, landesweit sollen über 63.000 weitere Jobs von ihm abhängen – Zahlen der lokalen Wirtschaftsförderung, nicht unabhängig geprüft, aber ein Hinweis auf die Größenordnung. Die Deutsche Botschaft hat hier ihren Sitz, dazu ein Goethe-Institut.</w:t>
      </w:r>
    </w:p>
    <w:p>
      <w:pPr>
        <w:pStyle w:val="Normal"/>
        <w:keepNext w:val="false"/>
        <w:keepLines w:val="false"/>
        <w:spacing w:lineRule="exact" w:line="288" w:before="0" w:after="140"/>
        <w:jc w:val="left"/>
        <w:rPr/>
      </w:pPr>
      <w:r>
        <w:rPr>
          <w:rFonts w:eastAsia="Cambria" w:cs="Cambria"/>
          <w:b/>
          <w:bCs/>
          <w:i w:val="false"/>
          <w:iCs w:val="false"/>
          <w:sz w:val="22"/>
          <w:szCs w:val="22"/>
        </w:rPr>
        <w:t>Halifax (Nova Scotia)</w:t>
      </w:r>
      <w:r>
        <w:rPr>
          <w:rFonts w:eastAsia="Cambria" w:cs="Cambria"/>
          <w:b w:val="false"/>
          <w:bCs w:val="false"/>
          <w:i w:val="false"/>
          <w:iCs w:val="false"/>
          <w:sz w:val="22"/>
          <w:szCs w:val="22"/>
        </w:rPr>
        <w:t xml:space="preserve"> hat ein maritim-gemäßigtes Klima mit milderen Wintern als im kontinentalen Kanada, dafür feucht und stürmisch –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 eine Chance für Neuankömmlinge, aber auch ein Hinweis darauf, dass sich berufliche Netzwerke vor Ort erst noch aufbauen lassen müssen.</w:t>
      </w:r>
    </w:p>
    <w:tbl>
      <w:tblPr>
        <w:tblW w:w="6480" w:type="dxa"/>
        <w:jc w:val="left"/>
        <w:tblInd w:w="0" w:type="dxa"/>
        <w:tblLayout w:type="fixed"/>
        <w:tblCellMar>
          <w:top w:w="50" w:type="dxa"/>
          <w:left w:w="80" w:type="dxa"/>
          <w:bottom w:w="50" w:type="dxa"/>
          <w:right w:w="80" w:type="dxa"/>
        </w:tblCellMar>
      </w:tblPr>
      <w:tblGrid>
        <w:gridCol w:w="1111"/>
        <w:gridCol w:w="2230"/>
        <w:gridCol w:w="1213"/>
        <w:gridCol w:w="1925"/>
      </w:tblGrid>
      <w:tr>
        <w:trPr>
          <w:tblHeader w:val="true"/>
          <w:cantSplit w:val="true"/>
        </w:trPr>
        <w:tc>
          <w:tcPr>
            <w:tcW w:w="11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2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2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Ø/Monat · Kaufpreis)</w:t>
            </w:r>
          </w:p>
        </w:tc>
        <w:tc>
          <w:tcPr>
            <w:tcW w:w="1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Derecho-Risiko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 CAD · 993.410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(Bay Street), Fintech/Tech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sehr regenreich, Erdbebenrisiko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 · 1.081.900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Tech/Software, Film/VFX</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trocken-kontinental, Chinook-Extreme</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638.440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 und Gas</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689.824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KI</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 (national 668.219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 Tech (Kanata North)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Halifax</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maritim, Hurrikan-/Sturmrisiko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Ocean-Tech, Fintech, Cybersicherheit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 nicht erst, nachdem der Vertrag schon unterschrieben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außerhalb der jeweiligen Innenstadt ein eigenes Fahrzeug einplanen: Der öffentliche Nahverkehr ist meist auf Pendlerkorridore in Richtung Innenstadt ausgelegt, nicht auf die Fläche der Vorstädte, in denen viele Familien mit Kindern eher landen.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von Kaufverbot und Foreign-Buyer-Steuern von Anfang an ausgenommen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Nicht-PR-Käufer brauchen ein gültiges Arbeitsvisum mit mindestens 183 Tagen Restlaufzeit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Québec verbieten Schadenskautionen – finanziell entlastend beim Einzug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 Kredithistorie ist die Wohnungssuche merklich schwerer als gedacht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und Montréal bieten deutlich günstigeren Wohnraum als Toronto oder Vancouver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Städte verlangen Kompromisse bei Sprache (Québec) oder Jobfokus (Calgary)</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gewährt als einzige Provinz eine gesetzliche dreitägige Rücktrittsfrist beim Kauf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übrigen Provinzen ist ein angenommenes Angebot sofort bindend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Chinook-Vereisung, Derecho, Eissturm oder Hurrikan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Zielstadt. Kläre früh, welchen Aufenthaltsstatus du beim Umzug hast – er entscheidet, ob dich das bundesweite Kaufverbot und die provinziellen Foreign-Buyer-Steuern überhaupt betreffen, und ob eine Bank dich ohne kanadische Kredithistorie finanziert. Miete zunächst, auch wenn ein Kauf verlockt: Du lernst Viertel und Schuldistrikt aus eigener Erfahrung kennen und musst dich außerhalb von British Columbia nicht unter Zeitdruck in ein sofort bindendes Kaufangebot hineinsteigern.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Aufenthaltsstatus geklärt: Permanent Resident oder „non-Canadian“ im Sinne des Kaufverbots?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die 183-Tage-Restlaufzeit für eine Kaufausnahme 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Foreign-Buyer-Steuer der Zielprovinz recherchiert (Ontario, BC) oder ausgeschlossen (Alberta u. 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Kautionsregeln der Zielprovinz geprüft (Ontario/Québec: keine Schadenskaution; Alberta/BC: Obergrenzen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Gehaltsnachweis, Arbeitsvertrag, ausländische Bonitätsnachweise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Real-Estate-Anwalt oder, in Québec, Notaire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ohne kanadische Kredithistorie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Toronto oder Vancouver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Canada — Quarterly Rent Statistics (</w:t>
      </w:r>
      <w:hyperlink r:id="rId589">
        <w:r>
          <w:rPr>
            <w:rStyle w:val="ListLabel113"/>
            <w:rFonts w:eastAsia="Cambria" w:cs="Cambria"/>
            <w:b w:val="false"/>
            <w:bCs w:val="false"/>
            <w:i w:val="false"/>
            <w:iCs w:val="false"/>
            <w:color w:val="0563C1"/>
            <w:sz w:val="22"/>
            <w:szCs w:val="22"/>
            <w:u w:val="single"/>
          </w:rPr>
          <w:t>statcan.gc.ca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CMHC (Canada Mortgage and Housing Corporation) — Rental- und Kaufmarktberichte, Hypothekenregeln (</w:t>
      </w:r>
      <w:hyperlink r:id="rId590">
        <w:r>
          <w:rPr>
            <w:rStyle w:val="ListLabel113"/>
            <w:rFonts w:eastAsia="Cambria" w:cs="Cambria"/>
            <w:b w:val="false"/>
            <w:bCs w:val="false"/>
            <w:i w:val="false"/>
            <w:iCs w:val="false"/>
            <w:color w:val="0563C1"/>
            <w:sz w:val="22"/>
            <w:szCs w:val="22"/>
            <w:u w:val="single"/>
          </w:rPr>
          <w:t>cmhc-schl.gc.ca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Kanadische Bundesregierung — Prohibition on the Purchase of Residential Property by Non-Canadians Act (</w:t>
      </w:r>
      <w:hyperlink r:id="rId591">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Additional Property Transfer Tax, Home Buyer Rescission Period (</w:t>
      </w:r>
      <w:hyperlink r:id="rId59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 Non-Resident Speculation Tax, Residential Tenancies Act (</w:t>
      </w:r>
      <w:hyperlink r:id="rId593">
        <w:r>
          <w:rPr>
            <w:rStyle w:val="ListLabel113"/>
            <w:rFonts w:eastAsia="Cambria" w:cs="Cambria"/>
            <w:b w:val="false"/>
            <w:bCs w:val="false"/>
            <w:i w:val="false"/>
            <w:iCs w:val="false"/>
            <w:color w:val="0563C1"/>
            <w:sz w:val="22"/>
            <w:szCs w:val="22"/>
            <w:u w:val="single"/>
          </w:rPr>
          <w:t>ontario.ca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Generalkonsulate, Honorarkonsuln (</w:t>
      </w:r>
      <w:hyperlink r:id="rId594">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5" w:name="__RefHeading___Toc56584_3457424410"/>
      <w:bookmarkStart w:id="156" w:name="tka10"/>
      <w:bookmarkEnd w:id="155"/>
      <w:r>
        <w:rPr>
          <w:rFonts w:eastAsia="Amazon Ember" w:cs="Amazon Ember" w:ascii="Amazon Ember" w:hAnsi="Amazon Ember"/>
          <w:b/>
          <w:bCs/>
          <w:color w:val="0000FF"/>
          <w:sz w:val="36"/>
          <w:szCs w:val="36"/>
        </w:rPr>
        <w:t>Kanada: Führerschein, Auto und Verkehrsregeln</w:t>
      </w:r>
      <w:bookmarkEnd w:id="15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hält an seiner ersten Kreuzung in Toronto brav vor der roten Ampel – und wundert sich, warum der Wagen hinter ihm hupt, während der Fahrer vor ihm längst gemütlich nach rechts abgebogen ist. Erst beim zweiten Mal fällt ihm das kleine weiße Schild auf: Rechtsabbiegen bei Rot ist erlaubt, sofern niemand es ausdrücklich verbietet. Die gute Nachricht vorweg: Kanada fährt, anders als Australien oder Neuseeland, ganz gewöhnlich rechts, genau wie Deutschland. Die weniger gute Nachricht folgt in loser Reihenfolge über die nächsten Wochen – in Form von Vierweg-Stopps, Schulbussen mit ausklappbaren Stoppschildern und, je nach Provinz, einer Winterreifenpflicht, die es in Deutschland so nicht gibt. Wer erwartet hatte, mit dem vertrauten Rechtsverkehr sei die größte Hürde schon genommen, unterschätzt gründlich, wie viel Kleinarbeit ein zweites, zehn Provinzen und drei Territorien umfassendes Rechtssystem noch bereithält. Dieses Kapitel sortiert, was beim Führerschein, beim Autokauf und im Straßenverkehr wirklich anders läuft.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fährt rechts wie Deutschland – die eigentliche Umstellung liegt im Detail, nicht in der Fahrbahnseite.</w:t>
            </w:r>
          </w:p>
          <w:p>
            <w:pPr>
              <w:pStyle w:val="ListParagraph"/>
              <w:numPr>
                <w:ilvl w:val="0"/>
                <w:numId w:val="1"/>
              </w:numPr>
              <w:spacing w:lineRule="exact" w:line="264" w:before="0" w:after="50"/>
              <w:rPr/>
            </w:pPr>
            <w:r>
              <w:rPr>
                <w:rFonts w:eastAsia="Cambria" w:cs="Cambria"/>
                <w:b w:val="false"/>
                <w:bCs w:val="false"/>
                <w:i w:val="false"/>
                <w:iCs w:val="false"/>
                <w:sz w:val="20"/>
                <w:szCs w:val="20"/>
              </w:rPr>
              <w:t>Der deutsche Führerschein lässt sich in Ontario, British Columbia, Québec und Alberta ohne Fahrprüfung umtauschen, aber mit sehr unterschiedlichen Fristen: Ontario 60 Tage, British Columbia 90 Tage, Québec 6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Kfz-Versicherung ist reine Provinzsache: öffentliche Systeme in British Columbia, Saskatchewan, Manitoba und Québec stehen einem privaten Markt in Ontario und den meisten übrigen Provinzen gegenüber – mit Jahresprämien zwischen rund 750 CAD und über 2.000 CAD für dasselbe Risiko.</w:t>
            </w:r>
          </w:p>
          <w:p>
            <w:pPr>
              <w:pStyle w:val="ListParagraph"/>
              <w:numPr>
                <w:ilvl w:val="0"/>
                <w:numId w:val="1"/>
              </w:numPr>
              <w:spacing w:lineRule="exact" w:line="264" w:before="0" w:after="50"/>
              <w:rPr/>
            </w:pPr>
            <w:r>
              <w:rPr>
                <w:rFonts w:eastAsia="Cambria" w:cs="Cambria"/>
                <w:b w:val="false"/>
                <w:bCs w:val="false"/>
                <w:i w:val="false"/>
                <w:iCs w:val="false"/>
                <w:sz w:val="20"/>
                <w:szCs w:val="20"/>
              </w:rPr>
              <w:t>Rechtsabbiegen bei Rot ist fast überall in Kanada erlaubt, mit einer bemerkenswerten Ausnahme: der gesamten Insel Montreal.</w:t>
            </w:r>
          </w:p>
          <w:p>
            <w:pPr>
              <w:pStyle w:val="ListParagraph"/>
              <w:numPr>
                <w:ilvl w:val="0"/>
                <w:numId w:val="1"/>
              </w:numPr>
              <w:spacing w:lineRule="exact" w:line="264" w:before="0" w:after="50"/>
              <w:rPr/>
            </w:pPr>
            <w:r>
              <w:rPr>
                <w:rFonts w:eastAsia="Cambria" w:cs="Cambria"/>
                <w:b w:val="false"/>
                <w:bCs w:val="false"/>
                <w:i w:val="false"/>
                <w:iCs w:val="false"/>
                <w:sz w:val="20"/>
                <w:szCs w:val="20"/>
              </w:rPr>
              <w:t>Vierweg-Stopps, Schulbus-Haltepflicht und eine Nulltoleranz für Fahranfänger beim Alkohol gehören zu den Regeln, die Neuankömmlinge zuverlässig unterschätzen.</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verlangt gesetzlich Winterreifen, und Wildunfälle mit Elch oder Hirsch sind ein reales, ernst zu nehmendes Risiko abseits der Städte.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eine Provinz, eine eigene 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anders als man bei einem Land mit einer Bundesregierung vielleicht erwarten würde, keine landesweit 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grundsätzlich gut: Ontario, British Columbia, Québec und, nach übereinstimmenden Quellen, auch Alberta erkennen den deutschen Führerschein ohne theoretische oder praktische Prüfung an. Was sich zwischen den Provinzen dramatisch unterscheidet, ist die Zeit, die dafür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bleibt der deutsche Führerschein 60 Tage ab Wohnsitzbegründung gültig, danach ist der Umtausch bei einem DriveTest-Zentrum oder einem ServiceOntario-Büro Pflicht. British Columbia gewährt 90 Tage; die zuständige Behörde ICBC (</w:t>
      </w:r>
      <w:r>
        <w:rPr>
          <w:rFonts w:eastAsia="Cambria" w:cs="Cambria"/>
          <w:b w:val="false"/>
          <w:bCs w:val="false"/>
          <w:i/>
          <w:iCs/>
          <w:sz w:val="22"/>
          <w:szCs w:val="22"/>
        </w:rPr>
        <w:t>Insurance Corporation of British Columbia</w:t>
      </w:r>
      <w:r>
        <w:rPr>
          <w:rFonts w:eastAsia="Cambria" w:cs="Cambria"/>
          <w:b w:val="false"/>
          <w:bCs w:val="false"/>
          <w:i w:val="false"/>
          <w:iCs w:val="false"/>
          <w:sz w:val="22"/>
          <w:szCs w:val="22"/>
        </w:rPr>
        <w:t>, der staatliche Versicherer und zugleich Führerscheinstelle der Provinz) verlangt zusätzlich einen Nachweis von mindestens zwei Jahren Fahrerfahrung – in der Regel reicht dafür der deutsche Führerschein selbst, im Zweifel ergänzt um eine Bestätigung der ausstellenden Behörde. Québec ist mit 6 Monaten die großzügigste der drei sicher geprüften Provinzen: Die SAAQ (</w:t>
      </w:r>
      <w:r>
        <w:rPr>
          <w:rFonts w:eastAsia="Cambria" w:cs="Cambria"/>
          <w:b w:val="false"/>
          <w:bCs w:val="false"/>
          <w:i/>
          <w:iCs/>
          <w:sz w:val="22"/>
          <w:szCs w:val="22"/>
        </w:rPr>
        <w:t>Société de l’assurance automobile du Québec</w:t>
      </w:r>
      <w:r>
        <w:rPr>
          <w:rFonts w:eastAsia="Cambria" w:cs="Cambria"/>
          <w:b w:val="false"/>
          <w:bCs w:val="false"/>
          <w:i w:val="false"/>
          <w:iCs w:val="false"/>
          <w:sz w:val="22"/>
          <w:szCs w:val="22"/>
        </w:rPr>
        <w:t>, die für Führerschein und Kfz-Versicherung zuständige Provinzbehörde) tauscht ohne Prüfung um, lässt sich mit der Frist aber deutlich mehr Zeit als Ontario oder British Columbia.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seiner Provinz verstreichen lässt, fährt anschließend ohne gültigen Führerschein – mit Folgen für Bußgelder und, im Schadensfall, für den Versicherungsschutz. Da Ontario und British Columbia nur 60 beziehungsweise 90 Tage einräumen, lohnt sich ein Termin bei der zuständigen Stelle gleich in den ersten Wochen nach der Ankunft, nicht erst, wenn die Frist schon drückt.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nach Toronto und ist in den ersten Wochen mit Wohnungssuche, Schulanmeldung für Finn und Mia sowie der neuen Stelle von Markus vollauf beschäftigt. Erst ein Kalendereintrag von Julia erinnert die Familie rechtzeitig an die 60-Tage-Frist. Beim DriveTest-Zentrum reicht Markus seinen deutschen Führerschein, den Reisepass und einen Adressnachweis ein – keine Prüfung, kein Auto, nur Papierkram und eine gute halbe Stunde Wartezeit. Julia, die ihren Termin zwei Wochen später legt, ärgert sich anschließend, nicht gleich mitgegangen zu sein: Der zweite Besuch bei derselben Behörde fühlt sich unnötig an, wo ein gemeinsamer Termin genügt hätte.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übrigen Provinzen und Territorien – Manitoba, Saskatchewan, die Atlantikprovinzen, Yukon, Nordwest-Territorien, Nunavut –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 wer innerhalb Kanadas die Provinz wechselt, beginnt rechtlich wieder bei null und sollte die neue Frist am Tag des Umzugs notieren, nicht erst beim nächsten Behördengang.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 ein Flickenteppich mit echten Preisunterschieden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 mit spürbaren Folgen für den Geldbeutel.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 weniger als die Hälfte des Ontario-Niveaus für ein vergleichbares Risiko. Wer die Wahl zwischen zwei Provinzen hat und die Kfz-Versicherung als ernsthaften Kostenfaktor einplant, findet hier einen der deutlichsten Unterschiede im ganzen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ohne kanadische Fahr- und Schadenshistorie wirst du von den meisten Versicherern zunächst als höheres Risiko eingestuft und zahlst entsprechend mehr als jemand mit lokaler Historie. Manche Anbieter berücksichtigen eine deutsche Schadenfreiheitsbescheinigung bei der Einstufung, andere nicht – hier lohnt sich echte Marktbeobachtung, kein Verlass auf die erstbeste Offerte.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Fahrzeugkauf selbst – ob neu oder gebraucht – läuft regional unterschiedlich ab, folgt aber überall demselben Grundmuster: Kaufvertrag, Übertragung der Zulassung bei der zuständigen Provinzbehörde, Nachweis einer gültigen Versicherung vor der Anmeldung. Anders als beim deutschen TÜV gibt es keine bundesweit einheitliche Hauptuntersuchung; ob und wie oft ein Fahrzeug technisch geprüft werden muss, entscheidet wieder einmal die Provinz – manche verlangen eine Prüfung nur beim Halterwechsel, andere gar nicht. Beim Händlerkauf übernimmt der Verkäufer die Ummeldung in der Regel automatisch; beim Privatkauf erledigst du die Übertragung selbst bei der Zulassungsstelle, gegen Vorlage von Kaufvertrag, gültiger Versicherung und einem Identitätsnachweis.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eigenen deutschen Wagen mitzubringen ist technisch möglich, aber wegen der kanadischen Zulassungsvorschriften (Transport Canada) und des Zollverfahrens aufwendig genug, dass es sich für die meisten Neuankömmlinge nicht lohnt – ein gebrauchter Wagen vor Ort ist in aller Regel der einfachere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im Alltag überraschen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werden in Kanada, wie in fast der gesamten Welt außerhalb der USA, in km/h angegeben –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 wer deutlich langsamer fährt, kann selbst zum Verkehrshindernis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wohl überraschendste Einzelregel betrifft das Rechtsabbiegen bei Rot: In den meisten kanadischen Provinzen ist es nach vollständigem Halt erlaubt, sofern kein Schild es ausdrücklich untersagt –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Rechtsabbiegen bei Rot ist in Kanada die Regel, nicht die Ausnahme – außer ausgerechnet auf der Insel Montreal, wo es genau andersherum ist. Wer zwischen Ontario und Québec pendelt oder umzieht, gewöhnt sich zweimal 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unbeschilderten Kreuzungen mit vier Stoppschildern (dem </w:t>
      </w:r>
      <w:r>
        <w:rPr>
          <w:rFonts w:eastAsia="Cambria" w:cs="Cambria"/>
          <w:b w:val="false"/>
          <w:bCs w:val="false"/>
          <w:i/>
          <w:iCs/>
          <w:sz w:val="22"/>
          <w:szCs w:val="22"/>
        </w:rPr>
        <w:t>All-Way Stop</w:t>
      </w:r>
      <w:r>
        <w:rPr>
          <w:rFonts w:eastAsia="Cambria" w:cs="Cambria"/>
          <w:b w:val="false"/>
          <w:bCs w:val="false"/>
          <w:i w:val="false"/>
          <w:iCs w:val="false"/>
          <w:sz w:val="22"/>
          <w:szCs w:val="22"/>
        </w:rPr>
        <w:t>,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 Verkehrsrecht ist Provinzsache –, doch die Grundregeln an Vierweg-Stopps sind landesweit erstaunlich ähnlich, was die Umgewöhnung immerhin erleichtert.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Schulbusse verdienen besondere Aufmerksamkeit: Klappt ein Schulbus sein rotes Blinklicht und sein Stoppschild aus, müssen Fahrzeuge aus beiden Richtungen anhalten –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 in Alberta drohen dafür eine automatische 30-Tage-Sperre und eine 7-tägige Fahrzeugbeschlagnahmung.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Familie nach Kanada zieht und Teenager im Haus hat, sollte die Nulltoleranz für Fahranfänger ernst nehmen – sie gilt für jeden im Graduated-Licensing-System unabhängig vom Lebensalter, nicht nur für Minderjährige. Ein einziges Bier vor der Fahrt reicht für ernsthafte Konsequenzen.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das deutsche Fahreignungsregister in Flensburg, das bundesweit einheitlich zählt, führt jede kanadische Provinz ihr eigenes Punktesystem (</w:t>
      </w:r>
      <w:r>
        <w:rPr>
          <w:rFonts w:eastAsia="Cambria" w:cs="Cambria"/>
          <w:b w:val="false"/>
          <w:bCs w:val="false"/>
          <w:i/>
          <w:iCs/>
          <w:sz w:val="22"/>
          <w:szCs w:val="22"/>
        </w:rPr>
        <w:t>Demerit Points</w:t>
      </w:r>
      <w:r>
        <w:rPr>
          <w:rFonts w:eastAsia="Cambria" w:cs="Cambria"/>
          <w:b w:val="false"/>
          <w:bCs w:val="false"/>
          <w:i w:val="false"/>
          <w:iCs w:val="false"/>
          <w:sz w:val="22"/>
          <w:szCs w:val="22"/>
        </w:rPr>
        <w:t>, Strafpunkte im Führerscheinregister) mit eigenen Schwellenwerten für die Sperre. Wie viele Punkte ein Verstoß kostet und ab wann die Fahrerlaubnis ruht, unterscheidet sich also nicht nur nach Vergehen, sondern auch nach Provinz – ein Umzug innerhalb Kanadas setzt in der Regel auch den eigenen Punktestand auf null, was Neuankömmlinge gelegentlich fälschlich für eine Lücke im System halten, tatsächlich aber schlicht ein weiteres Beispiel für die kanadische Vorliebe für provinzeigene Lösungen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 ist in Kanada die Ausnahme, nicht die Regel: Nur wenige Provinzen betreiben nennenswerte Mautstrecken, allen voran die Highway 407 ETR rund um Toronto (Ontario, 151,4 Kilometer mit zeit-, zonen- und fahrzeugklassenabhängigen Tarifen) sowie einzelne Brücken in Québec und in den Atlantikprovinzen, etwa die Confederation Bridge zwischen Prince Edward Island und New Brunswick. Der Trans-Canada Highway und die meisten Fernstraßen sind mautfrei – ein Unterschied, über den sich niemand beschwert, der aus dem deutschen Autobahnsystem ohnehin nichts anderes kennt.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Blitzer und Verkehrskontrollen: uneinheitlich und im Wandel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Geschwindigkeitskameras (</w:t>
      </w:r>
      <w:r>
        <w:rPr>
          <w:rFonts w:eastAsia="Cambria" w:cs="Cambria"/>
          <w:b w:val="false"/>
          <w:bCs w:val="false"/>
          <w:i/>
          <w:iCs/>
          <w:sz w:val="22"/>
          <w:szCs w:val="22"/>
        </w:rPr>
        <w:t>Photo Radar</w:t>
      </w:r>
      <w:r>
        <w:rPr>
          <w:rFonts w:eastAsia="Cambria" w:cs="Cambria"/>
          <w:b w:val="false"/>
          <w:bCs w:val="false"/>
          <w:i w:val="false"/>
          <w:iCs w:val="false"/>
          <w:sz w:val="22"/>
          <w:szCs w:val="22"/>
        </w:rPr>
        <w:t>, automatische Radarblitzer ohne Polizeibeamten vor Ort) sind zwischen den Provinzen so uneinheitlich geregelt wie kaum ein anderes Verkehrsthema, und die Regeln sind 2025/2026 zusätzlich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ausschließlich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 ein Blick auf die aktuelle Regelung der Zielprovinz erspart unnötige Überraschungen im Briefkasten.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einer klassischen Verkehrskontrolle mit Polizei oder RCMP (der kanadischen Bundespolizei, die in den meisten Provinzen außer Ontario und Québec auch als Provinzpolizei auftritt) gilt ein formellerer Ton, als man es von manch informeller deutscher Kontrolle gewohnt ist: im Fahrzeug bleiben, Fenster herunterlassen, Hände sichtbar auf dem Lenkrad halten, jede Bewegung – etwa zum Handschuhfach – vorher ausdrücklich ankündigen. Die Beamtin oder der Beamte muss sich identifizieren und den Grund der Kontrolle nennen; Führerschein, Fahrzeugzulassung und Versicherungsnachweis müssen vorgezeigt werden. Ruhiges, kooperatives Auftreten wird von sämtlichen Quellen unabhängig voneinander empfohlen – es ist selten der Moment, um auf dem eigenen Recht zu bestehen, so berechtigt das Anliegen auch sein mag. Der insgesamt formellere, regelorientierte Ton bei Behörden- und Polizeikontakt passt zu einem Muster, das sich durch den kanadischen Alltag zieht und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ausführlicher beschrieben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Winterreifenpflicht und Wildunfallrisiko: die kanadische Realität abseits der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ist die einzige Provinz mit einer gesetzlichen Winterreifenpflicht: Vom 1. Dezember bis 15. März müssen alle in Québec zugelassenen Fahrzeuge – auch Mietwagen – mit Winterreifen ausgestattet sein, erkennbar am 3PMS-Symbol (der Alpine-Schneeflocke) oder mit Spikereifen. Wer erwischt wird, zahlt 200 bis 300 CAD Bußgeld. Wer ein Fahrzeug erst im Winter neu kauft oder least, hat 7 Tage Zeit für die Montage; Spikereifen sind zusätzlich vom 15. Oktober bis 1. Mai erlaubt. Die meisten anderen Provinzen kennen keine vergleichbare gesetzliche Pflicht, nur regionale Empfehlungen für Bergstraßen – wer aber tatsächlich in einer kanadischen Provinz mit Schnee, Eis und Minusgraden über mehrere Monate lebt, tut auch ohne Gesetz gut daran, im Herbst auf Winterreifen umzurüsten.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die Winterreifen-Anschaffung gleich beim Autokauf mit ein, statt sie als spätere Zusatzausgabe zu behandeln – gerade in Québec sinkt mit den richtigen Reifen nicht nur das Bußgeldrisiko, sondern messbar auch die Versicherungsprämie bei manchen Anbietern.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zweite, weniger offensichtliche Risiko kanadischer Landstraßen sind Wildunfälle. Rund 45.000 gemeldete Kollisionen mit Wildtieren ereignen sich jedes Jahr in Kanada, mit vermutlich erheblicher Dunkelziffer –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 ein Elch bringt bis zu 700 Kilogramm auf die Waage und trifft ein Auto in Kopfhöhe des Fahrers, was das Risiko bei einer Kollision deutlich erhöht. Alberta allein meldet in den vergangenen Jahren regelmäßig über 4.250 tote Hirsche sowie 400 bis 500 tote Elche jährlich durch Fahrzeugkollisionen.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fährt in seinem ersten Winter in Calgary abends von einem Kollegentreffen zurück, als kurz nach der Stadtgrenze ohne Vorwarnung ein Hirsch am Straßenrand auftaucht und in letzter Sekunde die Fahrbahn kreuzt. Nur die Vollbremsung – und ein gehöriger Schreck – verhindern Schlimmeres. Seither fährt er in der Dämmerung außerhalb der Stadt merklich langsamer und hält bei Wildwarnschildern konsequent das angegebene Tempo ein, auch wenn die Straße gerade und die Sicht gut erscheint. Seinen Kollegen, die die Geschichte mit trockenem Humor als „typische Alberta-Begrüßung“ kommentieren, kann er inzwischen selbst darüber lachen – beim ersten Mal war ihm nicht danach.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Wildwarnschilder auf kanadischen Landstraßen sind keine Dekoration. Besonders in der Dämmerung und in den ersten und letzten Stunden der Dunkelheit lohnt sich spürbar reduziertes Tempo – der Bremsweg, den ein Elch oder Hirsch dir schenkt, ist meist kürzer, als man hofft.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20"/>
        <w:gridCol w:w="3759"/>
      </w:tblGrid>
      <w:tr>
        <w:trPr>
          <w:tblHeader w:val="true"/>
          <w:cantSplit w:val="true"/>
        </w:trPr>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Rechtsverkehr wie in Deutschland – keine Umgewöhnung der Fahrbahnseite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mit sehr unterschiedlichen Fristen je Provinz</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in den wichtigsten Provinzen ohne Fahrprüfung möglich</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als Neuankömmling ohne lokale Historie merklich teurer</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 in km/h, keine Umrechnung wie bei US-Zielen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und private Versicherungssysteme unterscheiden sich stark im Preis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Vierweg-Stopps und Rechtsabbiegen bei Rot folgen klaren, lernbaren Regeln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Insel Montreal als Ausnahme vom Rechtsabbiegen-bei-Rot verwirrt viele</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Mautfreie Fernstraßen im ganzen Land</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 und reales Wildunfallrisiko landesweit</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Nulltoleranz für Fahranfänger erhöht die Sicherheit auf den Straßen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 Handy und Schulbus-Verstöße erreichen empfindliche Höhen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7"/>
        </w:numPr>
        <w:spacing w:lineRule="exact" w:line="288" w:before="0" w:after="60"/>
        <w:rPr/>
      </w:pPr>
      <w:r>
        <w:rPr>
          <w:rFonts w:eastAsia="Cambria" w:cs="Cambria"/>
          <w:b w:val="false"/>
          <w:bCs w:val="false"/>
          <w:i w:val="false"/>
          <w:iCs w:val="false"/>
          <w:sz w:val="22"/>
          <w:szCs w:val="22"/>
        </w:rPr>
        <w:t>Vor dem Abflug: Umtauschfrist und Anerkennungsregel der Zielprovinz bei der zuständigen Behörde direkt bestätigen, nicht nur bei Drittanbieter-Seiten.</w:t>
      </w:r>
    </w:p>
    <w:p>
      <w:pPr>
        <w:pStyle w:val="ListParagraph"/>
        <w:numPr>
          <w:ilvl w:val="0"/>
          <w:numId w:val="238"/>
        </w:numPr>
        <w:spacing w:lineRule="exact" w:line="288" w:before="0" w:after="60"/>
        <w:rPr/>
      </w:pPr>
      <w:r>
        <w:rPr>
          <w:rFonts w:eastAsia="Cambria" w:cs="Cambria"/>
          <w:b w:val="false"/>
          <w:bCs w:val="false"/>
          <w:i w:val="false"/>
          <w:iCs w:val="false"/>
          <w:sz w:val="22"/>
          <w:szCs w:val="22"/>
        </w:rPr>
        <w:t>In den ersten Wochen: Termin für den Führerschein-Umtausch buchen, mehrere Kfz-Versicherungsangebote einholen und vergleichen.</w:t>
      </w:r>
    </w:p>
    <w:p>
      <w:pPr>
        <w:pStyle w:val="ListParagraph"/>
        <w:numPr>
          <w:ilvl w:val="0"/>
          <w:numId w:val="239"/>
        </w:numPr>
        <w:spacing w:lineRule="exact" w:line="288" w:before="0" w:after="60"/>
        <w:rPr/>
      </w:pPr>
      <w:r>
        <w:rPr>
          <w:rFonts w:eastAsia="Cambria" w:cs="Cambria"/>
          <w:b w:val="false"/>
          <w:bCs w:val="false"/>
          <w:i w:val="false"/>
          <w:iCs w:val="false"/>
          <w:sz w:val="22"/>
          <w:szCs w:val="22"/>
        </w:rPr>
        <w:t>Vor der ersten längeren Fahrt: Vierweg-Stopp-Regeln, Schulbus-Haltepflicht und – je nach Provinz und Jahreszeit – Winterreifenpflicht und Wildunfallrisiko einplanen.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der Zielprovinz bei der zuständigen Führerscheinbehörde bestätigt (Ontario 60 Tage, British Columbia 90 Tage, Québec 6 Monate)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Führerschein-Umtausch in den ersten Wochen nach Ankunft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British Columbia: Nachweis von mindestens 2 Jahren Fahrerfahrung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Kfz-Versicherungsangebote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Nachgefragt, ob eine deutsche Schadenfreiheitsbescheinigung die Einstufung verbessert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zum Rechtsabbiegen bei Rot der Zielprovinz gekannt (Sonderfall Insel Montreal beachtet)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Vierweg-Stopp- und Schulbus-Regeln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Zuzug nach Québec: Winterreifen mit 3PMS-Symbol vor dem 1. Dezember montiert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Fahrweise bei Dämmerung und Dunkelheit an das Wildunfallrisiko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Provinzen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Führerscheinbehörden der Provinzen — Umtausch, Fristen: </w:t>
      </w:r>
      <w:hyperlink r:id="rId595">
        <w:r>
          <w:rPr>
            <w:rStyle w:val="ListLabel113"/>
            <w:rFonts w:eastAsia="Cambria" w:cs="Cambria"/>
            <w:b w:val="false"/>
            <w:bCs w:val="false"/>
            <w:i w:val="false"/>
            <w:iCs w:val="false"/>
            <w:color w:val="0563C1"/>
            <w:sz w:val="22"/>
            <w:szCs w:val="22"/>
            <w:u w:val="single"/>
          </w:rPr>
          <w:t>drivetest.ca</w:t>
        </w:r>
      </w:hyperlink>
      <w:r>
        <w:rPr>
          <w:rFonts w:eastAsia="Cambria" w:cs="Cambria"/>
          <w:b w:val="false"/>
          <w:bCs w:val="false"/>
          <w:i w:val="false"/>
          <w:iCs w:val="false"/>
          <w:sz w:val="22"/>
          <w:szCs w:val="22"/>
        </w:rPr>
        <w:t xml:space="preserve"> (Ontario), </w:t>
      </w:r>
      <w:hyperlink r:id="rId596">
        <w:r>
          <w:rPr>
            <w:rStyle w:val="ListLabel113"/>
            <w:rFonts w:eastAsia="Cambria" w:cs="Cambria"/>
            <w:b w:val="false"/>
            <w:bCs w:val="false"/>
            <w:i w:val="false"/>
            <w:iCs w:val="false"/>
            <w:color w:val="0563C1"/>
            <w:sz w:val="22"/>
            <w:szCs w:val="22"/>
            <w:u w:val="single"/>
          </w:rPr>
          <w:t>icbc.com</w:t>
        </w:r>
      </w:hyperlink>
      <w:r>
        <w:rPr>
          <w:rFonts w:eastAsia="Cambria" w:cs="Cambria"/>
          <w:b w:val="false"/>
          <w:bCs w:val="false"/>
          <w:i w:val="false"/>
          <w:iCs w:val="false"/>
          <w:sz w:val="22"/>
          <w:szCs w:val="22"/>
        </w:rPr>
        <w:t xml:space="preserve"> (British Columbia), </w:t>
      </w:r>
      <w:hyperlink r:id="rId597">
        <w:r>
          <w:rPr>
            <w:rStyle w:val="ListLabel113"/>
            <w:rFonts w:eastAsia="Cambria" w:cs="Cambria"/>
            <w:b w:val="false"/>
            <w:bCs w:val="false"/>
            <w:i w:val="false"/>
            <w:iCs w:val="false"/>
            <w:color w:val="0563C1"/>
            <w:sz w:val="22"/>
            <w:szCs w:val="22"/>
            <w:u w:val="single"/>
          </w:rPr>
          <w:t>saaq.gouv.qc.ca</w:t>
        </w:r>
      </w:hyperlink>
      <w:r>
        <w:rPr>
          <w:rFonts w:eastAsia="Cambria" w:cs="Cambria"/>
          <w:b w:val="false"/>
          <w:bCs w:val="false"/>
          <w:i w:val="false"/>
          <w:iCs w:val="false"/>
          <w:sz w:val="22"/>
          <w:szCs w:val="22"/>
        </w:rPr>
        <w:t xml:space="preserve"> (Québec)</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Verhalten bei Verkehrskontrollen für Neuankömmlinge: </w:t>
      </w:r>
      <w:hyperlink r:id="rId598">
        <w:r>
          <w:rPr>
            <w:rStyle w:val="ListLabel113"/>
            <w:rFonts w:eastAsia="Cambria" w:cs="Cambria"/>
            <w:b w:val="false"/>
            <w:bCs w:val="false"/>
            <w:i w:val="false"/>
            <w:iCs w:val="false"/>
            <w:color w:val="0563C1"/>
            <w:sz w:val="22"/>
            <w:szCs w:val="22"/>
            <w:u w:val="single"/>
          </w:rPr>
          <w:t>rcmp.ca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Winterreifenpflicht: </w:t>
      </w:r>
      <w:hyperlink r:id="rId599">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Wildlife Collision Prevention Program — Wildunfallstatistik: </w:t>
      </w:r>
      <w:hyperlink r:id="rId600">
        <w:r>
          <w:rPr>
            <w:rStyle w:val="ListLabel113"/>
            <w:rFonts w:eastAsia="Cambria" w:cs="Cambria"/>
            <w:b w:val="false"/>
            <w:bCs w:val="false"/>
            <w:i w:val="false"/>
            <w:iCs w:val="false"/>
            <w:color w:val="0563C1"/>
            <w:sz w:val="22"/>
            <w:szCs w:val="22"/>
            <w:u w:val="single"/>
          </w:rPr>
          <w:t>wildlifecollisions.ca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Kfz-Versicherungsvergleich — Provinzunterschiede: </w:t>
      </w:r>
      <w:hyperlink r:id="rId601">
        <w:r>
          <w:rPr>
            <w:rStyle w:val="ListLabel113"/>
            <w:rFonts w:eastAsia="Cambria" w:cs="Cambria"/>
            <w:b w:val="false"/>
            <w:bCs w:val="false"/>
            <w:i w:val="false"/>
            <w:iCs w:val="false"/>
            <w:color w:val="0563C1"/>
            <w:sz w:val="22"/>
            <w:szCs w:val="22"/>
            <w:u w:val="single"/>
          </w:rPr>
          <w:t>rates.ca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Führerschein und Ankunft: </w:t>
      </w:r>
      <w:hyperlink r:id="rId602">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zuständigen Behörde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7" w:name="__RefHeading___Toc56586_3457424410"/>
      <w:bookmarkStart w:id="158" w:name="tka11"/>
      <w:bookmarkEnd w:id="157"/>
      <w:r>
        <w:rPr>
          <w:rFonts w:eastAsia="Amazon Ember" w:cs="Amazon Ember" w:ascii="Amazon Ember" w:hAnsi="Amazon Ember"/>
          <w:b/>
          <w:bCs/>
          <w:color w:val="0000FF"/>
          <w:sz w:val="36"/>
          <w:szCs w:val="36"/>
        </w:rPr>
        <w:t>Kanada: Alltagskultur und Umgangsformen</w:t>
      </w:r>
      <w:bookmarkEnd w:id="158"/>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Julia Ahrens rempelt im Supermarkt in Toronto versehentlich einen fremden Einkaufswagen – und bevor sie selbst „Entschuldigung“ sagen kann, hat sich die andere Person bereits zweimal entschuldigt, obwohl unstrittig der Ahrens’sche Wagen der Übeltäter war. Sie wird diese Szene, mit kleinen Variationen, in den kommenden Monaten noch etliche Male erleben. Kanadier entschuldigen sich, so scheint es zuweilen, für die bloße Tatsache, im selben Raum zu existieren – ein Understatement, das eher britisch als amerikanisch wirkt, und das für direkte deutsche Gemüter anfangs schwerer zu lesen ist, als es sich anhört. Nicht weil es unehrlich wäre, sondern weil es eine eigene Grammatik hat, die dieses Kapitel zu entschlüsseln versucht.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Umgangsformen sind höflich, indirekt und auffällig entschuldigungsfreudig – das berühmte „Sorry“ ist mehr Reflex als echte Entschuldigung.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in Deutschland oft als ehrlich und effizient verstanden, wirkt in Kanada schnell hart oder unhöflich; Kritik kommt eher 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versteht sich offiziell als „Mosaik“ statt als „Schmelztiegel“: Einwanderergruppen sollen ihre kulturelle Eigenheit bewahren, nicht sich vollständig angleichen – ein bewusster Gegenentwurf zum US-amerikanischen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in Deutschland ist es unüblich, Fremde auf Regelverstöße hinzuweisen; informelle soziale Kontrolle ist schwächer ausgeprägt.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bildet den kulturellen Sonderfall: Französisch ist einzige Amtssprache, und das Sprachgesetz Bill 96 lässt Neuankömmlingen nur 6 Monate, um noch auf Englisch mit Behörden zu kommunizieren.</w:t>
            </w:r>
          </w:p>
          <w:p>
            <w:pPr>
              <w:pStyle w:val="ListParagraph"/>
              <w:numPr>
                <w:ilvl w:val="0"/>
                <w:numId w:val="1"/>
              </w:numPr>
              <w:spacing w:lineRule="exact" w:line="264" w:before="0" w:after="50"/>
              <w:rPr/>
            </w:pPr>
            <w:r>
              <w:rPr>
                <w:rFonts w:eastAsia="Cambria" w:cs="Cambria"/>
                <w:b w:val="false"/>
                <w:bCs w:val="false"/>
                <w:i w:val="false"/>
                <w:iCs w:val="false"/>
                <w:sz w:val="20"/>
                <w:szCs w:val="20"/>
              </w:rPr>
              <w:t>Kleine Alltagsrituale wie Trinkgeld, das kanadische „Eh“ und eine insgesamt zurückhaltendere Gesprächskultur runden das Bild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Höflichkeit und die „Sorry“-Kultur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eine Entschuldigung in der Regel bedeutet, dass tatsächlich ein Fehler passiert ist, muss sich in Kanada an eine großzügigere Verwendung des Wortes gewöhnen. „Sorry“ fällt, wenn jemand an dir vorbeigehen möchte, wenn zwei Personen gleichzeitig zu sprechen beginnen, wenn du selbst im Weg stehst, und gelegentlich auch dann, wenn objektiv gar nichts vorgefallen ist. Es ist weniger ein Schuldeingeständnis als ein soziales Schmiermittel, das Reibung im Alltag abfedert, bevor sie überhaupt entsteht. Wer das nicht weiß, überschätzt am Anfang leicht, wie viele echte Missgeschicke ihm angeblich unterlaufen.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Kommunikationsstil insgesamt gilt im Vergleich zu Deutschland als spürbar indirekter und höflicher. Direkte, in Deutschland oft als ehrlich und effizient verstandene Kritik – „Das funktioniert so nicht“, ohne weitere Verpackung – kann in Kanada schnell hart oder gar unhöflich wirken. Kanadier verpacken unangenehme Botschaften lieber in eine Frage oder einen beiläufigen Nebensatz, bevor der eigentliche Punkt kommt, und erwarten von ihrem Gegenüber, dass es zwischen den Zeilen liest. Ein zu forsches „Nein, das sehe ich anders“ auf einer Teambesprechung erzeugt eher betretenes Schweigen als eine offene Diskussion.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Was in Deutschland als sachlich und lösungsorientiert gilt, kommt in Kanada leicht als Angriff an. Formuliere Kritik und Widerspruch grundsätzlich eine Stufe vorsichtiger, als du es aus deutschen Meetings gewohnt bist – mit einer einleitenden positiven Bemerkung und einer Frage statt einer Feststellung fährst du in aller Regel besser.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in der Regel langsamer als in direkteren Kulturen – die freundliche Fassade ist echt gemeint, aber sie ist eben zunächst Fassade, keine sofortige Einladung zur Freundschaft.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beruflichen Alltag lohnt sich eine bewusste Übersetzungsübung zwischen deutscher und kanadischer Formulierung. Dieselbe Sachaussage lässt sich fast immer eine Stufe vorsichtiger verpacken, ohne an Substanz zu verlieren:</w:t>
      </w:r>
    </w:p>
    <w:tbl>
      <w:tblPr>
        <w:tblW w:w="6480" w:type="dxa"/>
        <w:jc w:val="left"/>
        <w:tblInd w:w="0" w:type="dxa"/>
        <w:tblLayout w:type="fixed"/>
        <w:tblCellMar>
          <w:top w:w="50" w:type="dxa"/>
          <w:left w:w="80" w:type="dxa"/>
          <w:bottom w:w="50" w:type="dxa"/>
          <w:right w:w="80" w:type="dxa"/>
        </w:tblCellMar>
      </w:tblPr>
      <w:tblGrid>
        <w:gridCol w:w="2002"/>
        <w:gridCol w:w="2049"/>
        <w:gridCol w:w="2429"/>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Formulierung</w:t>
            </w:r>
          </w:p>
        </w:tc>
        <w:tc>
          <w:tcPr>
            <w:tcW w:w="20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Wirkung in Kanada</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Kanadische Alternative</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funktioniert so nicht.“</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 persönlicher Vorwurf</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not sure this approach will get us there – could we look at 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Ich bin anderer Meinung.“</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klingt konfrontativ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That’s an interesting point – I’d frame it a bit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ist falsch.“</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hart, fast unhöflich</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think there might be a gap here – can we double-check?“</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Mach das bitte anders.“</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eine Anweisung von oben herab</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Would it work if we tried it this way instead?“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Keine dieser kanadischen Varianten ist unehrlich – sie transportiert dieselbe Botschaft, nur mit mehr Rücksicht auf das Gesicht des Gegenübers. Wer diese Übersetzung ein paarmal bewusst geübt hat, wendet sie nach einigen Monaten automatisch an, ohne noch groß darüber nachzudenken.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lernt in den ersten Wochen in Toronto die neuen Nachbarn kennen, als Markus beim Rasenmähen versehentlich einen Ast über den Gartenzaun wirft. Bevor er sich entschuldigen kann, ruft der Nachbar bereits „Sorry, hätte ich wegräumen sollen“ herüber – obwohl der Ast eindeutig von der Ahrens’schen Seite kam. Julia braucht ein paar Wochen, um zu verstehen, dass diese ständigen Entschuldigungen keine tatsächliche Schuldübernahme sind, sondern eine Art Begrüßungsformel. Als sie selbst anfängt, bei jeder Kleinigkeit „Sorry“ zu sagen, statt wie gewohnt sachlich zu erklären, was passiert ist, fühlt sich das erstaunlich unaufwendig an – und erstaunlich wirksam.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Mosaik-Modell: Multikulturalismus als Staatsprinzip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ist seit 1971 offiziell multikulturell – als erstes Land der Welt mit einer solchen Politik – und hat dieses Prinzip 1982 in der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xml:space="preserve"> (der kanadischen Grundrechtecharta, vergleichbar mit dem deutschen Grundgesetz) verfassungsrechtlich verankert. Anders als das US-amerikanische Bild vom </w:t>
      </w:r>
      <w:r>
        <w:rPr>
          <w:rFonts w:eastAsia="Cambria" w:cs="Cambria"/>
          <w:b w:val="false"/>
          <w:bCs w:val="false"/>
          <w:i/>
          <w:iCs/>
          <w:sz w:val="22"/>
          <w:szCs w:val="22"/>
        </w:rPr>
        <w:t>Melting Pot</w:t>
      </w:r>
      <w:r>
        <w:rPr>
          <w:rFonts w:eastAsia="Cambria" w:cs="Cambria"/>
          <w:b w:val="false"/>
          <w:bCs w:val="false"/>
          <w:i w:val="false"/>
          <w:iCs w:val="false"/>
          <w:sz w:val="22"/>
          <w:szCs w:val="22"/>
        </w:rPr>
        <w:t xml:space="preserve"> (Schmelztiegel, in dem sich Einwanderergruppen zu einer gemeinsamen Kultur verschmelzen sollen) verfolgt Kanada bewusst das </w:t>
      </w:r>
      <w:r>
        <w:rPr>
          <w:rFonts w:eastAsia="Cambria" w:cs="Cambria"/>
          <w:b w:val="false"/>
          <w:bCs w:val="false"/>
          <w:i/>
          <w:iCs/>
          <w:sz w:val="22"/>
          <w:szCs w:val="22"/>
        </w:rPr>
        <w:t>Mosaic</w:t>
      </w:r>
      <w:r>
        <w:rPr>
          <w:rFonts w:eastAsia="Cambria" w:cs="Cambria"/>
          <w:b w:val="false"/>
          <w:bCs w:val="false"/>
          <w:i w:val="false"/>
          <w:iCs w:val="false"/>
          <w:sz w:val="22"/>
          <w:szCs w:val="22"/>
        </w:rPr>
        <w:t>-Modell (Mosaik): Einwanderergruppen sollen ihre kulturelle Eigenheit bewahren dürfen, statt sich vollständig anzugleichen. Das ist kein informelles Stimmungsbild, sondern erklärte Staatsdoktrin – und im Alltag von Toronto, Vancouver oder Calgary durchaus sichtbar, etwa an der Vielzahl von Sprachen, Restaurants und Communitys, die nebeneinander bestehen, statt sich zu vermischen.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Pr>
            <w:rStyle w:val="ListLabel113"/>
            <w:rFonts w:eastAsia="Cambria" w:cs="Cambria"/>
            <w:b w:val="false"/>
            <w:bCs w:val="false"/>
            <w:i w:val="false"/>
            <w:iCs w:val="false"/>
            <w:color w:val="0563C1"/>
            <w:sz w:val="22"/>
            <w:szCs w:val="22"/>
            <w:u w:val="single"/>
          </w:rPr>
          <w:t>Kapitel zum Freundefinden in diesem Teil</w:t>
        </w:r>
      </w:hyperlink>
      <w:r>
        <w:rPr>
          <w:rFonts w:eastAsia="Cambria" w:cs="Cambria"/>
          <w:b w:val="false"/>
          <w:bCs w:val="false"/>
          <w:i w:val="false"/>
          <w:iCs w:val="false"/>
          <w:sz w:val="22"/>
          <w:szCs w:val="22"/>
        </w:rPr>
        <w:t xml:space="preserve"> ausführlicher behandelt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kulturelle und rechtliche Vielfalt Kanadas endet nicht an ethnischen Gruppen, sondern zieht sich auch durch die Provinzen selbst: Québec unterscheidet sich vom übrigen Land am stärksten, mit eigenem Zivilrechtssystem (dem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statt des britisch geprägten </w:t>
      </w:r>
      <w:r>
        <w:rPr>
          <w:rFonts w:eastAsia="Cambria" w:cs="Cambria"/>
          <w:b w:val="false"/>
          <w:bCs w:val="false"/>
          <w:i/>
          <w:iCs/>
          <w:sz w:val="22"/>
          <w:szCs w:val="22"/>
        </w:rPr>
        <w:t>Common Law</w:t>
      </w:r>
      <w:r>
        <w:rPr>
          <w:rFonts w:eastAsia="Cambria" w:cs="Cambria"/>
          <w:b w:val="false"/>
          <w:bCs w:val="false"/>
          <w:i w:val="false"/>
          <w:iCs w:val="false"/>
          <w:sz w:val="22"/>
          <w:szCs w:val="22"/>
        </w:rPr>
        <w:t>), eigener Mehrheitssprache und eigener Einwanderungsbehörde – dazu mehr im eigenen Abschnitt weiter unten. Das übrige Kanada ist überwiegend englischsprachig, mit regional unterschiedlich ausgeprägter Diversität; Toronto und Vancouver gelten als die vielfältigsten Großstädte des Landes.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kanadische Identität eigentlich ausmacht, ist im Land selbst ein gern und mit einer gewissen Selbstironie geführtes Gespräch – nicht zufällig scherzen Kanadier gern über sich selbst, ihre Identität lasse 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w:t>
      </w:r>
      <w:r>
        <w:rPr>
          <w:rFonts w:eastAsia="Cambria" w:cs="Cambria"/>
          <w:b w:val="false"/>
          <w:bCs w:val="false"/>
          <w:i/>
          <w:iCs/>
          <w:sz w:val="22"/>
          <w:szCs w:val="22"/>
        </w:rPr>
        <w:t>Official Languages Act</w:t>
      </w:r>
      <w:r>
        <w:rPr>
          <w:rFonts w:eastAsia="Cambria" w:cs="Cambria"/>
          <w:b w:val="false"/>
          <w:bCs w:val="false"/>
          <w:i w:val="false"/>
          <w:iCs w:val="false"/>
          <w:sz w:val="22"/>
          <w:szCs w:val="22"/>
        </w:rPr>
        <w:t xml:space="preserve"> von 1969) und die bewusste Abgrenzung vom südlichen Nachbarn prägen das nationale Selbstverständnis stärker, als es von außen oft wahrgenommen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Regelkultur: warum dich niemand ermahnt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bedeutet das zweierlei. Erstens: Wer selbst versehentlich gegen eine ungeschriebene Regel verstößt, wird seltener direkt korrigiert, als er es aus Deutschland gewohnt ist –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Vermeide es, Fremde direkt auf vermeintliches Fehlverhalten anzusprechen, so gut die Absicht auch gemeint ist. Was in Deutschland als hilfreicher Hinweis gilt, wird in Kanada eher als Einmischung wahrgenommen – Zurückhaltung ist hier fast immer die sicherere Wahl.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sichtbarsten wird diese Zurückhaltung an einer fast schon sprichwörtlichen kanadischen Tugend: dem Anstehen. Warteschlangen – vor dem Café, am Busbahnhof, an der Supermarktkasse –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 womit sich der Kreis zur „Sorry“-Kultur vom Anfang dieses Kapitels wieder 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Québec-Sonderfall: Bill 96 und die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anderer Teil Kanadas weicht kulturell so stark vom Rest des Landes ab wie Québec, und nirgendwo ist das spürbarer als bei der Sprache. Seit Verabschiedung des Sprachgesetzes </w:t>
      </w:r>
      <w:r>
        <w:rPr>
          <w:rFonts w:eastAsia="Cambria" w:cs="Cambria"/>
          <w:b w:val="false"/>
          <w:bCs w:val="false"/>
          <w:i/>
          <w:iCs/>
          <w:sz w:val="22"/>
          <w:szCs w:val="22"/>
        </w:rPr>
        <w:t>Loi 96</w:t>
      </w:r>
      <w:r>
        <w:rPr>
          <w:rFonts w:eastAsia="Cambria" w:cs="Cambria"/>
          <w:b w:val="false"/>
          <w:bCs w:val="false"/>
          <w:i w:val="false"/>
          <w:iCs w:val="false"/>
          <w:sz w:val="22"/>
          <w:szCs w:val="22"/>
        </w:rPr>
        <w:t xml:space="preserve">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 in der Regel Englisch – mit Provinzbehörden kommunizieren; danach gilt grundsätzlich nur noch Französisch. Siedlungsorganisationen kritisieren diese Frist als zu kurz, um eine neue Sprache alltagstauglich zu lernen, und für bestimmte Berufszulassungen können zusätzliche Französischanforderungen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nach Montreal oder in eine andere Region Québecs zieht, sollte Französischkenntnisse deshalb realistisch als notwendig einplanen, 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Sechs-Monats-Frist von Bill 96 nicht, falls Québec dein Zielort ist. Wer erst nach der Ankunft mit dem Französischlernen beginnt, gerät leicht in Zeitdruck – ein Sprachkurs schon vor dem Umzug spart in Montreal mehr Nerven als anderswo in Kanada.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beschrieben.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Einordnung: Bill 96 ist keine Ablehnung von Einwanderern, sondern der jüngste Ausläufer einer jahrzehntealten Sprachpolitik, mit der Québec seine frankophone Mehrheit innerhalb eines überwiegend englischsprachigen Kontinents bewahren will – eine Sorge, die von außen leicht unterschätzt wird, innerhalb Québecs aber tief verankert ist. Wer diese Hintergrundgeschichte kennt, tut sich leichter, die Sprachregeln als kulturelles Anliegen zu verstehen statt als bloße Bürokratie.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Kleine Rituale: Trinkgeld, „Eh“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kleinere Alltagsgewohnheiten runden das Bild ab. Trinkgeld ist in Restaurants, Cafés und Taxis erwartet, meist zwischen 15 und 20 % der Rechnung –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 es lohnt sich, es zu erkennen, ohne es selbst zu forciert nachzuahmen, solange es einem nicht von allein über die Lippen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kanadische Feiertagskalender hält eine kleine Verwechslungsfalle bereit: Der </w:t>
      </w:r>
      <w:r>
        <w:rPr>
          <w:rFonts w:eastAsia="Cambria" w:cs="Cambria"/>
          <w:b w:val="false"/>
          <w:bCs w:val="false"/>
          <w:i/>
          <w:iCs/>
          <w:sz w:val="22"/>
          <w:szCs w:val="22"/>
        </w:rPr>
        <w:t>Thanksgiving</w:t>
      </w:r>
      <w:r>
        <w:rPr>
          <w:rFonts w:eastAsia="Cambria" w:cs="Cambria"/>
          <w:b w:val="false"/>
          <w:bCs w:val="false"/>
          <w:i w:val="false"/>
          <w:iCs w:val="false"/>
          <w:sz w:val="22"/>
          <w:szCs w:val="22"/>
        </w:rPr>
        <w:t xml:space="preserve">-Feiertag (Erntedank) fällt in Kanada auf den zweiten Montag im Oktober, gut einen Monat früher als das bekanntere amerikanische Thanksgiving im November – wer aus Filmen und Serien die US-Variante im Kopf hat, plant das Familienessen sonst versehentlich falsch. Am Canada Day, dem 1. Juli, feiert das Land mit Feuerwerk und Nachbarschaftsfesten seine Staatsgründung von 1867, spürbar unaufgeregter als der amerikanische Independence Day; und am </w:t>
      </w:r>
      <w:r>
        <w:rPr>
          <w:rFonts w:eastAsia="Cambria" w:cs="Cambria"/>
          <w:b w:val="false"/>
          <w:bCs w:val="false"/>
          <w:i/>
          <w:iCs/>
          <w:sz w:val="22"/>
          <w:szCs w:val="22"/>
        </w:rPr>
        <w:t>Remembrance Day</w:t>
      </w:r>
      <w:r>
        <w:rPr>
          <w:rFonts w:eastAsia="Cambria" w:cs="Cambria"/>
          <w:b w:val="false"/>
          <w:bCs w:val="false"/>
          <w:i w:val="false"/>
          <w:iCs w:val="false"/>
          <w:sz w:val="22"/>
          <w:szCs w:val="22"/>
        </w:rPr>
        <w:t xml:space="preserve"> (Volkstrauertag) im November tragen viele Kanadier ab Ende Oktober eine rote Mohnblume am Revers – ein stilles, aber sichtbares Ritual, dem man sich als Neuankömmling nicht anschließen muss, dessen Bedeutung zu kennen aber hilft, es richtig einzuordnen.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Städte und Gemeinden bieten kostenlose oder sehr günstige </w:t>
            </w:r>
            <w:r>
              <w:rPr>
                <w:rFonts w:eastAsia="Cambria" w:cs="Cambria"/>
                <w:b w:val="false"/>
                <w:bCs w:val="false"/>
                <w:i/>
                <w:iCs/>
                <w:sz w:val="20"/>
                <w:szCs w:val="20"/>
              </w:rPr>
              <w:t>Newcomer</w:t>
            </w:r>
            <w:r>
              <w:rPr>
                <w:rFonts w:eastAsia="Cambria" w:cs="Cambria"/>
                <w:b w:val="false"/>
                <w:bCs w:val="false"/>
                <w:i w:val="false"/>
                <w:iCs w:val="false"/>
                <w:sz w:val="20"/>
                <w:szCs w:val="20"/>
              </w:rPr>
              <w:t>-Programme (Willkommens- und Orientierungsangebote für Neuankömmlinge) an, oft über lokale Settlement-Organisationen oder Bibliotheken. Dort lassen sich Small Talk, Umgangsformen und selbst die feinen Zwischentöne der „Sorry“-Kultur in entspannter Runde üben – meist unter Leuten, die genau dieselbe Verwirrung gerade selbst durchleben.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Humor, wo er sich zeigt, ist eher trocken und selbstironisch als lautstark –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 über den falsch verstandenen Small Talk, die dritte „Sorry“-Verwechslung in einer Woche –, kommt in Kanada erfahrungsgemäß besser an als mit sichtbarer Ungeduld gegenüber den vielen kleinen neuen Regeln.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sitzt in seinen ersten Monaten in Calgary in einer Projektbesprechung und formuliert einen Einwand so direkt, wie er es aus seiner deutschen Ingenieursausbildung gewohnt ist: „Das wird so nicht funktionieren.“ Es folgt eine kurze Stille, dann ein vorsichtiges „That’s an interesting point – maybe we could look at it from another angle?“ von seiner kanadischen Kollegin. Erst später erklärt ihm ein Kollege beim Kaffee, mit trockenem Unterton, dass sein Einwand fachlich völlig richtig war, nur eben „auf Deutsch statt auf Kanadisch“ formuliert. Lukas lacht selbst am meisten darüber – und übt in den folgenden Wochen bewusst, denselben Punkt eine Spur vorsichtiger zu verpacken, ohne ihn inhaltlich zu verwässern.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Unterschied zwischen deutscher und kanadischer Kommunikation liegt selten im Inhalt, sondern fast immer in der Verpackung. Wer denselben Punkt eine Stufe höflicher formuliert, verliert nichts an Substanz – gewinnt aber spürbar an Gehör.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 die Unterschiede sind subtiler als bei Australien oder Neuseeland, aber hörbar.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„Schitt’s Creek“ (auf Netflix Deutschland verfügbar, alle sechs Staffeln) und „Letterkenny“ (ebenfalls Netflix, sehr kanadischer Landslang, für Erwachsene) besonders gut.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entschuldigungsfreudige Umgangsformen senken die Hemmschwelle im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Sorry“ und Höflichkeitsfloskeln sind schwer von echter Anteilnahme zu unterscheiden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Multikulturelles Mosaik erleichtert die Ankunft für Menschen mit anderer Herkunft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Tiefere Integration in bestehende Gemeinschaften dauert oft länger als erwartet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Zurückhaltende Regelkultur schafft ein entspanntes Grundklima</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direkte deutsche Gemüter schwer zu entschlüsseln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 reicht im größten Teil Kanadas für den kompletten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de facto Französisch, mit nur 6 Monaten Schonfrist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Understatement-Humor wirkt entspannend und verbindend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deutsche Kritik kommt schnell als unhöflich oder hart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Distanz erleichtert den ersten Kontakt mit Fremden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Dieselbe Distanz macht echte Nähe manchmal schwerer greifbar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40"/>
        </w:numPr>
        <w:spacing w:lineRule="exact" w:line="288" w:before="0" w:after="60"/>
        <w:rPr/>
      </w:pPr>
      <w:r>
        <w:rPr>
          <w:rFonts w:eastAsia="Cambria" w:cs="Cambria"/>
          <w:b w:val="false"/>
          <w:bCs w:val="false"/>
          <w:i w:val="false"/>
          <w:iCs w:val="false"/>
          <w:sz w:val="22"/>
          <w:szCs w:val="22"/>
        </w:rPr>
        <w:t>Vor dem Umzug: Eigene Kommunikationsgewohnheiten reflektieren und bei Bedarf ein Stück höflicher, indirekter kalibrieren – besonders bei Kritik und Widerspruch.</w:t>
      </w:r>
    </w:p>
    <w:p>
      <w:pPr>
        <w:pStyle w:val="ListParagraph"/>
        <w:numPr>
          <w:ilvl w:val="0"/>
          <w:numId w:val="241"/>
        </w:numPr>
        <w:spacing w:lineRule="exact" w:line="288" w:before="0" w:after="60"/>
        <w:rPr/>
      </w:pPr>
      <w:r>
        <w:rPr>
          <w:rFonts w:eastAsia="Cambria" w:cs="Cambria"/>
          <w:b w:val="false"/>
          <w:bCs w:val="false"/>
          <w:i w:val="false"/>
          <w:iCs w:val="false"/>
          <w:sz w:val="22"/>
          <w:szCs w:val="22"/>
        </w:rPr>
        <w:t>In den ersten Wochen: Small Talk aktiv üben, „Sorry“-Kultur als soziales Schmiergel statt als Schuldeingeständnis verstehen lernen.</w:t>
      </w:r>
    </w:p>
    <w:p>
      <w:pPr>
        <w:pStyle w:val="ListParagraph"/>
        <w:numPr>
          <w:ilvl w:val="0"/>
          <w:numId w:val="242"/>
        </w:numPr>
        <w:spacing w:lineRule="exact" w:line="288" w:before="0" w:after="60"/>
        <w:rPr/>
      </w:pPr>
      <w:r>
        <w:rPr>
          <w:rFonts w:eastAsia="Cambria" w:cs="Cambria"/>
          <w:b w:val="false"/>
          <w:bCs w:val="false"/>
          <w:i w:val="false"/>
          <w:iCs w:val="false"/>
          <w:sz w:val="22"/>
          <w:szCs w:val="22"/>
        </w:rPr>
        <w:t>Bei Zielort Québec: Französischkurs möglichst schon vor der Abreise beginnen, nicht erst nach Ablauf der Sechs-Monats-Frist.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Direktheit bei Kritik und Widerspruch bewusst eine Stufe vorsichtiger kalibriert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„Sorry“-Kultur als Höflichkeitsformel verstanden, nicht als echtes Schuldeingeständnis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Wochenende, Nachbarschaft) parat, direkte Kritik an Fremden vermieden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Zielort Québec: Französischkenntnisse realistisch eingeschätzt und Kurs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Bill-96-Sechs-Monats-Frist für Behördenkommunikation in Québec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Trinkgeld-Erwartung (15 bis 20 %) in Restaurants und Taxis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über eine indirekte Aussage freundlich nachgefragt statt spekuliert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03">
        <w:r>
          <w:rPr>
            <w:rStyle w:val="ListLabel113"/>
            <w:rFonts w:eastAsia="Cambria" w:cs="Cambria"/>
            <w:b w:val="false"/>
            <w:bCs w:val="false"/>
            <w:i w:val="false"/>
            <w:iCs w:val="false"/>
            <w:color w:val="0563C1"/>
            <w:sz w:val="22"/>
            <w:szCs w:val="22"/>
            <w:u w:val="single"/>
          </w:rPr>
          <w:t>bpb.de</w:t>
        </w:r>
      </w:hyperlink>
      <w:r>
        <w:rPr>
          <w:rFonts w:eastAsia="Cambria" w:cs="Cambria"/>
          <w:b w:val="false"/>
          <w:bCs w:val="false"/>
          <w:i w:val="false"/>
          <w:iCs w:val="false"/>
          <w:sz w:val="22"/>
          <w:szCs w:val="22"/>
        </w:rPr>
        <w:t xml:space="preserve"> (Bundeszentrale für politische Bildung) — Multikulturalismus in Kanada: </w:t>
      </w:r>
      <w:hyperlink r:id="rId604">
        <w:r>
          <w:rPr>
            <w:rStyle w:val="ListLabel113"/>
            <w:rFonts w:eastAsia="Cambria" w:cs="Cambria"/>
            <w:b w:val="false"/>
            <w:bCs w:val="false"/>
            <w:i w:val="false"/>
            <w:iCs w:val="false"/>
            <w:color w:val="0563C1"/>
            <w:sz w:val="22"/>
            <w:szCs w:val="22"/>
            <w:u w:val="single"/>
          </w:rPr>
          <w:t>bpb.de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Regierung von Kanada — Multiculturalism Policy und Charter of Rights and Freedoms: </w:t>
      </w:r>
      <w:hyperlink r:id="rId605">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Sprachgesetz Bill 96 (Loi 96): </w:t>
      </w:r>
      <w:hyperlink r:id="rId606">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Lexology, CBC News — Einordnung und Kritik an Bill 96: </w:t>
      </w:r>
      <w:hyperlink r:id="rId607">
        <w:r>
          <w:rPr>
            <w:rStyle w:val="ListLabel113"/>
            <w:rFonts w:eastAsia="Cambria" w:cs="Cambria"/>
            <w:b w:val="false"/>
            <w:bCs w:val="false"/>
            <w:i w:val="false"/>
            <w:iCs w:val="false"/>
            <w:color w:val="0563C1"/>
            <w:sz w:val="22"/>
            <w:szCs w:val="22"/>
            <w:u w:val="single"/>
          </w:rPr>
          <w:t>lexology.com</w:t>
        </w:r>
      </w:hyperlink>
      <w:r>
        <w:rPr>
          <w:rFonts w:eastAsia="Cambria" w:cs="Cambria"/>
          <w:b w:val="false"/>
          <w:bCs w:val="false"/>
          <w:i w:val="false"/>
          <w:iCs w:val="false"/>
          <w:sz w:val="22"/>
          <w:szCs w:val="22"/>
        </w:rPr>
        <w:t xml:space="preserve">, </w:t>
      </w:r>
      <w:hyperlink r:id="rId608">
        <w:r>
          <w:rPr>
            <w:rStyle w:val="ListLabel113"/>
            <w:rFonts w:eastAsia="Cambria" w:cs="Cambria"/>
            <w:b w:val="false"/>
            <w:bCs w:val="false"/>
            <w:i w:val="false"/>
            <w:iCs w:val="false"/>
            <w:color w:val="0563C1"/>
            <w:sz w:val="22"/>
            <w:szCs w:val="22"/>
            <w:u w:val="single"/>
          </w:rPr>
          <w:t>cbc.ca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Leben vor Ort: </w:t>
      </w:r>
      <w:hyperlink r:id="rId609">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Kanadas sind groß. Die politische Entwicklung rund um Bill 96 in Québec ist im Fluss; prüfe den aktuellen Stand vor einer konkreten Umzugsentscheidung nach Québec direkt bei den Provinzbehörden.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9" w:name="__RefHeading___Toc56588_3457424410"/>
      <w:bookmarkStart w:id="160" w:name="tka12"/>
      <w:bookmarkEnd w:id="159"/>
      <w:r>
        <w:rPr>
          <w:rFonts w:eastAsia="Amazon Ember" w:cs="Amazon Ember" w:ascii="Amazon Ember" w:hAnsi="Amazon Ember"/>
          <w:b/>
          <w:bCs/>
          <w:color w:val="0000FF"/>
          <w:sz w:val="36"/>
          <w:szCs w:val="36"/>
        </w:rPr>
        <w:t>Kanada: Freunde finden und der Kulturschock des ersten Winters</w:t>
      </w:r>
      <w:bookmarkEnd w:id="1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Gedränge der Straßenbahn in Toronto rempelt dich jemand an –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 und wie du den ersten kanadischen Winter übersteht, ohne dabei den Anschluss an dein altes Leben zu verlieren.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Freundlichkeit ist echt, aber keine automatische Einladung zu echter Nähe; die erste Tür öffnet sich leicht, der Rest braucht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Eishockey, Curling, Wandern und die kommunale Freizeitverwaltung sind schnelle Wege zu festen Kontakten; ein Vereinswesen im deutschen Sinn gibt es kaum.</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Sprachschulen konzentrieren sich auf Toronto, Vancouver, Calgary und Montréal – anderswo bleibt vor allem Eigeninitiative.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Wer über Express Entry einwandert, bringt den mitreisenden Partner meist von Anfang an mit vollem Aufenthaltstitel und Arbeitsrecht mit; die eigentliche Hürde liegt oft bei der Berufsanerkennung, nicht beim Visum.</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die Entfernung zu Deutschland ist für die meisten Neuankömmlinge der größere Kulturschock, sondern der erste richtige kanadische Winter.</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Kanada rund um die Uhr erreichbare Hilfe, auch für Jugendliche und auf Französisch.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Sorry“ und die kanadische Höflichkeit: was das fürs Freundefinden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freundliches „Sorry“ ist ein Türöffner, keine Einladung ins Wohnzimmer. Nimm die kanadische Freundlichkeit dankbar an, aber miss echte Nähe an Wiederholung, nicht am ersten netten Gespräch.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Eishockey, Curling,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Vereinswesen mit Satzung und Vorstand wie in Deutschland ist in Kanada selten; stattdessen dominieren offene Ligen, Kurse und die kommunale Freizeitverwaltung. Eishockey ist überall präsent, keineswegs nur für Profis: Erwachsenenligen mit lockerem Niveau, sogenannte </w:t>
      </w:r>
      <w:r>
        <w:rPr>
          <w:rFonts w:eastAsia="Cambria" w:cs="Cambria"/>
          <w:b w:val="false"/>
          <w:bCs w:val="false"/>
          <w:i/>
          <w:iCs/>
          <w:sz w:val="22"/>
          <w:szCs w:val="22"/>
        </w:rPr>
        <w:t>Beer Leagues</w:t>
      </w:r>
      <w:r>
        <w:rPr>
          <w:rFonts w:eastAsia="Cambria" w:cs="Cambria"/>
          <w:b w:val="false"/>
          <w:bCs w:val="false"/>
          <w:i w:val="false"/>
          <w:iCs w:val="false"/>
          <w:sz w:val="22"/>
          <w:szCs w:val="22"/>
        </w:rPr>
        <w:t xml:space="preserve">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w:t>
      </w:r>
      <w:r>
        <w:rPr>
          <w:rFonts w:eastAsia="Cambria" w:cs="Cambria"/>
          <w:b w:val="false"/>
          <w:bCs w:val="false"/>
          <w:i/>
          <w:iCs/>
          <w:sz w:val="22"/>
          <w:szCs w:val="22"/>
        </w:rPr>
        <w:t>Bonspiel</w:t>
      </w:r>
      <w:r>
        <w:rPr>
          <w:rFonts w:eastAsia="Cambria" w:cs="Cambria"/>
          <w:b w:val="false"/>
          <w:bCs w:val="false"/>
          <w:i w:val="false"/>
          <w:iCs w:val="false"/>
          <w:sz w:val="22"/>
          <w:szCs w:val="22"/>
        </w:rPr>
        <w:t xml:space="preserve"> (ein Curling-Turnier mit ausgiebigem geselligem Rahmenprogramm danach) ist eher gesellschaftliches Ereignis als Hochleistungssport – der Signature-Drink im Clubhaus gehört oft fest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verlässliche Türöffner sind Wander- und Laufgruppen (in Gebirgsregionen etwa Ortsgruppen des Alpine Club of Canada), die kommunalen </w:t>
      </w:r>
      <w:r>
        <w:rPr>
          <w:rFonts w:eastAsia="Cambria" w:cs="Cambria"/>
          <w:b w:val="false"/>
          <w:bCs w:val="false"/>
          <w:i/>
          <w:iCs/>
          <w:sz w:val="22"/>
          <w:szCs w:val="22"/>
        </w:rPr>
        <w:t>Community Centres</w:t>
      </w:r>
      <w:r>
        <w:rPr>
          <w:rFonts w:eastAsia="Cambria" w:cs="Cambria"/>
          <w:b w:val="false"/>
          <w:bCs w:val="false"/>
          <w:i w:val="false"/>
          <w:iCs w:val="false"/>
          <w:sz w:val="22"/>
          <w:szCs w:val="22"/>
        </w:rPr>
        <w:t xml:space="preserve"> (kommunale Freizeitzentren mit Schwimmbad, Fitnessraum, Kursen und Ligen für Erwachsene, vergleichbar mit einer Mischung aus Volkshochschule und Sportverein) sowie öffentliche Bibliotheken mit Vorlesestunden, Konversationsrunden und Buchclubs. Nachbarschaftliche Anlässe wie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bleiben der schnellste Weg zu festen Kontakten: Schulsport, Spielplatzverabredungen und der Elternverein der Schule bringen dieselben Eltern Woche für Woche zusammen (mehr dazu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Für Erwachsene ohne Kinder oder festen Sportverein füllen Meetup-Gruppen und lokale Facebook-Gruppen die Lücke, auch wenn Kanada insgesamt etwas kleinere, dafür beständigere Szenen hat als etwa amerikanische Großstädte.</w:t>
      </w:r>
    </w:p>
    <w:tbl>
      <w:tblPr>
        <w:tblW w:w="6480" w:type="dxa"/>
        <w:jc w:val="left"/>
        <w:tblInd w:w="0" w:type="dxa"/>
        <w:tblLayout w:type="fixed"/>
        <w:tblCellMar>
          <w:top w:w="50" w:type="dxa"/>
          <w:left w:w="80" w:type="dxa"/>
          <w:bottom w:w="50" w:type="dxa"/>
          <w:right w:w="80" w:type="dxa"/>
        </w:tblCellMar>
      </w:tblPr>
      <w:tblGrid>
        <w:gridCol w:w="2382"/>
        <w:gridCol w:w="2251"/>
        <w:gridCol w:w="1847"/>
      </w:tblGrid>
      <w:tr>
        <w:trPr>
          <w:tblHeader w:val="true"/>
          <w:cantSplit w:val="true"/>
        </w:trPr>
        <w:tc>
          <w:tcPr>
            <w:tcW w:w="23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 (Eishockey) oder Curlingclub</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auch ohne Vorerfahrung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wöchentliche Wiederholung</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Centre (Kurse, Ligen, Schwimmbad)</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günstig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Wander- oder Laufgruppe</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Sportlich Interessierte, vor allem in Gebirgsnähe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 Canada Day</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Kindersport, Elternverein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lokale Facebook-Gruppen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Community Centres verlangen für Erwachsenenkurse und -ligen meist nur einen kleinen Beitrag, „Learn to Curl“-Abende und Bibliotheksprogramme sind häufig ganz kostenlos. Für den Aufbau eines Freundeskreises brauchst du in Kanada kein großes Budget – nur Wiederholung.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zieht mit Express Entry nach Toronto. Markus meldet sich bei einer Beer League seines Community Centres an, in der ein guter Teil der Mannschaft selbst erst seit wenigen Jahren im Land ist. Julia, die als Apothekerin auf die kanadische Zulassung wartet, beginnt mit einem „Learn to Curl“-Kurs, gemeinsam mit zwei Nachbarinnen, die sie über die Facebook-Gruppe der Straße kennengelernt hat. Nach dem dritten Kursabend verabreden sie sich erstmals auch ohne Eis, zum Kaffee. Finn (11) findet über die Schulmannschaft schneller Anschluss als seine Eltern; Mia (7) über die Nachbarskinder auf dem gemeinsamen Spielplatz der Straße.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BYOB und ein Erntedankfest im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eingeladen zu werden, ist ein gutes Zeichen und läuft meist unkompliziert ab. Der </w:t>
      </w:r>
      <w:r>
        <w:rPr>
          <w:rFonts w:eastAsia="Cambria" w:cs="Cambria"/>
          <w:b w:val="false"/>
          <w:bCs w:val="false"/>
          <w:i/>
          <w:iCs/>
          <w:sz w:val="22"/>
          <w:szCs w:val="22"/>
        </w:rPr>
        <w:t>Potluck</w:t>
      </w:r>
      <w:r>
        <w:rPr>
          <w:rFonts w:eastAsia="Cambria" w:cs="Cambria"/>
          <w:b w:val="false"/>
          <w:bCs w:val="false"/>
          <w:i w:val="false"/>
          <w:iCs w:val="false"/>
          <w:sz w:val="22"/>
          <w:szCs w:val="22"/>
        </w:rPr>
        <w:t xml:space="preserve"> (jeder bringt ein Gericht mit) ist auch in Kanada die häufigste Form geselligen Beisammenseins, ob im Büro, in der Nachbarschaft oder bei der Schulklasse; Nachfragen, was noch fehlt, gilt als höflich, nicht als aufdringlich. Bei Grillfesten und lockeren Abenden ist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 wer aus Erzählungen oder Filmen nur die amerikanische Novemberversion kennt, verpasst sonst leicht die erste Einladung der neuen Nachbarn.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Sprachschulen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beziehungsweise Französisch verbessern wollen.</w:t>
      </w:r>
    </w:p>
    <w:tbl>
      <w:tblPr>
        <w:tblW w:w="6480" w:type="dxa"/>
        <w:jc w:val="left"/>
        <w:tblInd w:w="0" w:type="dxa"/>
        <w:tblLayout w:type="fixed"/>
        <w:tblCellMar>
          <w:top w:w="50" w:type="dxa"/>
          <w:left w:w="80" w:type="dxa"/>
          <w:bottom w:w="50" w:type="dxa"/>
          <w:right w:w="80" w:type="dxa"/>
        </w:tblCellMar>
      </w:tblPr>
      <w:tblGrid>
        <w:gridCol w:w="935"/>
        <w:gridCol w:w="1448"/>
        <w:gridCol w:w="1449"/>
        <w:gridCol w:w="2647"/>
      </w:tblGrid>
      <w:tr>
        <w:trPr>
          <w:tblHeader w:val="true"/>
          <w:cantSplit w:val="true"/>
        </w:trPr>
        <w:tc>
          <w:tcPr>
            <w:tcW w:w="9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4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Deutsches Sprachangebot</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(auch für Ottawa)</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 (Vorschule bis Klasse 12)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(nicht identifiziert)</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(Samstagsschule, seit 1992)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German Language School (Vorschule bis Klasse 12, auch Erwachsenenkurse)</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(seit 1893)</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Alexander-von-Humboldt-Schule (Baie-d’Urfé)</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Sitz der Botschaft (kein eigenes Konsulat für Privatpersonen)</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struktureller Unterschied zu manchen anderen Zielländern: Wer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kanadische Punktesystem-Verfahren für Fachkräfte) einwandert, bekommt die unbefristete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meist gemeinsam mit dem mitreisenden Ehepartner – Julia Ahrens hat damit von Tag eins an dieselben Rechte wie Markus, einschließlich uneingeschränkter Arbeitserlaubnis. Das nimmt zumindest den rechtlichen Druck aus der Situation, den manche Leser dieses Buches aus anderen Programmen kennen. Bei einem </w:t>
      </w:r>
      <w:r>
        <w:rPr>
          <w:rFonts w:eastAsia="Cambria" w:cs="Cambria"/>
          <w:b w:val="false"/>
          <w:bCs w:val="false"/>
          <w:i/>
          <w:iCs/>
          <w:sz w:val="22"/>
          <w:szCs w:val="22"/>
        </w:rPr>
        <w:t>Employer-Sponsored Work Permit</w:t>
      </w:r>
      <w:r>
        <w:rPr>
          <w:rFonts w:eastAsia="Cambria" w:cs="Cambria"/>
          <w:b w:val="false"/>
          <w:bCs w:val="false"/>
          <w:i w:val="false"/>
          <w:iCs w:val="false"/>
          <w:sz w:val="22"/>
          <w:szCs w:val="22"/>
        </w:rPr>
        <w:t xml:space="preserve"> mit </w:t>
      </w:r>
      <w:r>
        <w:rPr>
          <w:rFonts w:eastAsia="Cambria" w:cs="Cambria"/>
          <w:b w:val="false"/>
          <w:bCs w:val="false"/>
          <w:i/>
          <w:iCs/>
          <w:sz w:val="22"/>
          <w:szCs w:val="22"/>
        </w:rPr>
        <w:t>LMIA</w:t>
      </w:r>
      <w:r>
        <w:rPr>
          <w:rFonts w:eastAsia="Cambria" w:cs="Cambria"/>
          <w:b w:val="false"/>
          <w:bCs w:val="false"/>
          <w:i w:val="false"/>
          <w:iCs w:val="false"/>
          <w:sz w:val="22"/>
          <w:szCs w:val="22"/>
        </w:rPr>
        <w:t xml:space="preser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der arbeitsmarktbezogenen Vorprüfung, die der kanadische Arbeitgeber für die Anstellung durchlaufen muss) – dem Weg von Lukas Berger nach Calgary – gilt das nicht automatisch: Ob der mitreisende Partner einen eigenen, offenen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(eine Arbeitserlaubnis ohne Bindung an einen bestimmten Arbeitgeber) erhält, hängt von der Qualifikationsstufe der Stelle und den jeweils aktuellen Einwanderungsregeln ab; diese wurden in den vergangenen Jahren mehrfach angepasst. Prüfe den aktuellen Stand direkt bei IRCC (</w:t>
      </w:r>
      <w:r>
        <w:rPr>
          <w:rFonts w:eastAsia="Cambria" w:cs="Cambria"/>
          <w:b w:val="false"/>
          <w:bCs w:val="false"/>
          <w:i/>
          <w:iCs/>
          <w:sz w:val="22"/>
          <w:szCs w:val="22"/>
        </w:rPr>
        <w:t>Immigration, Refugees and Citizenship Canada</w:t>
      </w:r>
      <w:r>
        <w:rPr>
          <w:rFonts w:eastAsia="Cambria" w:cs="Cambria"/>
          <w:b w:val="false"/>
          <w:bCs w:val="false"/>
          <w:i w:val="false"/>
          <w:iCs w:val="false"/>
          <w:sz w:val="22"/>
          <w:szCs w:val="22"/>
        </w:rPr>
        <w:t>, der kanadischen Einwanderungsbehörde), bevor du fest damit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Engpass liegt oft woanders: bei reglementierten Berufen wie Apotheker, Pflegekraft oder Ingenieurin prüft eine provinzielle Zulassungsstelle Ausbildung und Erfahrung, bevor die eigentliche Stellensuche beginnt – bei Julia Ahrens etwa das College of Pharmacists der Provinz Ontario. Diese Prüfung kann Monate dauern, unabhängig vom Aufenthaltstitel.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durchgekommen ist. Wer die Wartemonate isoliert zu Hause verbringt, verstärkt genau die Talsohle, die weiter unten beschrieben wird – ein Kurs, ein Ehrenamt oder ein fester Sporttermin wirken dagegen doppelt: gegen die Einsamkeit und für das spätere berufliche Netzwerk.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kanadische Winter statt der großen Distanz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 anders als bei einer Zielregion auf der anderen Seite der Erdkugel.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stattdessen kalt erwischt, ist im Wortsinn der erste richtige Winter. In Toronto und Montréal bedeutet das feuchte Kälte, viel Schnee und gelegentliche Eisstürme; in Calgary wechseln sich Kälteeinbrüche bis −30 °C mit dem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ab, einem warmen Fallwind von den Rocky Mountains, der die Temperatur binnen weniger Stunden um bis zu 20 °C anheben kann – ein Wetterphänomen, das selbst gestandene Albertaner noch verblüfft, wenn es Mitte Januar plötzlich nach Frühling riecht. Kürzere Tage, mehr Zeit drinnen und ein noch dünner Freundeskreis verstärken sich in diesen ersten Monaten gegenseitig.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 eine unglückliche, aber vorhersehbare Überschneidung.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Winter ist zeitlich begrenzt, so unwahrscheinlich sich das im Februar anfühlt. Er ist kein Beweis, dass die Entscheidung für Kanada falsch war, sondern der vorhersehbare Tiefpunkt einer Kurve, die danach wieder nach oben zeigt.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Hilfe finden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akute Krisen ist die </w:t>
      </w:r>
      <w:r>
        <w:rPr>
          <w:rFonts w:eastAsia="Cambria" w:cs="Cambria"/>
          <w:b w:val="false"/>
          <w:bCs w:val="false"/>
          <w:i/>
          <w:iCs/>
          <w:sz w:val="22"/>
          <w:szCs w:val="22"/>
        </w:rPr>
        <w:t>9-8-8: Suicide Crisis Helpline</w:t>
      </w:r>
      <w:r>
        <w:rPr>
          <w:rFonts w:eastAsia="Cambria" w:cs="Cambria"/>
          <w:b w:val="false"/>
          <w:bCs w:val="false"/>
          <w:i w:val="false"/>
          <w:iCs w:val="false"/>
          <w:sz w:val="22"/>
          <w:szCs w:val="22"/>
        </w:rPr>
        <w:t xml:space="preserve"> seit dem 30. November 2023 landesweit rund um die Uhr per Anruf oder Textnachricht erreichbar, kostenlos, auf Englisch und Französisch. Für Kinder und Jugendliche steht zusätzlich Kids Help Phone bereit: Anruf oder eine Textnachricht mit „CONNECT“ an 686868 verbindet rund um die Uhr mit einer geschulten, freiwilligen Ansprechperson, ganz ohne Datentarif oder App. Bei unmittelbarer Gefahr wählst du wie überall in Kanada 911.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akuten Gedanken, sich selbst oder anderen etwas anzutun, wartest du nicht ab. Ruf oder schreib sofort 9-8-8, oder wähle bei unmittelbarer Gefahr 911. Die deutsche Auslandsvertretung ist keine Krisenhotline, hilft aber in echten Notlagen rund um die Uhr weiter.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verbringt seinen ersten Calgary-Winter allein in einer möblierten Mietwohnung, ohne die Familie und die alten Kumpels aus Hannover. Im Januar, nach mehreren Tagen mit −25 °C, sagt er zwei Verabredungen ab, weil ihm draußen schlicht zu kalt ist, und merkt danach, wie leer sein Kalender plötzlich aussieht. Er meldet sich bei einer Beer League seines Community Centres an, weil dort wenigstens dienstags ein fester Termin steht, egal wie das Wetter ist. Als eine Chinook-Wetterlage die Temperatur binnen eines Tages von −22 °C auf 8 °C hebt, geht er mit zwei neuen Mannschaftskollegen spontan draußen laufen – der erste Abend, an dem sich Calgary nicht mehr fremd anfühlt.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Höflichkeit senkt die Hemmschwelle für den ersten Schritt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sagt wenig über echte Nähe aus; Kritik und Ablehnung bleiben oft unausgesprochen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Eishockey, Curling und Community Centres bieten günstigen, verlässlichen Anschluss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Vereinswesen im deutschen Sinn gibt es kaum; du musst selbst aktiv werden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gibt vielen mitreisenden Partnern von Anfang an volle Arbeitsrechte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Berufsanerkennung bei reglementierten Berufen kann trotzdem Monate dauern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Toronto, Vancouver, Calgary und Montréal gut organisiert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Anderswo kaum deutsche Infrastruktur; Eigeninitiative bleibt Pflicht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machen Heimatbesuche realistisch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Winter trifft oft genau in die kritischste Kulturschock-Phase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(988, Kids Help Phone, EAP) ist rund um die Uhr erreichbar, auch auf Französisch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Angebote sind dünner gesät als in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 Community Centre, eine Beer League, einen Curlingclub oder eine Wandergruppe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oder Honorarkonsulat sowie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mitreisenden Partner geprüft: volle Arbeitserlaubnis von Anfang an oder Antrag auf Open Work Permit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reglementiertem Beruf des Partners die zuständige provinzielle Zulassungsstelle frühzeitig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ersten Winter mindestens zwei feste Termine außerhalb der Wohnung eingeplant, die nicht vom Wetter abhängen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sowie, bei Kindern und Jugendlichen, Kids Help Phone (Text „CONNECT“ an 686868)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 oder Französischsprachigen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Zuständigkeiten, Kontakt (</w:t>
      </w:r>
      <w:hyperlink r:id="rId610">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Kanada — Standorte Toronto, Ottawa, Montréal (</w:t>
      </w:r>
      <w:hyperlink r:id="rId611">
        <w:r>
          <w:rPr>
            <w:rStyle w:val="ListLabel113"/>
            <w:rFonts w:eastAsia="Cambria" w:cs="Cambria"/>
            <w:b w:val="false"/>
            <w:bCs w:val="false"/>
            <w:i w:val="false"/>
            <w:iCs w:val="false"/>
            <w:color w:val="0563C1"/>
            <w:sz w:val="22"/>
            <w:szCs w:val="22"/>
            <w:u w:val="single"/>
          </w:rPr>
          <w:t>goethe.de/ins/ca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Crisis Helpline — Krisenhilfe rund um die Uhr (</w:t>
      </w:r>
      <w:hyperlink r:id="rId612">
        <w:r>
          <w:rPr>
            <w:rStyle w:val="ListLabel113"/>
            <w:rFonts w:eastAsia="Cambria" w:cs="Cambria"/>
            <w:b w:val="false"/>
            <w:bCs w:val="false"/>
            <w:i w:val="false"/>
            <w:iCs w:val="false"/>
            <w:color w:val="0563C1"/>
            <w:sz w:val="22"/>
            <w:szCs w:val="22"/>
            <w:u w:val="single"/>
          </w:rPr>
          <w:t>988.ca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Kids Help Phone — Hilfe für Kinder und Jugendliche (</w:t>
      </w:r>
      <w:hyperlink r:id="rId613">
        <w:r>
          <w:rPr>
            <w:rStyle w:val="ListLabel113"/>
            <w:rFonts w:eastAsia="Cambria" w:cs="Cambria"/>
            <w:b w:val="false"/>
            <w:bCs w:val="false"/>
            <w:i w:val="false"/>
            <w:iCs w:val="false"/>
            <w:color w:val="0563C1"/>
            <w:sz w:val="22"/>
            <w:szCs w:val="22"/>
            <w:u w:val="single"/>
          </w:rPr>
          <w:t>kidshelpphone.ca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(IRCC) — Regeln zu Open Work Permits für Partner (</w:t>
      </w:r>
      <w:hyperlink r:id="rId614">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open work permit spouse)</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 deutsche Sprachschulen vor Ort (</w:t>
      </w:r>
      <w:hyperlink r:id="rId615">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16">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1" w:name="__RefHeading___Toc56590_3457424410"/>
      <w:bookmarkStart w:id="162" w:name="tka13"/>
      <w:bookmarkEnd w:id="161"/>
      <w:r>
        <w:rPr>
          <w:rFonts w:eastAsia="Amazon Ember" w:cs="Amazon Ember" w:ascii="Amazon Ember" w:hAnsi="Amazon Ember"/>
          <w:b/>
          <w:bCs/>
          <w:color w:val="0000FF"/>
          <w:sz w:val="36"/>
          <w:szCs w:val="36"/>
        </w:rPr>
        <w:t>Kanada: Kinder, Schule und Spracheingewöhnung</w:t>
      </w:r>
      <w:bookmarkEnd w:id="1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 nur dass es in Kanada zehn Provinzen und drei Territorien sind, nicht sechzehn Bundesländer, und dass Québec dabei eine ganz eigene Geschichte schreibt, die eigene Fragen aufwirft, bevor die erste Hausaufgabe überhaupt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ist reine Provinzsache; ein einheitliches kanadisches Schulsystem gibt es nicht, auch wenn sich die Grundstruktur stark ähnelt.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meist von einem freiwilligen Vorschuljahr über die Elementary School bis zur Secondary/High School; wo genau die Grenzen liegen, legt jede Provinz selbst fest.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ist der große Sonderfall: Französisch ist Pflichtunterrichtssprache für die meisten Kinder, mit engen Ausnahmen für Kinder mit kanadischer Vorbildung auf Englisch.</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und prüfen in der Regel keinen Aufenthaltsstatus,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(ESL) gehört an kanadischen Schulen zum Alltag, nicht zur Ausnahme – Kinder lernen die neue Sprache meist deutlich schneller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vor allem in Toronto, Vancouver, Calgary und Montréal;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Systems: zehn Provinzen, ein Grundmuster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Provinz und jedes Territorium führt ein eigenes Bildungsministerium (</w:t>
      </w:r>
      <w:r>
        <w:rPr>
          <w:rFonts w:eastAsia="Cambria" w:cs="Cambria"/>
          <w:b w:val="false"/>
          <w:bCs w:val="false"/>
          <w:i/>
          <w:iCs/>
          <w:sz w:val="22"/>
          <w:szCs w:val="22"/>
        </w:rPr>
        <w:t>Ministry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Department of Education</w:t>
      </w:r>
      <w:r>
        <w:rPr>
          <w:rFonts w:eastAsia="Cambria" w:cs="Cambria"/>
          <w:b w:val="false"/>
          <w:bCs w:val="false"/>
          <w:i w:val="false"/>
          <w:iCs w:val="false"/>
          <w:sz w:val="22"/>
          <w:szCs w:val="22"/>
        </w:rPr>
        <w:t xml:space="preserve">) und überträgt die Umsetzung an lokale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(Schulbehörden, mit gewähltem Gremium und eigenem Budget – vergleichbar den deutschen Schulämtern, nur mit mehr eigener Entscheidungsbefugnis). Ein Kind besucht damit nicht „die kanadische Schule“, sondern die Schule seines </w:t>
      </w:r>
      <w:r>
        <w:rPr>
          <w:rFonts w:eastAsia="Cambria" w:cs="Cambria"/>
          <w:b w:val="false"/>
          <w:bCs w:val="false"/>
          <w:i/>
          <w:iCs/>
          <w:sz w:val="22"/>
          <w:szCs w:val="22"/>
        </w:rPr>
        <w:t>School Board</w:t>
      </w:r>
      <w:r>
        <w:rPr>
          <w:rFonts w:eastAsia="Cambria" w:cs="Cambria"/>
          <w:b w:val="false"/>
          <w:bCs w:val="false"/>
          <w:i w:val="false"/>
          <w:iCs w:val="false"/>
          <w:sz w:val="22"/>
          <w:szCs w:val="22"/>
        </w:rPr>
        <w:t>, und dessen Regeln zu Einschulungsalter, Notenskala und Lehrplan können sich vom Nachbardistrikt spürbar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Trotz der föderalen Vielfalt ähnelt sich der Grundaufbau landesweit: einem freiwilligen, aber verbreiteten Vorschuljahr folgt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(Grundschule, meist bis Grade 6, in manchen Provinzen bis Grade 7 oder 8) und danach die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oder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(meist Grade 9 bis 12). Ontario geht beim Vorschuljahr weiter als die meisten anderen Provinzen: Dort ist die zweijährige, ganztägige </w:t>
      </w:r>
      <w:r>
        <w:rPr>
          <w:rFonts w:eastAsia="Cambria" w:cs="Cambria"/>
          <w:b w:val="false"/>
          <w:bCs w:val="false"/>
          <w:i/>
          <w:iCs/>
          <w:sz w:val="22"/>
          <w:szCs w:val="22"/>
        </w:rPr>
        <w:t>Junior Kindergarten/Senior Kindergarten</w:t>
      </w:r>
      <w:r>
        <w:rPr>
          <w:rFonts w:eastAsia="Cambria" w:cs="Cambria"/>
          <w:b w:val="false"/>
          <w:bCs w:val="false"/>
          <w:i w:val="false"/>
          <w:iCs w:val="false"/>
          <w:sz w:val="22"/>
          <w:szCs w:val="22"/>
        </w:rPr>
        <w:t xml:space="preserve">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w:t>
      </w:r>
      <w:r>
        <w:rPr>
          <w:rFonts w:eastAsia="Cambria" w:cs="Cambria"/>
          <w:b w:val="false"/>
          <w:bCs w:val="false"/>
          <w:i/>
          <w:iCs/>
          <w:sz w:val="22"/>
          <w:szCs w:val="22"/>
        </w:rPr>
        <w:t>Labour Day</w:t>
      </w:r>
      <w:r>
        <w:rPr>
          <w:rFonts w:eastAsia="Cambria" w:cs="Cambria"/>
          <w:b w:val="false"/>
          <w:bCs w:val="false"/>
          <w:i w:val="false"/>
          <w:iCs w:val="false"/>
          <w:sz w:val="22"/>
          <w:szCs w:val="22"/>
        </w:rPr>
        <w:t>, dem ersten Montag im September) liegen näher an Deutschland als an manch anderem Zielland dieses Buches.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einen kanadischen Schulordnung“. Wichtiger ist der Stichtag und die Einstufungspraxis des zuständigen School Boards am Zielort – frag dort direkt nach, statt dich auf allgemeine Ratgeber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Zum Abschluss vergibt jede Provinz ihr eigenes Zeugnis (etwa das </w:t>
      </w:r>
      <w:r>
        <w:rPr>
          <w:rFonts w:eastAsia="Cambria" w:cs="Cambria"/>
          <w:b w:val="false"/>
          <w:bCs w:val="false"/>
          <w:i/>
          <w:iCs/>
          <w:sz w:val="22"/>
          <w:szCs w:val="22"/>
        </w:rPr>
        <w:t>Ontario Secondary School Diploma</w:t>
      </w:r>
      <w:r>
        <w:rPr>
          <w:rFonts w:eastAsia="Cambria" w:cs="Cambria"/>
          <w:b w:val="false"/>
          <w:bCs w:val="false"/>
          <w:i w:val="false"/>
          <w:iCs w:val="false"/>
          <w:sz w:val="22"/>
          <w:szCs w:val="22"/>
        </w:rPr>
        <w:t>,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 frage die Zielschule direkt, wie sie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katholisch, französischsprachig, privat: vier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viele Neuankömmlinge erwarten, gibt es in weiten Teilen Kanadas nicht nur eine, sondern gleich mehrere öffentlich finanzierte Schulformen nebeneinander. Neben dem säkularen öffentlichen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führen Ontario, Alberta und Saskatchewan eigene, ebenfalls öffentlich finanzierte katholische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 ein historisches Zugeständnis an die katholische Minderheit bei der Gründung Kanadas, das bis heute gilt. Der Unterricht ist dort ebenso kostenlos wie an der säkularen Schule, mit religiös geprägtem Zusatzprogramm; die Aufnahme läuft in der Regel unabhängig von der eigenen Konfession der Familie, wird aber von Schule zu Schule unterschiedlich gehandhabt.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betreiben viele Provinzen außerhalb Québecs eigene französischsprachige öffentliche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für die dortige französischsprachige Minderheit; das Recht darauf ist in der kanadischen Grundrechtecharta verankert. Für zugewanderte Familien ohne französischen Bezug sind diese Schulen normalerweise nicht die erste Anlaufstelle, wohl aber die im nächsten Abschnitt beschriebene </w:t>
      </w:r>
      <w:r>
        <w:rPr>
          <w:rFonts w:eastAsia="Cambria" w:cs="Cambria"/>
          <w:b w:val="false"/>
          <w:bCs w:val="false"/>
          <w:i/>
          <w:iCs/>
          <w:sz w:val="22"/>
          <w:szCs w:val="22"/>
        </w:rPr>
        <w:t>French Immersion</w:t>
      </w:r>
      <w:r>
        <w:rPr>
          <w:rFonts w:eastAsia="Cambria" w:cs="Cambria"/>
          <w:b w:val="false"/>
          <w:bCs w:val="false"/>
          <w:i w:val="false"/>
          <w:iCs w:val="false"/>
          <w:sz w:val="22"/>
          <w:szCs w:val="22"/>
        </w:rPr>
        <w:t xml:space="preserve"> an regulären englischsprachigen 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Private und unabhängige Schulen verlangen Schulgeld, dessen Höhe stark schwankt – von wenigen Tausend Dollar bei manchen konfessionellen Schulen bis zu einem hohen fünfstelligen Betrag pro Jahr an renommierten unabhängigen Schulen der großen Städte. Homeschooling ist in allen Provinzen und Territorien grundsätzlich erlaubt, wobei Meldepflichten und Aufsicht von Provinz zu Provinz unterschiedlich streng ausfallen.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French Immersion: ein typisch kanadisches 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Angebot, das es in dieser Form in kaum einem anderen Land dieses Buches gibt, ist </w:t>
      </w:r>
      <w:r>
        <w:rPr>
          <w:rFonts w:eastAsia="Cambria" w:cs="Cambria"/>
          <w:b w:val="false"/>
          <w:bCs w:val="false"/>
          <w:i/>
          <w:iCs/>
          <w:sz w:val="22"/>
          <w:szCs w:val="22"/>
        </w:rPr>
        <w:t>French Immersion</w:t>
      </w:r>
      <w:r>
        <w:rPr>
          <w:rFonts w:eastAsia="Cambria" w:cs="Cambria"/>
          <w:b w:val="false"/>
          <w:bCs w:val="false"/>
          <w:i w:val="false"/>
          <w:iCs w:val="false"/>
          <w:sz w:val="22"/>
          <w:szCs w:val="22"/>
        </w:rPr>
        <w:t>: ein optionaler Schulzweig an regulären englischsprachigen öffentlichen Schulen, in dem ein erheblicher Teil des Unterrichts – oft der überwiegende Teil in den ersten Grundschuljahren –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innerhalb des öffentlichen Systems – ein Kontrast zu Einwanderungsländern, in denen Zweisprachigkeit nur über kostenpflichtige Zusatzangebote zu haben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bei der Wohnortwahl, ob die zuständige Schule French Immersion anbietet und wie lang die Warteliste ist. Wer sich erst nach dem Umzug bewirbt, kommt in gefragten Stadtteilen oft ein Jahr zu spät.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Sonderfall Québec: Französisch als Unterrichtssprache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nach Québec, insbesondere nach Montréal, zieht, trifft auf ein grundlegend anderes System (zur Sprachpolitik der Provinz allgemein siehe das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Die </w:t>
      </w:r>
      <w:r>
        <w:rPr>
          <w:rFonts w:eastAsia="Cambria" w:cs="Cambria"/>
          <w:b w:val="false"/>
          <w:bCs w:val="false"/>
          <w:i/>
          <w:iCs/>
          <w:sz w:val="22"/>
          <w:szCs w:val="22"/>
        </w:rPr>
        <w:t>Charter of the French Language</w:t>
      </w:r>
      <w:r>
        <w:rPr>
          <w:rFonts w:eastAsia="Cambria" w:cs="Cambria"/>
          <w:b w:val="false"/>
          <w:bCs w:val="false"/>
          <w:i w:val="false"/>
          <w:iCs w:val="false"/>
          <w:sz w:val="22"/>
          <w:szCs w:val="22"/>
        </w:rP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eine 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oder beim </w:t>
      </w:r>
      <w:r>
        <w:rPr>
          <w:rFonts w:eastAsia="Cambria" w:cs="Cambria"/>
          <w:b w:val="false"/>
          <w:bCs w:val="false"/>
          <w:i/>
          <w:iCs/>
          <w:sz w:val="22"/>
          <w:szCs w:val="22"/>
        </w:rPr>
        <w:t>Ministère de l’Éducation</w:t>
      </w:r>
      <w:r>
        <w:rPr>
          <w:rFonts w:eastAsia="Cambria" w:cs="Cambria"/>
          <w:b w:val="false"/>
          <w:bCs w:val="false"/>
          <w:i w:val="false"/>
          <w:iCs w:val="false"/>
          <w:sz w:val="22"/>
          <w:szCs w:val="22"/>
        </w:rPr>
        <w:t>, bevor du fest mit einer englischsprachigen Schule für dein Kind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Französischkenntnisse besuchen beim Einstieg häufig eine </w:t>
      </w:r>
      <w:r>
        <w:rPr>
          <w:rFonts w:eastAsia="Cambria" w:cs="Cambria"/>
          <w:b w:val="false"/>
          <w:bCs w:val="false"/>
          <w:i/>
          <w:iCs/>
          <w:sz w:val="22"/>
          <w:szCs w:val="22"/>
        </w:rPr>
        <w:t>classe d’accueil</w:t>
      </w:r>
      <w:r>
        <w:rPr>
          <w:rFonts w:eastAsia="Cambria" w:cs="Cambria"/>
          <w:b w:val="false"/>
          <w:bCs w:val="false"/>
          <w:i w:val="false"/>
          <w:iCs w:val="false"/>
          <w:sz w:val="22"/>
          <w:szCs w:val="22"/>
        </w:rPr>
        <w:t xml:space="preserve"> (wörtlich „Empfangsklasse“, eine Willkommens- oder Vorbereitungsklasse mit intensivem Französischunterricht), bevor sie in die reguläre Klasse wechseln – ein Modell, das dem deutschen Konzept der Willkommensklasse ähnelt und sich damit vom übrigen Kanada unterscheidet, wo neu zugewanderte Kinder in der Regel von Anfang an in der Regelklasse sitzen und Förderstunden zusätzlich erhalten.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Sekundarstufe (</w:t>
      </w:r>
      <w:r>
        <w:rPr>
          <w:rFonts w:eastAsia="Cambria" w:cs="Cambria"/>
          <w:b w:val="false"/>
          <w:bCs w:val="false"/>
          <w:i/>
          <w:iCs/>
          <w:sz w:val="22"/>
          <w:szCs w:val="22"/>
        </w:rPr>
        <w:t>secondaire</w:t>
      </w:r>
      <w:r>
        <w:rPr>
          <w:rFonts w:eastAsia="Cambria" w:cs="Cambria"/>
          <w:b w:val="false"/>
          <w:bCs w:val="false"/>
          <w:i w:val="false"/>
          <w:iCs w:val="false"/>
          <w:sz w:val="22"/>
          <w:szCs w:val="22"/>
        </w:rPr>
        <w:t xml:space="preserve">, fünf statt vier Jahre wie im übrigen Kanada) folgt in Québec zudem eine Besonderheit ganz Nordamerikas: das </w:t>
      </w:r>
      <w:r>
        <w:rPr>
          <w:rFonts w:eastAsia="Cambria" w:cs="Cambria"/>
          <w:b w:val="false"/>
          <w:bCs w:val="false"/>
          <w:i/>
          <w:iCs/>
          <w:sz w:val="22"/>
          <w:szCs w:val="22"/>
        </w:rPr>
        <w:t>CEGEP</w:t>
      </w:r>
      <w:r>
        <w:rPr>
          <w:rFonts w:eastAsia="Cambria" w:cs="Cambria"/>
          <w:b w:val="false"/>
          <w:bCs w:val="false"/>
          <w:i w:val="false"/>
          <w:iCs w:val="false"/>
          <w:sz w:val="22"/>
          <w:szCs w:val="22"/>
        </w:rPr>
        <w:t xml:space="preserve"> (</w:t>
      </w:r>
      <w:r>
        <w:rPr>
          <w:rFonts w:eastAsia="Cambria" w:cs="Cambria"/>
          <w:b w:val="false"/>
          <w:bCs w:val="false"/>
          <w:i/>
          <w:iCs/>
          <w:sz w:val="22"/>
          <w:szCs w:val="22"/>
        </w:rPr>
        <w:t>Collège d’enseignement général et professionnel</w:t>
      </w:r>
      <w:r>
        <w:rPr>
          <w:rFonts w:eastAsia="Cambria" w:cs="Cambria"/>
          <w:b w:val="false"/>
          <w:bCs w:val="false"/>
          <w:i w:val="false"/>
          <w:iCs w:val="false"/>
          <w:sz w:val="22"/>
          <w:szCs w:val="22"/>
        </w:rPr>
        <w:t>), ein zwei- bis dreijähriges Zwischenglied zwischen Schule und Universität, das es in keiner anderen Provinz gibt und das Québecer Schulabgänger von den übrigen kanadischen Provinzen unterscheidet.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läuft über das zuständige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meldet Finn (11) und Mia (7) im August bei ihrem Toronto District School Board online an. Der Distrikt bestätigt vorab schriftlich, welche Grundschule zu ihrer neuen Adresse gehört – erst danach unterschreiben Markus und Julia den Mietvertrag. Mit Geburtsurkunden, Mietvertrag, Impfpässen und Finns letztem Zeugnis (mit einer selbst angefertigten, später von der Schule akzeptierten Übersetzung) geht es zum Anmeldetermin. Finn kommt in Grade 6, Mia in Grade 2; beide werden zusätzlich für ein optionales French-Immersion-Programm vorgemerkt, dessen Warteliste die Schule offen mitteilt. Rund drei Wochen nach der Landung sitzen beide Kinder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vor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kein flächendeckendes öffentliches Netz wie die deutsche Kita, aber ein spürbar günstigeres System, als viele Neuankömmlinge erwarten. Über die </w:t>
      </w:r>
      <w:r>
        <w:rPr>
          <w:rFonts w:eastAsia="Cambria" w:cs="Cambria"/>
          <w:b w:val="false"/>
          <w:bCs w:val="false"/>
          <w:i/>
          <w:iCs/>
          <w:sz w:val="22"/>
          <w:szCs w:val="22"/>
        </w:rPr>
        <w:t>Canada-Wide Early Learning and Child Care</w:t>
      </w:r>
      <w:r>
        <w:rPr>
          <w:rFonts w:eastAsia="Cambria" w:cs="Cambria"/>
          <w:b w:val="false"/>
          <w:bCs w:val="false"/>
          <w:i w:val="false"/>
          <w:iCs w:val="false"/>
          <w:sz w:val="22"/>
          <w:szCs w:val="22"/>
        </w:rPr>
        <w:t>-Vereinbarungen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marktüblichen, anbieterabhängigen Preisen. Die genaue Höhe und der Zeitplan bis zum landesweiten 10-CAD-Ziel ändern sich laufend; informiere dich vor der Ortswahl über den aktuellen Stand deiner Zielprovinz.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ESL, Willkommensklassen und Geduld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die noch nicht ausreichend Englisch (oder in Québec Französisch) sprechen, werden in Kanada meist als </w:t>
      </w:r>
      <w:r>
        <w:rPr>
          <w:rFonts w:eastAsia="Cambria" w:cs="Cambria"/>
          <w:b w:val="false"/>
          <w:bCs w:val="false"/>
          <w:i/>
          <w:iCs/>
          <w:sz w:val="22"/>
          <w:szCs w:val="22"/>
        </w:rPr>
        <w:t>English Language Learners</w:t>
      </w:r>
      <w:r>
        <w:rPr>
          <w:rFonts w:eastAsia="Cambria" w:cs="Cambria"/>
          <w:b w:val="false"/>
          <w:bCs w:val="false"/>
          <w:i w:val="false"/>
          <w:iCs w:val="false"/>
          <w:sz w:val="22"/>
          <w:szCs w:val="22"/>
        </w:rPr>
        <w:t xml:space="preserve"> (ELL) oder unter dem Sammelbegriff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w:t>
      </w:r>
      <w:r>
        <w:rPr>
          <w:rFonts w:eastAsia="Cambria" w:cs="Cambria"/>
          <w:b w:val="false"/>
          <w:bCs w:val="false"/>
          <w:i/>
          <w:iCs/>
          <w:sz w:val="22"/>
          <w:szCs w:val="22"/>
        </w:rPr>
        <w:t>Pull-out</w:t>
      </w:r>
      <w:r>
        <w:rPr>
          <w:rFonts w:eastAsia="Cambria" w:cs="Cambria"/>
          <w:b w:val="false"/>
          <w:bCs w:val="false"/>
          <w:i w:val="false"/>
          <w:iCs w:val="false"/>
          <w:sz w:val="22"/>
          <w:szCs w:val="22"/>
        </w:rPr>
        <w:t>-Modell), oder eine zusätzliche Lehrkraft unterstützt direkt im Klassenzimmer. In Städten mit vielen neu zugewanderten Familien gibt es außerdem eigene Willkommens- oder Neuankömmlingsprogramme, oft mit mehrsprachigen Assistenzkräften für die ersten Wochen.</w:t>
      </w:r>
    </w:p>
    <w:tbl>
      <w:tblPr>
        <w:tblW w:w="6480" w:type="dxa"/>
        <w:jc w:val="left"/>
        <w:tblInd w:w="0" w:type="dxa"/>
        <w:tblLayout w:type="fixed"/>
        <w:tblCellMar>
          <w:top w:w="50" w:type="dxa"/>
          <w:left w:w="80" w:type="dxa"/>
          <w:bottom w:w="50" w:type="dxa"/>
          <w:right w:w="80" w:type="dxa"/>
        </w:tblCellMar>
      </w:tblPr>
      <w:tblGrid>
        <w:gridCol w:w="2638"/>
        <w:gridCol w:w="2196"/>
        <w:gridCol w:w="1646"/>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21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einige Stunden Extra-Unterricht pro Woche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dafür aus?</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Unterstützung im Klassenzimmer</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zusätzliche Lehrkraft hilft direkt während des Regelunterrichts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 für dein Kind?</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Willkommens- oder Neuankömmlingsprogramm</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begrenzte Intensivförderung, oft mit mehrsprachigen Assistenzkräften</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an jeder Schule vorhanden; nach Verfügbarkeit fragen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Modell dein Kind bekommt, hängt vom School Board, der Schulgröße und der Zahl anderer Kinder mit Förderbedarf ab; frage bei der Anmeldung gezielt nach der konkreten Umsetzung an der Zielschule, nicht nur nach dem Namen des Programms.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xml:space="preserve">). Ein </w:t>
      </w:r>
      <w:r>
        <w:rPr>
          <w:rFonts w:eastAsia="Cambria" w:cs="Cambria"/>
          <w:b w:val="false"/>
          <w:bCs w:val="false"/>
          <w:i/>
          <w:iCs/>
          <w:sz w:val="22"/>
          <w:szCs w:val="22"/>
        </w:rPr>
        <w:t>School Counsellor</w:t>
      </w:r>
      <w:r>
        <w:rPr>
          <w:rFonts w:eastAsia="Cambria" w:cs="Cambria"/>
          <w:b w:val="false"/>
          <w:bCs w:val="false"/>
          <w:i w:val="false"/>
          <w:iCs w:val="false"/>
          <w:sz w:val="22"/>
          <w:szCs w:val="22"/>
        </w:rPr>
        <w:t xml:space="preserve"> (Schulberater, an kanadischen Schulen üblich und für die Familie kostenlos) ist die richtige Anlaufstelle, wenn Rückzug, Schlafprobleme oder anhaltende schulische Frustration über die reine Sprachlücke hinausgehen.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auf dem Pausenhof plaudern heißt nicht „fertig“. Schulsprache und Fachbegriffe brauchen oft noch Jahre Unterstützung, auch wenn niemand mehr einen Akzent bemerkt.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JustWatch.de, da sich Kataloge häufig ändern.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Samstagsschule, Familienalltag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möchte, dass Kinder neben der neuen Landessprache auch ihr Deutsch behalten, findet organisierte Angebote vor allem in den vier größten Städten. Die German International School Toronto unterrichtet von der Vorschule bis Klasse 12 bilingual Deutsch-Englisch und führt als </w:t>
      </w:r>
      <w:r>
        <w:rPr>
          <w:rFonts w:eastAsia="Cambria" w:cs="Cambria"/>
          <w:b w:val="false"/>
          <w:bCs w:val="false"/>
          <w:i/>
          <w:iCs/>
          <w:sz w:val="22"/>
          <w:szCs w:val="22"/>
        </w:rPr>
        <w:t>IB World School</w:t>
      </w:r>
      <w:r>
        <w:rPr>
          <w:rFonts w:eastAsia="Cambria" w:cs="Cambria"/>
          <w:b w:val="false"/>
          <w:bCs w:val="false"/>
          <w:i w:val="false"/>
          <w:iCs w:val="false"/>
          <w:sz w:val="22"/>
          <w:szCs w:val="22"/>
        </w:rPr>
        <w:t xml:space="preserve"> zum International-Baccalaureate-Diplomprogramm in den letzten beiden Schuljahren. In Montréal übernimmt die Alexander-von-Humboldt-Schule in Baie-d’Urfé eine ähnliche Rolle. Wo eine solche Tagesschule fehlt, helfen Samstagsschulen: die Vancouver Westside German School (seit 1992, vom Kindergarten bis Klasse 12) und die Calgary German Language School (Vorschule bis Klasse 12, zusätzlich Abendkurse für Erwachsene) unterrichten an Wochenenden reines Deutsch als Fach, ergänzend zur regulären, englischsprachigen Schule (Details und weitere Standorte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 realistisch planbare Ferienbesuche in Deutschland. Antwortet das Kind zunehmend auf Englisch oder Französisch, ist das normal und kein Grund zur Sorge; wiederhole den Satz einfach auf Deutsch, ohne zu tadeln.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prüfen in der Regel keinen Aufenthaltsstatus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Notenskala und Regeln hängen stark von Provinz und School Board ab</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 bietet kostenlose Zweisprachigkeit innerhalb des öffentlichen Systems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Beliebte Programme haben lange Wartelisten oder ein Losverfahren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 wird durch CWELCC in den meisten Provinzen spürbar günstiger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Alberta liegen mit 22 beziehungsweise 15 CAD pro Tag noch über dem 10-CAD-Ziel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ESL-Förderung ist an vielen Schulen Standard, nicht Ausnahme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vier großen Städte kaum organisierte deutsche Sprachangebote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(September bis Juni) ähnelt dem deutschen, kein Umdenken bei der Jahreszeit nötig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für die meisten Kinder verbindlich Französisch als Unterrichtssprache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Katholische und französischsprachige Schulen erweitern die kostenlose Auswahl zusätzlich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 einheitliches Abschlusszeugnis; Anerkennung in Deutschland im Einzelfall zu klären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zuständigen School Board und dessen Stichtag für die Einstufung, sammle Geburtsurkunde, Impfnachweis und übersetzte Zeugnisse, und entscheide früh, ob French Immersion oder – in Québec – die Eligibility-Frage für euch relevant ist. Melde einen Betreuungsplatz für jüngere Kinder frühzeitig vor dem Umzug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School Board der Zieladresse ermittelt und Schulzuordnung schriftlich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School Board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Interesse an French Immersion die Warteliste der Zielschule frühzeitig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nach Québec die Eligibility-Frage für englischsprachigen Unterricht vor der Jobzusage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(CWELCC-Anbieter) für jüngere Kinder Monate vor dem Umzug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und Nachmittagsbetreuung (Before/After School Care) bei der Zielschule mit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dem School Board über ESL-Angebote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Tagesschule oder Samstagsschule in der Zielstadt recherchiert, Fristen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Bildungsministerien der Provinzen, z. B. Ontario (</w:t>
      </w:r>
      <w:hyperlink r:id="rId617">
        <w:r>
          <w:rPr>
            <w:rStyle w:val="ListLabel113"/>
            <w:rFonts w:eastAsia="Cambria" w:cs="Cambria"/>
            <w:b w:val="false"/>
            <w:bCs w:val="false"/>
            <w:i w:val="false"/>
            <w:iCs w:val="false"/>
            <w:color w:val="0563C1"/>
            <w:sz w:val="22"/>
            <w:szCs w:val="22"/>
            <w:u w:val="single"/>
          </w:rPr>
          <w:t>ontario.ca/page/education-and-training</w:t>
        </w:r>
      </w:hyperlink>
      <w:r>
        <w:rPr>
          <w:rFonts w:eastAsia="Cambria" w:cs="Cambria"/>
          <w:b w:val="false"/>
          <w:bCs w:val="false"/>
          <w:i w:val="false"/>
          <w:iCs w:val="false"/>
          <w:sz w:val="22"/>
          <w:szCs w:val="22"/>
        </w:rPr>
        <w:t>) und Québec (</w:t>
      </w:r>
      <w:hyperlink r:id="rId618">
        <w:r>
          <w:rPr>
            <w:rStyle w:val="ListLabel113"/>
            <w:rFonts w:eastAsia="Cambria" w:cs="Cambria"/>
            <w:b w:val="false"/>
            <w:bCs w:val="false"/>
            <w:i w:val="false"/>
            <w:iCs w:val="false"/>
            <w:color w:val="0563C1"/>
            <w:sz w:val="22"/>
            <w:szCs w:val="22"/>
            <w:u w:val="single"/>
          </w:rPr>
          <w:t>education.gouv.qc.ca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Ministère de l’Éducation du Québec — Charter of the French Language, Certificate of Eligibility (</w:t>
      </w:r>
      <w:hyperlink r:id="rId619">
        <w:r>
          <w:rPr>
            <w:rStyle w:val="ListLabel113"/>
            <w:rFonts w:eastAsia="Cambria" w:cs="Cambria"/>
            <w:b w:val="false"/>
            <w:bCs w:val="false"/>
            <w:i w:val="false"/>
            <w:iCs w:val="false"/>
            <w:color w:val="0563C1"/>
            <w:sz w:val="22"/>
            <w:szCs w:val="22"/>
            <w:u w:val="single"/>
          </w:rPr>
          <w:t>quebec.ca</w:t>
        </w:r>
      </w:hyperlink>
      <w:r>
        <w:rPr>
          <w:rFonts w:eastAsia="Cambria" w:cs="Cambria"/>
          <w:b w:val="false"/>
          <w:bCs w:val="false"/>
          <w:i w:val="false"/>
          <w:iCs w:val="false"/>
          <w:sz w:val="22"/>
          <w:szCs w:val="22"/>
        </w:rPr>
        <w:t>, Suche: certificate of eligibility english instruction)</w:t>
      </w:r>
    </w:p>
    <w:p>
      <w:pPr>
        <w:pStyle w:val="ListParagraph"/>
        <w:numPr>
          <w:ilvl w:val="0"/>
          <w:numId w:val="1"/>
        </w:numPr>
        <w:spacing w:lineRule="exact" w:line="288" w:before="0" w:after="60"/>
        <w:rPr/>
      </w:pPr>
      <w:r>
        <w:rPr>
          <w:rFonts w:eastAsia="Cambria" w:cs="Cambria"/>
          <w:b w:val="false"/>
          <w:bCs w:val="false"/>
          <w:i w:val="false"/>
          <w:iCs w:val="false"/>
          <w:sz w:val="22"/>
          <w:szCs w:val="22"/>
        </w:rPr>
        <w:t>Employment and Social Development Canada — Canada-Wide Early Learning and Child Care, Gebühren je Provinz (</w:t>
      </w:r>
      <w:hyperlink r:id="rId620">
        <w:r>
          <w:rPr>
            <w:rStyle w:val="ListLabel113"/>
            <w:rFonts w:eastAsia="Cambria" w:cs="Cambria"/>
            <w:b w:val="false"/>
            <w:bCs w:val="false"/>
            <w:i w:val="false"/>
            <w:iCs w:val="false"/>
            <w:color w:val="0563C1"/>
            <w:sz w:val="22"/>
            <w:szCs w:val="22"/>
            <w:u w:val="single"/>
          </w:rPr>
          <w:t>canada.ca/en/employment-social-development/campaigns/child-care.html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621">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German International School Toronto (</w:t>
      </w:r>
      <w:hyperlink r:id="rId622">
        <w:r>
          <w:rPr>
            <w:rStyle w:val="ListLabel113"/>
            <w:rFonts w:eastAsia="Cambria" w:cs="Cambria"/>
            <w:b w:val="false"/>
            <w:bCs w:val="false"/>
            <w:i w:val="false"/>
            <w:iCs w:val="false"/>
            <w:color w:val="0563C1"/>
            <w:sz w:val="22"/>
            <w:szCs w:val="22"/>
            <w:u w:val="single"/>
          </w:rPr>
          <w:t>gistonline.ca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w:t>
      </w:r>
      <w:hyperlink r:id="rId623">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24">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3" w:name="__RefHeading___Toc56592_3457424410"/>
      <w:bookmarkStart w:id="164" w:name="tka14"/>
      <w:bookmarkEnd w:id="163"/>
      <w:r>
        <w:rPr>
          <w:rFonts w:eastAsia="Amazon Ember" w:cs="Amazon Ember" w:ascii="Amazon Ember" w:hAnsi="Amazon Ember"/>
          <w:b/>
          <w:bCs/>
          <w:color w:val="0000FF"/>
          <w:sz w:val="36"/>
          <w:szCs w:val="36"/>
        </w:rPr>
        <w:t>Kanada: Arbeitswelt und Jobwechsel</w:t>
      </w:r>
      <w:bookmarkEnd w:id="1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rempelt in der Teeküche seines neuen Arbeitgebers in Calgary versehentlich einen Kollegen an – und bevor er selbst etwas sagen kann, hat sich der andere bereits entschuldigt: „Sorry!“ Es dauert einige Wochen, bis Lukas begreift, dass dieses Wort in Kanada seltener ein Schuldeingeständnis ist als ein Reflex, ungefähr so bedeutungsschwer wie ein Räuspern. Die kanadische Arbeitswelt wirkt auf den ersten Blick angenehm unaufgeregt – bis zu dem Tag, an dem er selbst über einen Arbeitgeberwechsel nachdenkt und merkt, dass sein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(Arbeitsvisum) ihn fest an genau diesen einen Arbeitgeber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Urlaubsanspruch ist Provinzsache und startet meist bei nur zwei Wochen im Jahr – spürbar weniger als das deutsche Minimum von 20 Tagen, wächst aber mit der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Kündigen ohne Grund ist möglich, aber nicht ohne Ankündigungsfrist oder Abfindung: Kanada kennt weder ein deutsches Kündigungsschutzgesetz noch ein „Hire and Fire“ nach US-Vorbild.</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Umgangston ist höflicher und indirekter als in Deutschland; direkte Kritik kommt selten unverpackt.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Mit einem arbeitgebergebundenen, LMIA-pflichtigen Work Permit brauchst du für jeden Arbeitgeberwechsel in der Regel eine neue Arbeitsmarktprüfung des neuen Arbeitgebers und ein neues Arbeitsvisum – und musst dessen Genehmigung meist abwarten, bevor du dort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Offene Arbeitsvisa (etwa nach dem PGWP oder für mitreisende Ehepartner) erlauben dagegen den Wechsel ohne neuen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Networking über Empfehlungen zählt auch hier mehr als die Bewerbung auf gut Glück.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Bundessache oder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das Einwanderungsrecht, das ausschließlich der Bund regelt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ist das Arbeitsrecht in Kanada überwiegend Provinzsache. Für die große Mehrheit der Beschäftigten gilt das </w:t>
      </w:r>
      <w:r>
        <w:rPr>
          <w:rFonts w:eastAsia="Cambria" w:cs="Cambria"/>
          <w:b w:val="false"/>
          <w:bCs w:val="false"/>
          <w:i/>
          <w:iCs/>
          <w:sz w:val="22"/>
          <w:szCs w:val="22"/>
        </w:rPr>
        <w:t>Employment Standards Act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Employment Standards Code</w:t>
      </w:r>
      <w:r>
        <w:rPr>
          <w:rFonts w:eastAsia="Cambria" w:cs="Cambria"/>
          <w:b w:val="false"/>
          <w:bCs w:val="false"/>
          <w:i w:val="false"/>
          <w:iCs w:val="false"/>
          <w:sz w:val="22"/>
          <w:szCs w:val="22"/>
        </w:rP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rFonts w:eastAsia="Cambria" w:cs="Cambria"/>
          <w:b w:val="false"/>
          <w:bCs w:val="false"/>
          <w:i/>
          <w:iCs/>
          <w:sz w:val="22"/>
          <w:szCs w:val="22"/>
        </w:rPr>
        <w:t>Canada Labour Code</w:t>
      </w:r>
      <w:r>
        <w:rPr>
          <w:rFonts w:eastAsia="Cambria" w:cs="Cambria"/>
          <w:b w:val="false"/>
          <w:bCs w:val="false"/>
          <w:i w:val="false"/>
          <w:iCs w:val="false"/>
          <w:sz w:val="22"/>
          <w:szCs w:val="22"/>
        </w:rPr>
        <w:t xml:space="preserve"> (Bundesarbeitsgesetzbuch). Ein einheitliches nationales Arbeitsgesetz wie in manchen anderen Ländern gibt es in Kanada also nicht – wer von Ontario nach Alberta wechselt, wechselt damit auch das anwendbare Arbeitsrecht.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tbl>
      <w:tblPr>
        <w:tblW w:w="6480" w:type="dxa"/>
        <w:jc w:val="left"/>
        <w:tblInd w:w="0" w:type="dxa"/>
        <w:tblLayout w:type="fixed"/>
        <w:tblCellMar>
          <w:top w:w="50" w:type="dxa"/>
          <w:left w:w="80" w:type="dxa"/>
          <w:bottom w:w="50" w:type="dxa"/>
          <w:right w:w="80" w:type="dxa"/>
        </w:tblCellMar>
      </w:tblPr>
      <w:tblGrid>
        <w:gridCol w:w="1448"/>
        <w:gridCol w:w="2298"/>
        <w:gridCol w:w="2734"/>
      </w:tblGrid>
      <w:tr>
        <w:trPr>
          <w:tblHeader w:val="true"/>
          <w:cantSplit w:val="true"/>
        </w:trPr>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 (Provinzrecht, Richtwerte)</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 20 Tage bei Fünftagewoche, meist 25–30</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2 Wochen ab dem ersten Jahr, 3 Wochen nach rund 5 Jahren; Québec hebt die dritte Woche oft schon nach 3 Jahren an</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9–10, je Provinz unterschiedlich</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6 Wochen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uneinheitlich: teils nur unbezahlter, gesetzlich geschützter Anspruch, teils einzelne bezahlte Tage – abhängig von Provinz und Arbeitgeberpolitik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oder Krankheitstagen. Lass dir die genauen Ansprüche schriftlich im Vertrag oder im Mitarbeiterhandbuch bestätigen und vergleiche sie mit dem gesetzlichen Minimum deiner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Notice statt Kündigungsschutzgesetz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w:t>
      </w:r>
      <w:r>
        <w:rPr>
          <w:rFonts w:eastAsia="Cambria" w:cs="Cambria"/>
          <w:b w:val="false"/>
          <w:bCs w:val="false"/>
          <w:i/>
          <w:iCs/>
          <w:sz w:val="22"/>
          <w:szCs w:val="22"/>
        </w:rPr>
        <w:t>Notice of Termination</w:t>
      </w:r>
      <w:r>
        <w:rPr>
          <w:rFonts w:eastAsia="Cambria" w:cs="Cambria"/>
          <w:b w:val="false"/>
          <w:bCs w:val="false"/>
          <w:i w:val="false"/>
          <w:iCs w:val="false"/>
          <w:sz w:val="22"/>
          <w:szCs w:val="22"/>
        </w:rPr>
        <w:t>) einhalten oder eine entsprechende Abfindung anstelle der Frist zahlen (</w:t>
      </w:r>
      <w:r>
        <w:rPr>
          <w:rFonts w:eastAsia="Cambria" w:cs="Cambria"/>
          <w:b w:val="false"/>
          <w:bCs w:val="false"/>
          <w:i/>
          <w:iCs/>
          <w:sz w:val="22"/>
          <w:szCs w:val="22"/>
        </w:rPr>
        <w:t>Pay in Lieu of Notice</w:t>
      </w:r>
      <w:r>
        <w:rPr>
          <w:rFonts w:eastAsia="Cambria" w:cs="Cambria"/>
          <w:b w:val="false"/>
          <w:bCs w:val="false"/>
          <w:i w:val="false"/>
          <w:iCs w:val="false"/>
          <w:sz w:val="22"/>
          <w:szCs w:val="22"/>
        </w:rPr>
        <w:t>). In Ontario etwa steigt die gesetzliche Mindestfrist mit der Betriebszugehörigkeit von einer Woche auf bis zu acht Wochen bei sehr langer Beschäftigung; Alberta staffelt ähnlich, wenn auch mit anderen Sprungpunkten. Nur bei einem schwerwiegenden Fehlverhalten (</w:t>
      </w:r>
      <w:r>
        <w:rPr>
          <w:rFonts w:eastAsia="Cambria" w:cs="Cambria"/>
          <w:b w:val="false"/>
          <w:bCs w:val="false"/>
          <w:i/>
          <w:iCs/>
          <w:sz w:val="22"/>
          <w:szCs w:val="22"/>
        </w:rPr>
        <w:t>Just Cause</w:t>
      </w:r>
      <w:r>
        <w:rPr>
          <w:rFonts w:eastAsia="Cambria" w:cs="Cambria"/>
          <w:b w:val="false"/>
          <w:bCs w:val="false"/>
          <w:i w:val="false"/>
          <w:iCs w:val="false"/>
          <w:sz w:val="22"/>
          <w:szCs w:val="22"/>
        </w:rPr>
        <w:t>, etwa Diebstahl oder grobe Pflichtverletzung) entfällt die Frist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viele deutsche Neuankömmlinge überrascht: Die gesetzliche Mindestfrist ist oft nicht das letzte Wort. Nach dem Fallrecht (</w:t>
      </w:r>
      <w:r>
        <w:rPr>
          <w:rFonts w:eastAsia="Cambria" w:cs="Cambria"/>
          <w:b w:val="false"/>
          <w:bCs w:val="false"/>
          <w:i/>
          <w:iCs/>
          <w:sz w:val="22"/>
          <w:szCs w:val="22"/>
        </w:rPr>
        <w:t>Common Law</w:t>
      </w:r>
      <w:r>
        <w:rPr>
          <w:rFonts w:eastAsia="Cambria" w:cs="Cambria"/>
          <w:b w:val="false"/>
          <w:bCs w:val="false"/>
          <w:i w:val="false"/>
          <w:iCs w:val="false"/>
          <w:sz w:val="22"/>
          <w:szCs w:val="22"/>
        </w:rPr>
        <w:t>) kann ein Gericht bei ungerechtfertigter Kündigung eine deutlich längere „angemessene Frist“ zusprechen, orientiert an Lebensalter, Position, Betriebszugehörigkeit und Aussicht auf eine neue Stelle –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zusätzlich eine gesetzliche Abfindung (</w:t>
      </w:r>
      <w:r>
        <w:rPr>
          <w:rFonts w:eastAsia="Cambria" w:cs="Cambria"/>
          <w:b w:val="false"/>
          <w:bCs w:val="false"/>
          <w:i/>
          <w:iCs/>
          <w:sz w:val="22"/>
          <w:szCs w:val="22"/>
        </w:rPr>
        <w:t>Severance Pay</w:t>
      </w:r>
      <w:r>
        <w:rPr>
          <w:rFonts w:eastAsia="Cambria" w:cs="Cambria"/>
          <w:b w:val="false"/>
          <w:bCs w:val="false"/>
          <w:i w:val="false"/>
          <w:iCs w:val="false"/>
          <w:sz w:val="22"/>
          <w:szCs w:val="22"/>
        </w:rPr>
        <w:t>) hinzu, oben auf die Kündigungsfrist.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Grund kündigen darf dein Arbeitgeber auch in Kanada – aber nie ohne Frist oder Ausgleich, es sei denn, es liegt ein schwerwiegender Grund vor. Das ist weder deutscher Kündigungsschutz noch amerikanisches At-will Employment, sondern ein eigenes, drittes System.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Streicht ein Arbeitgeber gleich mehrere Stellen auf einmal (</w:t>
      </w:r>
      <w:r>
        <w:rPr>
          <w:rFonts w:eastAsia="Cambria" w:cs="Cambria"/>
          <w:b w:val="false"/>
          <w:bCs w:val="false"/>
          <w:i/>
          <w:iCs/>
          <w:sz w:val="22"/>
          <w:szCs w:val="22"/>
        </w:rPr>
        <w:t>Mass Termination</w:t>
      </w:r>
      <w:r>
        <w:rPr>
          <w:rFonts w:eastAsia="Cambria" w:cs="Cambria"/>
          <w:b w:val="false"/>
          <w:bCs w:val="false"/>
          <w:i w:val="false"/>
          <w:iCs w:val="false"/>
          <w:sz w:val="22"/>
          <w:szCs w:val="22"/>
        </w:rPr>
        <w:t xml:space="preserve">, in Ontario ab 50 Betroffenen innerhalb von vier Wochen), verlangen mehrere Provinzen zusätzliche, längere Ankündigungsfristen und eine Meldung an die zuständige Arbeitsbehörde – ähnlich dem Gedanken hinter dem amerikanischen WARN Act, nur mit anderen Schwellenwerten. Nach einem Jobverlust hilft zudem, anders als bei vielen befristeten US-Visa,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(EI, die Arbeitslosenversicherung): Wer rechtmäßig 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höflich, indirekt, pünktlich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Standardarbeitswoche liegt bei rund 40 Stunden; ab wann Überstundenzuschläge greifen, legt jede Provinz eigenständig fest, meist zwischen 40 und 44 Wochenstunden. Wichtiger als die reine Stundenzahl ist der Umgangston. Direkte, in Deutschland als „ehrlich und sachlich“ verstandene Kritik gilt in Kanada schnell als unhöflich; Rückmeldungen kommen eher eingepackt in Small Talk und vorsichtige Formulierungen. Auch das gegenseitige Ermahnen bei Regelverstößen, in Deutschland oft selbstverständlich, ist in Kanada unüblich – informelle soziale Kontrolle ist schwächer ausgeprägt, Zurückhaltung wird stärker geschätzt als Eigeninitiative beim Zurechtweisen anderer.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mag anfangs wie ein Mangel an Klarheit wirken, ist aber eher ein anderes Betriebssystem als ein fehlendes. Wer aus Gewohnheit weiterhin „Das funktioniert so nicht“ sagt, wo ein „Könnten wir das noch einmal gemeinsam prüfen?“ genauso viel bewirkt hätte, erntet eher betretenes Schweigen als Zustimmung. Meetings beginnen häufig mit ein paar Minuten Wetter- oder Wochenend-Small-Talk, bevor es zur Sache geht; das zu überspringen wirkt schroffer, als es gemeint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Kanada zu direkt auftritt, wird nicht als ehrlich gelobt, sondern als schwierig empfunden. Übe die höflichere Formulierung so lange, bis sie sich nicht mehr künstlich anfühlt.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Ressourcenindustrie, in der Lukas Berger arbeitet, kommt eine eigene Zeitkultur hinzu: Viele Stellen in der Ölförderung laufen im Schichtbetrieb oder als </w:t>
      </w:r>
      <w:r>
        <w:rPr>
          <w:rFonts w:eastAsia="Cambria" w:cs="Cambria"/>
          <w:b w:val="false"/>
          <w:bCs w:val="false"/>
          <w:i/>
          <w:iCs/>
          <w:sz w:val="22"/>
          <w:szCs w:val="22"/>
        </w:rPr>
        <w:t>Camp Job</w:t>
      </w:r>
      <w:r>
        <w:rPr>
          <w:rFonts w:eastAsia="Cambria" w:cs="Cambria"/>
          <w:b w:val="false"/>
          <w:bCs w:val="false"/>
          <w:i w:val="false"/>
          <w:iCs w:val="false"/>
          <w:sz w:val="22"/>
          <w:szCs w:val="22"/>
        </w:rPr>
        <w:t xml:space="preserve"> mit mehrtägigen Blöcken vor Ort und entsprechend langen freien Phasen danach – ein Rhythmus, den man sich vorab bewusst machen sollte, gerade mit Familie im Hintergrund. Überstunden über die vertraglich vereinbarte Wochenarbeitszeit hinaus sind für die meisten Beschäftigten zuschlagspflichtig; nur bestimmte Führungs- und Fachfunktionen gelten je nach Provinz als davon ausgenommen. Frage im Vorstellungsgespräch offen nach dem tatsächlichen Rhythmus, nicht nur nach der formalen Wochenstundenzahl.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in Kanada werden viele Stellen über Empfehlungen besetzt, bevor sie überhaupt öffentlich ausgeschrieben sind. LinkedIn-Profil auf Englisch, ein knappes, ergebnisorientiertes </w:t>
      </w:r>
      <w:r>
        <w:rPr>
          <w:rFonts w:eastAsia="Cambria" w:cs="Cambria"/>
          <w:b w:val="false"/>
          <w:bCs w:val="false"/>
          <w:i/>
          <w:iCs/>
          <w:sz w:val="22"/>
          <w:szCs w:val="22"/>
        </w:rPr>
        <w:t>Resume</w:t>
      </w:r>
      <w:r>
        <w:rPr>
          <w:rFonts w:eastAsia="Cambria" w:cs="Cambria"/>
          <w:b w:val="false"/>
          <w:bCs w:val="false"/>
          <w:i w:val="false"/>
          <w:iCs w:val="false"/>
          <w:sz w:val="22"/>
          <w:szCs w:val="22"/>
        </w:rPr>
        <w:t xml:space="preserve"> (Lebenslauf ohne Foto, Geburtsdatum oder Familienstand) und, anders als im rein amerikanischen Bewerbungsstil, häufig weiterhin ein kurzes </w:t>
      </w:r>
      <w:r>
        <w:rPr>
          <w:rFonts w:eastAsia="Cambria" w:cs="Cambria"/>
          <w:b w:val="false"/>
          <w:bCs w:val="false"/>
          <w:i/>
          <w:iCs/>
          <w:sz w:val="22"/>
          <w:szCs w:val="22"/>
        </w:rPr>
        <w:t>Cover Letter</w:t>
      </w:r>
      <w:r>
        <w:rPr>
          <w:rFonts w:eastAsia="Cambria" w:cs="Cambria"/>
          <w:b w:val="false"/>
          <w:bCs w:val="false"/>
          <w:i w:val="false"/>
          <w:iCs w:val="false"/>
          <w:sz w:val="22"/>
          <w:szCs w:val="22"/>
        </w:rPr>
        <w:t xml:space="preserve"> (Anschreiben) gehören zum Standard. Berufsverbände, Alumni-Netzwerke der eigenen Hochschule und – für technische Berufe – Fachgesellschaften sind gute Anlaufstellen, ebenso informelle Gespräche mit jemandem in der Zielfirma, um Einblick zu bekommen, nicht um direkt um eine Stelle zu bitten.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iCs/>
                <w:sz w:val="20"/>
                <w:szCs w:val="20"/>
              </w:rPr>
              <w:t>Job Bank</w:t>
            </w:r>
            <w:r>
              <w:rPr>
                <w:rFonts w:eastAsia="Cambria" w:cs="Cambria"/>
                <w:b w:val="false"/>
                <w:bCs w:val="false"/>
                <w:i w:val="false"/>
                <w:iCs w:val="false"/>
                <w:sz w:val="20"/>
                <w:szCs w:val="20"/>
              </w:rPr>
              <w:t xml:space="preserve"> (jobbank.gc.ca), die kostenlose Jobbörse des kanadischen Arbeitsministeriums, bietet neben Stellenanzeigen auch kostenlose Werkzeuge für Lebenslauf und Anschreiben sowie regionale Lohnvergleiche. Viele gemeinnützige Ankommensorganisationen (</w:t>
            </w:r>
            <w:r>
              <w:rPr>
                <w:rFonts w:eastAsia="Cambria" w:cs="Cambria"/>
                <w:b w:val="false"/>
                <w:bCs w:val="false"/>
                <w:i/>
                <w:iCs/>
                <w:sz w:val="20"/>
                <w:szCs w:val="20"/>
              </w:rPr>
              <w:t>Settlement Agencies</w:t>
            </w:r>
            <w:r>
              <w:rPr>
                <w:rFonts w:eastAsia="Cambria" w:cs="Cambria"/>
                <w:b w:val="false"/>
                <w:bCs w:val="false"/>
                <w:i w:val="false"/>
                <w:iCs w:val="false"/>
                <w:sz w:val="20"/>
                <w:szCs w:val="20"/>
              </w:rPr>
              <w:t>) bieten zusätzlich kostenlose Bewerbungsberatung für Neuankömmlinge an; die genaue Berechtigung hängt vom Aufenthaltsstatus ab und lohnt eine kurze Nachfrage vor Ort.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Vorstellungsgespräch selbst zählt Pünktlichkeit als selbstverständlich, Verspätung ohne Vorwarnung gilt als schwerer Fauxpas, als es in manchen südeuropäischen oder auch deutschen Betrieben empfunden würde. Verhaltensfragen nach dem Muster „Erzähl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dagegen ist der ausländische Abschluss ein Qualifikationsnachweis unter vielen, keine Zulassungsvoraussetzung.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Work Permit: Was das LMIA-pflichtige Visum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Kanadier und für Inhaber der permanenten Aufenthaltserlaubnis ist ein Arbeitgeberwechsel reine Formsache – wer wie Familie Ahrens direkt mit der permanenten Aufenthaltserlaubnis über Express Entry eingereist ist, kann von Anfang an für jeden Arbeitgeber im Land arbeiten, ganz ohne zusätzliches Verfahren. Ganz anders sieht es aus, solange du mit einem befristeten, arbeitgebergebundenen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im Land bist – dem Weg, den Lukas Berger als LMIA-pflichtiger Ölingenieur gegangen ist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solches Work Permit ist nicht einfach eine Arbeitserlaubnis, sondern an vier feste Bedingungen gekoppelt: einen bestimmten Arbeitgeber, eine bestimmte Tätigkeit (klassifiziert nach dem </w:t>
      </w:r>
      <w:r>
        <w:rPr>
          <w:rFonts w:eastAsia="Cambria" w:cs="Cambria"/>
          <w:b w:val="false"/>
          <w:bCs w:val="false"/>
          <w:i/>
          <w:iCs/>
          <w:sz w:val="22"/>
          <w:szCs w:val="22"/>
        </w:rPr>
        <w:t>NOC</w:t>
      </w:r>
      <w:r>
        <w:rPr>
          <w:rFonts w:eastAsia="Cambria" w:cs="Cambria"/>
          <w:b w:val="false"/>
          <w:bCs w:val="false"/>
          <w:i w:val="false"/>
          <w:iCs w:val="false"/>
          <w:sz w:val="22"/>
          <w:szCs w:val="22"/>
        </w:rPr>
        <w:t xml:space="preserve">, dem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-Berufscode), einen bestimmten Arbeitsort und eine feste Gültigkeitsdauer. Ändert sich einer dieser vier Punkte, reicht die bestehende Erlaubnis nicht mehr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Willst du zu einem neuen Arbeitgeber wechseln, muss dieser in aller Regel zunächst selbst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die Arbeitsmarktprüfung von Employment and Social Development Canada) für die konkrete Stelle einholen – die LMIA deines bisherigen Arbeitgebers gilt ausschließlich für ihn und ist nicht übertragbar. Das kostet den neuen Arbeitgeber 1.000 CAD, nicht erstattungsfähig und gesetzlich nicht auf dich abwälzbar, und dauert je nach Berufsgruppe und Lohnstream Wochen bis mehrere Monate: Beim besonders schnellen Global-Talent-Stream sind es nach den Zielwerten der Behörde rund zehn Werktage, bei einer gewöhnlichen High-Wage-Stelle können es rund 88 Werktage werden (ESDC-Zielwerte, Stand August 2026 – aktuelle Werte vor jeder Planung neu prüfen). Erst nach positiver LMIA stellt der neue Arbeitgeber dir gegenüber die Grundlage, mit der du selbst bei der Einwanderungsbehörde IRCC ein neues Work Permit beantragst (Gebühr 155 CAD, zuzüglich 85 CAD Biometrie, falls noch nicht hinterlegt).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dem US-Teil dieses Buches oder aus Berichten über den amerikanischen H-1B-Transfer eine ähnliche Regelung erwartet, geht oft davon aus, mit der bloßen Antragstellung beim neuen Arbeitgeber schon anfangen zu dürfen. Genau das gilt in Kanada in der Regel nicht: Solange du nicht schon zuvor ein gültiges, auf diesen Arbeitgeber ausgestelltes Work Permit besitzt, darfst du beim neuen Arbeitgeber erst arbeiten, wenn das neue Permit tatsächlich genehmigt ist – der bloße Eingang des Antrags reicht anders als in den USA nicht aus. Die sogenannte „aufrechterhaltene Zulassung“ (</w:t>
      </w:r>
      <w:r>
        <w:rPr>
          <w:rFonts w:eastAsia="Cambria" w:cs="Cambria"/>
          <w:b w:val="false"/>
          <w:bCs w:val="false"/>
          <w:i/>
          <w:iCs/>
          <w:sz w:val="22"/>
          <w:szCs w:val="22"/>
        </w:rPr>
        <w:t>Maintained Status</w:t>
      </w:r>
      <w:r>
        <w:rPr>
          <w:rFonts w:eastAsia="Cambria" w:cs="Cambria"/>
          <w:b w:val="false"/>
          <w:bCs w:val="false"/>
          <w:i w:val="false"/>
          <w:iCs w:val="false"/>
          <w:sz w:val="22"/>
          <w:szCs w:val="22"/>
        </w:rPr>
        <w:t xml:space="preserve">, umgangssprachlich </w:t>
      </w:r>
      <w:r>
        <w:rPr>
          <w:rFonts w:eastAsia="Cambria" w:cs="Cambria"/>
          <w:b w:val="false"/>
          <w:bCs w:val="false"/>
          <w:i/>
          <w:iCs/>
          <w:sz w:val="22"/>
          <w:szCs w:val="22"/>
        </w:rPr>
        <w:t>Implied Status</w:t>
      </w:r>
      <w:r>
        <w:rPr>
          <w:rFonts w:eastAsia="Cambria" w:cs="Cambria"/>
          <w:b w:val="false"/>
          <w:bCs w:val="false"/>
          <w:i w:val="false"/>
          <w:iCs w:val="false"/>
          <w:sz w:val="22"/>
          <w:szCs w:val="22"/>
        </w:rPr>
        <w:t>) hilft dir nur, wenn du deinen bestehenden Antrag beim selben Arbeitgeber vor Ablauf verlängerst; sie erlaubt keinen vorzeitigen Start bei einem neuen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dein neues Work Permit genehmigt ist, nicht schon bei Antragstellung. Wer vorzeitig beim neuen Arbeitgeber anfängt, arbeitet ohne gültige Erlaubnis – mit Risiko für Status und künftige Anträge, auch bei bester Absicht auf beiden 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Auswege, die den Prozess beschleunigen oder ganz überflüssig machen. Ist der neue Arbeitgeber von der LMIA-Pflicht befreit (</w:t>
      </w:r>
      <w:r>
        <w:rPr>
          <w:rFonts w:eastAsia="Cambria" w:cs="Cambria"/>
          <w:b w:val="false"/>
          <w:bCs w:val="false"/>
          <w:i/>
          <w:iCs/>
          <w:sz w:val="22"/>
          <w:szCs w:val="22"/>
        </w:rPr>
        <w:t>LMIA-exempt</w:t>
      </w:r>
      <w:r>
        <w:rPr>
          <w:rFonts w:eastAsia="Cambria" w:cs="Cambria"/>
          <w:b w:val="false"/>
          <w:bCs w:val="false"/>
          <w:i w:val="false"/>
          <w:iCs w:val="false"/>
          <w:sz w:val="22"/>
          <w:szCs w:val="22"/>
        </w:rPr>
        <w:t xml:space="preserve">, etwa bei bestimmten konzerninternen Transfers oder Handelsabkommen wie CETA für einzelne Berufsgruppen), entfällt der zeitaufwendigste Schritt, und nur das neue Work Permit selbst ist noch nötig. Hast du bereits ein PR-Verfahren über Express Entry angestoßen und wartet dein bestehendes Work Permit auf den Ablauf, kann unter bestimmten Voraussetzungen ein </w:t>
      </w:r>
      <w:r>
        <w:rPr>
          <w:rFonts w:eastAsia="Cambria" w:cs="Cambria"/>
          <w:b w:val="false"/>
          <w:bCs w:val="false"/>
          <w:i/>
          <w:iCs/>
          <w:sz w:val="22"/>
          <w:szCs w:val="22"/>
        </w:rPr>
        <w:t>Bridging Open Work Permit</w:t>
      </w:r>
      <w:r>
        <w:rPr>
          <w:rFonts w:eastAsia="Cambria" w:cs="Cambria"/>
          <w:b w:val="false"/>
          <w:bCs w:val="false"/>
          <w:i w:val="false"/>
          <w:iCs w:val="false"/>
          <w:sz w:val="22"/>
          <w:szCs w:val="22"/>
        </w:rPr>
        <w:t xml:space="preserve"> (Überbrückungs-Arbeitsvisum ohne Arbeitgeberbindung) greifen, mit dem du bis zur endgültigen Entscheidung für praktisch jeden Arbeitgeber arbeiten darfst. Und wer in einem eindeutig missbräuchlichen Arbeitsverhältnis steckt, kann bei IRCC ein offenes Arbeitsvisum für gefährdete Arbeitnehmer (</w:t>
      </w:r>
      <w:r>
        <w:rPr>
          <w:rFonts w:eastAsia="Cambria" w:cs="Cambria"/>
          <w:b w:val="false"/>
          <w:bCs w:val="false"/>
          <w:i/>
          <w:iCs/>
          <w:sz w:val="22"/>
          <w:szCs w:val="22"/>
        </w:rPr>
        <w:t>Open Work Permit for Vulnerable Workers</w:t>
      </w:r>
      <w:r>
        <w:rPr>
          <w:rFonts w:eastAsia="Cambria" w:cs="Cambria"/>
          <w:b w:val="false"/>
          <w:bCs w:val="false"/>
          <w:i w:val="false"/>
          <w:iCs w:val="false"/>
          <w:sz w:val="22"/>
          <w:szCs w:val="22"/>
        </w:rPr>
        <w:t>) beantragen, um den Arbeitgeber sofort verlassen zu können, ohne erst eine neue LMIA des nächsten Arbeitgebers abzuwarten.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Deutlich einfacher haben es Inhaber eines offenen Arbeitsvisums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 etwa nach einem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arbeitet seit gut zwei Jahren mit seinem LMIA-pflichtigen Work Permit als Ölingenieur in Calgary, als ihm ein Wettbewerber ein spürbar besseres Angebot macht. Aus Gewohnheit will er kündigen, sobald der neue Vertrag unterschrieben ist – bis ihn eine Kollegin warnt, das sei in Kanada anders als in Deutschland oder den USA. Der neue Arbeitgeber beantragt zunächst eine LMIA im High-Wage-Stream; die Bearbeitung zieht sich über elf Wochen. Erst danach reicht Lukas sein neues Work Permit ein, wartet weitere Wochen auf die Genehmigung und kündigt seinen bisherigen Job erst, als die Bestätigung in seinem IRCC-Konto erscheint. Zwischen erstem Angebot und erstem Arbeitstag beim neuen Arbeitgeber liegen gut vier Monate – Zeit, die er einplant, statt sich zu ärgern.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Kündigungen ohne Grund sind möglich, aber immer mit Frist oder Ausgleich verbunden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deutsches Kündigungsschutzgesetz; die gesetzliche Mindestfrist ist oft kurz</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Höflicher, konfliktarmer Umgangston im Team</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 wird schnell als unhöflich empfunden, Feedback bleibt vage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Permanente Aufenthaltserlaubnis (wie bei Familie Ahrens) macht von Anfang an frei bei der Arbeitgeberwahl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Work Permit bindet dich fest an einen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Arbeitsvisa (PGWP, Ehepartner) erlauben Wechsel ohne neuen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mit LMIA-pflichtigem Visum kann Monate dauern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Jobbörsen und Ankommensorganisationen unterstützen die Jobsuche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Urlaubsminimum von zwei Wochen liegt deutlich unter deutschem Niveau</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dem gesetzlichen Minimum der zuständigen Provinz verglichen (Urlaub, Kündigungsfrist, Krankheitstage).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eine Kündigungsklausel im Vertrag auf das gesetzliche Minimum begrenzt oder unklar formuliert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geprüft: arbeitgebergebundenes (LMIA-pflichtiges) oder offenes Work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LMIA-Bearbeitungszeit des passenden Streams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das neue Work Permit tatsächlich genehmigt ist, nicht schon bei Antragstellung.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neue Arbeitgeber LMIA-befreit ist oder ein Bridging Open Work Permit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LinkedIn-Profil und Resume auf kanadisches Format gebracht, Cover Letter vorbereitet.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Angebote von Job Bank und lokalen Ankommensorganisationen genutzt.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and Social Development Canada (ESDC) – LMIA-Prozess und Bearbeitungszeiten: </w:t>
      </w:r>
      <w:hyperlink r:id="rId625">
        <w:r>
          <w:rPr>
            <w:rStyle w:val="ListLabel113"/>
            <w:rFonts w:eastAsia="Cambria" w:cs="Cambria"/>
            <w:b w:val="false"/>
            <w:bCs w:val="false"/>
            <w:i w:val="false"/>
            <w:iCs w:val="false"/>
            <w:color w:val="0563C1"/>
            <w:sz w:val="22"/>
            <w:szCs w:val="22"/>
            <w:u w:val="single"/>
          </w:rPr>
          <w:t>canada.ca/en/employment-social-development/services/foreign-workers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Refugees and Citizenship Canada (IRCC) – Work Permit, Arbeitgeberwechsel, Bridging Open Work Permit: </w:t>
      </w:r>
      <w:hyperlink r:id="rId626">
        <w:r>
          <w:rPr>
            <w:rStyle w:val="ListLabel113"/>
            <w:rFonts w:eastAsia="Cambria" w:cs="Cambria"/>
            <w:b w:val="false"/>
            <w:bCs w:val="false"/>
            <w:i w:val="false"/>
            <w:iCs w:val="false"/>
            <w:color w:val="0563C1"/>
            <w:sz w:val="22"/>
            <w:szCs w:val="22"/>
            <w:u w:val="single"/>
          </w:rPr>
          <w:t>canada.ca/en/immigration-refugees-citizenship/services/work-canada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Offenes Arbeitsvisum für gefährdete Arbeitnehmer: </w:t>
      </w:r>
      <w:hyperlink r:id="rId627">
        <w:r>
          <w:rPr>
            <w:rStyle w:val="ListLabel113"/>
            <w:rFonts w:eastAsia="Cambria" w:cs="Cambria"/>
            <w:b w:val="false"/>
            <w:bCs w:val="false"/>
            <w:i w:val="false"/>
            <w:iCs w:val="false"/>
            <w:color w:val="0563C1"/>
            <w:sz w:val="22"/>
            <w:szCs w:val="22"/>
            <w:u w:val="single"/>
          </w:rPr>
          <w:t>canada.ca/en/immigration-refugees-citizenship/services/work-canada/permit/temporary/vulnerable-workers.html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Job Bank (ESDC) – Stellensuche, Lebenslauf-Hilfe, Lohnvergleiche: </w:t>
      </w:r>
      <w:hyperlink r:id="rId628">
        <w:r>
          <w:rPr>
            <w:rStyle w:val="ListLabel113"/>
            <w:rFonts w:eastAsia="Cambria" w:cs="Cambria"/>
            <w:b w:val="false"/>
            <w:bCs w:val="false"/>
            <w:i w:val="false"/>
            <w:iCs w:val="false"/>
            <w:color w:val="0563C1"/>
            <w:sz w:val="22"/>
            <w:szCs w:val="22"/>
            <w:u w:val="single"/>
          </w:rPr>
          <w:t>jobbank.gc.ca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Employment Standards Act, Kündigungsfristen und Urlaub: </w:t>
      </w:r>
      <w:hyperlink r:id="rId629">
        <w:r>
          <w:rPr>
            <w:rStyle w:val="ListLabel113"/>
            <w:rFonts w:eastAsia="Cambria" w:cs="Cambria"/>
            <w:b w:val="false"/>
            <w:bCs w:val="false"/>
            <w:i w:val="false"/>
            <w:iCs w:val="false"/>
            <w:color w:val="0563C1"/>
            <w:sz w:val="22"/>
            <w:szCs w:val="22"/>
            <w:u w:val="single"/>
          </w:rPr>
          <w:t>ontario.ca/document/your-guide-employment-standards-act-0</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Alberta – Employment Standards Code: </w:t>
      </w:r>
      <w:hyperlink r:id="rId630">
        <w:r>
          <w:rPr>
            <w:rStyle w:val="ListLabel113"/>
            <w:rFonts w:eastAsia="Cambria" w:cs="Cambria"/>
            <w:b w:val="false"/>
            <w:bCs w:val="false"/>
            <w:i w:val="false"/>
            <w:iCs w:val="false"/>
            <w:color w:val="0563C1"/>
            <w:sz w:val="22"/>
            <w:szCs w:val="22"/>
            <w:u w:val="single"/>
          </w:rPr>
          <w:t>alberta.ca/employment-standards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5" w:name="__RefHeading___Toc56594_3457424410"/>
      <w:bookmarkStart w:id="166" w:name="tka15"/>
      <w:bookmarkEnd w:id="165"/>
      <w:r>
        <w:rPr>
          <w:rFonts w:eastAsia="Amazon Ember" w:cs="Amazon Ember" w:ascii="Amazon Ember" w:hAnsi="Amazon Ember"/>
          <w:b/>
          <w:bCs/>
          <w:color w:val="0000FF"/>
          <w:sz w:val="36"/>
          <w:szCs w:val="36"/>
        </w:rPr>
        <w:t>Kanada: Recht, Sicherheit und Polizeikontakt</w:t>
      </w:r>
      <w:bookmarkEnd w:id="1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ist auf dem Highway nördlich von Calgary unterwegs zu einer Förderanlage, als im Rückspiegel die rot-weiße Lichterreihe eines Streifenwagens der </w:t>
      </w:r>
      <w:r>
        <w:rPr>
          <w:rFonts w:eastAsia="Cambria" w:cs="Cambria"/>
          <w:b w:val="false"/>
          <w:bCs w:val="false"/>
          <w:i/>
          <w:iCs/>
          <w:sz w:val="22"/>
          <w:szCs w:val="22"/>
        </w:rPr>
        <w:t>Royal Canadian Mounted Police</w:t>
      </w:r>
      <w:r>
        <w:rPr>
          <w:rFonts w:eastAsia="Cambria" w:cs="Cambria"/>
          <w:b w:val="false"/>
          <w:bCs w:val="false"/>
          <w:i w:val="false"/>
          <w:iCs w:val="false"/>
          <w:sz w:val="22"/>
          <w:szCs w:val="22"/>
        </w:rPr>
        <w:t xml:space="preserve"> (RCMP, die kanadische Bundespolizei) auftaucht. Er fährt rechts ran, wie er es aus Deutschland gewohnt ist – und wartet dann, reglos, die Hände am Lenkrad, bis der Beamte ans Fenster tritt. Der Themenwechsel von der Autobahnkontrolle zu Hause zur formelleren kanadischen Variante ist klein, aber er zeigt gut, worum es in diesem Kapitel geht: Kanada ist beim Alltagsrecht nicht die USA und nicht Deutschland, sondern sein eigenes, drittes System – höflicher formuliert als beides, aber keineswegs beliebig.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hat kein einheitliches Polizeisystem: Bundespolizei RCMP, eigenständige Provinzpolizeien in Ontario und Québec sowie viele städtische Polizeien arbeiten nebeneinander.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einer Verkehrskontrolle bleibst du im Auto, hältst die Hände sichtbar und kündigst jede Bewegung vorher an; Name und Dienstnummer des Beamten darfst du erfragen.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ist deutlich reguliert: Handfeuerwaffen-Neuerwerb ist seit 2022 eingefroren, ein laufendes Rückkaufprogramm für „Assault-Style“-Waffen läuft 2026 mit Amnestiefrist bis 30. Oktober.</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ist bundesweit legal seit 2018 – ein grundlegender Unterschied zu den USA, wo es bundesrechtlich weiterhin verboten bleibt; an der Grenze zu den USA darfst du trotzdem keinen Krümel mitnehmen.</w:t>
            </w:r>
          </w:p>
          <w:p>
            <w:pPr>
              <w:pStyle w:val="ListParagraph"/>
              <w:numPr>
                <w:ilvl w:val="0"/>
                <w:numId w:val="1"/>
              </w:numPr>
              <w:spacing w:lineRule="exact" w:line="264" w:before="0" w:after="50"/>
              <w:rPr/>
            </w:pPr>
            <w:r>
              <w:rPr>
                <w:rFonts w:eastAsia="Cambria" w:cs="Cambria"/>
                <w:b w:val="false"/>
                <w:bCs w:val="false"/>
                <w:i w:val="false"/>
                <w:iCs w:val="false"/>
                <w:sz w:val="20"/>
                <w:szCs w:val="20"/>
              </w:rPr>
              <w:t>Waldbrände im Westen und Winterstürme im Osten verlangen eigene Vorsorge: Warn-Apps, Notvorrat und die richtige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mit Ausnahme von Québec, das für Zivilsachen ein eigenes, am französischen Recht orientiertes Zivilgesetzbuch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hat. Strafrecht dagegen ist bundesweit einheitlich im </w:t>
      </w:r>
      <w:r>
        <w:rPr>
          <w:rFonts w:eastAsia="Cambria" w:cs="Cambria"/>
          <w:b w:val="false"/>
          <w:bCs w:val="false"/>
          <w:i/>
          <w:iCs/>
          <w:sz w:val="22"/>
          <w:szCs w:val="22"/>
        </w:rPr>
        <w:t>Criminal Code</w:t>
      </w:r>
      <w:r>
        <w:rPr>
          <w:rFonts w:eastAsia="Cambria" w:cs="Cambria"/>
          <w:b w:val="false"/>
          <w:bCs w:val="false"/>
          <w:i w:val="false"/>
          <w:iCs w:val="false"/>
          <w:sz w:val="22"/>
          <w:szCs w:val="22"/>
        </w:rPr>
        <w:t xml:space="preserve"> geregelt – anders als in den USA, wo jeder Bundesstaat sein eigenes Strafgesetz hat. Was sich zwischen den Provinzen unterscheidet, ist vor allem die Umsetzung: Verkehrsrecht, Polizeiorganisation und viele Ordnungsvorschriften sind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Polizei arbeitet dabei mehrschichtig. Die RCMP ist Bundespolizei und übernimmt zugleich in den meisten Provinzen (außer Ontario und Québec, die eigene Provinzpolizeien betreiben, </w:t>
      </w:r>
      <w:r>
        <w:rPr>
          <w:rFonts w:eastAsia="Cambria" w:cs="Cambria"/>
          <w:b w:val="false"/>
          <w:bCs w:val="false"/>
          <w:i/>
          <w:iCs/>
          <w:sz w:val="22"/>
          <w:szCs w:val="22"/>
        </w:rPr>
        <w:t>Ontario Provincial Police</w:t>
      </w:r>
      <w:r>
        <w:rPr>
          <w:rFonts w:eastAsia="Cambria" w:cs="Cambria"/>
          <w:b w:val="false"/>
          <w:bCs w:val="false"/>
          <w:i w:val="false"/>
          <w:iCs w:val="false"/>
          <w:sz w:val="22"/>
          <w:szCs w:val="22"/>
        </w:rPr>
        <w:t xml:space="preserve"> und </w:t>
      </w:r>
      <w:r>
        <w:rPr>
          <w:rFonts w:eastAsia="Cambria" w:cs="Cambria"/>
          <w:b w:val="false"/>
          <w:bCs w:val="false"/>
          <w:i/>
          <w:iCs/>
          <w:sz w:val="22"/>
          <w:szCs w:val="22"/>
        </w:rPr>
        <w:t>Sûreté du Québec</w:t>
      </w:r>
      <w:r>
        <w:rPr>
          <w:rFonts w:eastAsia="Cambria" w:cs="Cambria"/>
          <w:b w:val="false"/>
          <w:bCs w:val="false"/>
          <w:i w:val="false"/>
          <w:iCs w:val="false"/>
          <w:sz w:val="22"/>
          <w:szCs w:val="22"/>
        </w:rPr>
        <w:t>) im Auftrag auch die alltägliche Provinz- und oft Kommunalpolizei. Größere Städte wie Toronto, Vancouver oder Calgary haben zusätzlich eigene städtische Polizeibehörden. Für dich als Neuankömmling bedeutet das: Wer genau vor dir steht – RCMP, Provinzpolizei oder Stadtpolizei –, hängt vom Ort ab, die Grundregeln im Umgang bleiben aber gleich.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bei einer Verkehrskontrolle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 das klärst du später, notfalls vor Gericht, nicht an der Autotür.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Grundrechtecharta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 „I do not consent to a search“ –, ohne dich körperlich zu widersetzen; ob die Ablehnung im Ergebnis Bestand hat, klärt im Zweifel ein Gericht.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glauben, das Schweigerecht gelte automatisch, sobald man einfach aufhört zu reden. Sinnvoller ist es, es aktiv auszusprechen und dann tatsächlich zu schweigen, bis ein Anwalt anwesend ist. Bei einer Festnahme hast du zusätzlich als deutscher Staatsangehöriger das Recht, mit einem Konsularbeamten zu sprechen – verlange das ausdrücklich, es wird nicht überall automatisch angeboten.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Bei einer Festnahme</w:t>
      </w:r>
      <w:r>
        <w:rPr>
          <w:rFonts w:eastAsia="Cambria" w:cs="Cambria"/>
          <w:b w:val="false"/>
          <w:bCs w:val="false"/>
          <w:i w:val="false"/>
          <w:iCs w:val="false"/>
          <w:sz w:val="22"/>
          <w:szCs w:val="22"/>
        </w:rPr>
        <w:t xml:space="preserve"> gilt: Leiste keinen Widerstand, das hält die Lage kontrollierbar. Sage nur Namen, Adresse und den Wunsch nach einem Anwalt; im Strafverfahren steht dir bei Bedürftigkeit in jeder Provinz eine Form von Pflichtverteidigung zu (</w:t>
      </w:r>
      <w:r>
        <w:rPr>
          <w:rFonts w:eastAsia="Cambria" w:cs="Cambria"/>
          <w:b w:val="false"/>
          <w:bCs w:val="false"/>
          <w:i/>
          <w:iCs/>
          <w:sz w:val="22"/>
          <w:szCs w:val="22"/>
        </w:rPr>
        <w:t>Legal Aid</w:t>
      </w:r>
      <w:r>
        <w:rPr>
          <w:rFonts w:eastAsia="Cambria" w:cs="Cambria"/>
          <w:b w:val="false"/>
          <w:bCs w:val="false"/>
          <w:i w:val="false"/>
          <w:iCs w:val="false"/>
          <w:sz w:val="22"/>
          <w:szCs w:val="22"/>
        </w:rPr>
        <w:t>, Organisation und Kosten unterscheiden sich je Provinz).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in den meisten Fällen frei, die genauen Bedingungen setzt ein Richter oder Friedensrichter fest. Für Nichtstaatsbürger kommt eine zweite Ebene hinzu: Bestimmte Verurteilungen können den Aufenthaltsstatus gefährden, bis hin zur Ausweisung (</w:t>
      </w:r>
      <w:r>
        <w:rPr>
          <w:rFonts w:eastAsia="Cambria" w:cs="Cambria"/>
          <w:b w:val="false"/>
          <w:bCs w:val="false"/>
          <w:i/>
          <w:iCs/>
          <w:sz w:val="22"/>
          <w:szCs w:val="22"/>
        </w:rPr>
        <w:t>Removal</w:t>
      </w:r>
      <w:r>
        <w:rPr>
          <w:rFonts w:eastAsia="Cambria" w:cs="Cambria"/>
          <w:b w:val="false"/>
          <w:bCs w:val="false"/>
          <w:i w:val="false"/>
          <w:iCs w:val="false"/>
          <w:sz w:val="22"/>
          <w:szCs w:val="22"/>
        </w:rPr>
        <w:t>) durch die Einwanderungsbehörde. Sag deinem Verteidiger deshalb als Erstes, dass du kein kanadischer Staatsbürger bist, damit er diese Folgen von Anfang an mitdenkt.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drei Klassen und das laufende Rückkaufprogramm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Kanadisches Waffenrecht kennt drei gesetzliche Kategorien: </w:t>
      </w:r>
      <w:r>
        <w:rPr>
          <w:rFonts w:eastAsia="Cambria" w:cs="Cambria"/>
          <w:b w:val="false"/>
          <w:bCs w:val="false"/>
          <w:i/>
          <w:iCs/>
          <w:sz w:val="22"/>
          <w:szCs w:val="22"/>
        </w:rPr>
        <w:t>Non-Restricted</w:t>
      </w:r>
      <w:r>
        <w:rPr>
          <w:rFonts w:eastAsia="Cambria" w:cs="Cambria"/>
          <w:b w:val="false"/>
          <w:bCs w:val="false"/>
          <w:i w:val="false"/>
          <w:iCs w:val="false"/>
          <w:sz w:val="22"/>
          <w:szCs w:val="22"/>
        </w:rPr>
        <w:t xml:space="preserve"> (die meisten Jagd- und Sportgewehre sowie Schrotflinten), </w:t>
      </w:r>
      <w:r>
        <w:rPr>
          <w:rFonts w:eastAsia="Cambria" w:cs="Cambria"/>
          <w:b w:val="false"/>
          <w:bCs w:val="false"/>
          <w:i/>
          <w:iCs/>
          <w:sz w:val="22"/>
          <w:szCs w:val="22"/>
        </w:rPr>
        <w:t>Restricted</w:t>
      </w:r>
      <w:r>
        <w:rPr>
          <w:rFonts w:eastAsia="Cambria" w:cs="Cambria"/>
          <w:b w:val="false"/>
          <w:bCs w:val="false"/>
          <w:i w:val="false"/>
          <w:iCs w:val="false"/>
          <w:sz w:val="22"/>
          <w:szCs w:val="22"/>
        </w:rPr>
        <w:t xml:space="preserve"> (bestimmte Faustfeuerwaffen und kurzläufige halbautomatische Gewehre) und </w:t>
      </w:r>
      <w:r>
        <w:rPr>
          <w:rFonts w:eastAsia="Cambria" w:cs="Cambria"/>
          <w:b w:val="false"/>
          <w:bCs w:val="false"/>
          <w:i/>
          <w:iCs/>
          <w:sz w:val="22"/>
          <w:szCs w:val="22"/>
        </w:rPr>
        <w:t>Prohibited</w:t>
      </w:r>
      <w:r>
        <w:rPr>
          <w:rFonts w:eastAsia="Cambria" w:cs="Cambria"/>
          <w:b w:val="false"/>
          <w:bCs w:val="false"/>
          <w:i w:val="false"/>
          <w:iCs w:val="false"/>
          <w:sz w:val="22"/>
          <w:szCs w:val="22"/>
        </w:rPr>
        <w:t xml:space="preserve"> (Vollautomaten sowie mehr als 2.500 seit 2020 schrittweise verbotene „Assault-Style“-Modelle). Für Non-Restricted-Waffen brauchst du eine </w:t>
      </w:r>
      <w:r>
        <w:rPr>
          <w:rFonts w:eastAsia="Cambria" w:cs="Cambria"/>
          <w:b w:val="false"/>
          <w:bCs w:val="false"/>
          <w:i/>
          <w:iCs/>
          <w:sz w:val="22"/>
          <w:szCs w:val="22"/>
        </w:rPr>
        <w:t>Possession and Acquisition Licence</w:t>
      </w:r>
      <w:r>
        <w:rPr>
          <w:rFonts w:eastAsia="Cambria" w:cs="Cambria"/>
          <w:b w:val="false"/>
          <w:bCs w:val="false"/>
          <w:i w:val="false"/>
          <w:iCs w:val="false"/>
          <w:sz w:val="22"/>
          <w:szCs w:val="22"/>
        </w:rPr>
        <w:t xml:space="preserve"> (PAL, Besitz- und Erwerbserlaubnis) – Mindestalter 18 Jahre, ein Sicherheitskurs und eine behördliche Sicherheitsüberprüfung sind Pflicht. Für Restricted-Waffen kommt eine zusätzliche, strengere Lizenz mit eigenem Kurs hinzu.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w:t>
      </w:r>
      <w:r>
        <w:rPr>
          <w:rFonts w:eastAsia="Cambria" w:cs="Cambria"/>
          <w:b w:val="false"/>
          <w:bCs w:val="false"/>
          <w:i/>
          <w:iCs/>
          <w:sz w:val="22"/>
          <w:szCs w:val="22"/>
        </w:rPr>
        <w:t>Assault-Style Firearms Compensation Program</w:t>
      </w:r>
      <w:r>
        <w:rPr>
          <w:rFonts w:eastAsia="Cambria" w:cs="Cambria"/>
          <w:b w:val="false"/>
          <w:bCs w:val="false"/>
          <w:i w:val="false"/>
          <w:iCs w:val="false"/>
          <w:sz w:val="22"/>
          <w:szCs w:val="22"/>
        </w:rPr>
        <w:t>,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bedeutet das in der Praxis meist wenig Berührung mit dem Thema: Waffenbesitz ist grundsätzlich möglich, aber mit Lizenz, Kurs und Sicherheitsprüfung verbunden –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legal in Kanada, illegal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den viele deutsche Auswanderer unterschätzen: Cannabis ist in Kanada seit dem </w:t>
      </w:r>
      <w:r>
        <w:rPr>
          <w:rFonts w:eastAsia="Cambria" w:cs="Cambria"/>
          <w:b w:val="false"/>
          <w:bCs w:val="false"/>
          <w:i/>
          <w:iCs/>
          <w:sz w:val="22"/>
          <w:szCs w:val="22"/>
        </w:rPr>
        <w:t>Cannabis Act</w:t>
      </w:r>
      <w:r>
        <w:rPr>
          <w:rFonts w:eastAsia="Cambria" w:cs="Cambria"/>
          <w:b w:val="false"/>
          <w:bCs w:val="false"/>
          <w:i w:val="false"/>
          <w:iCs w:val="false"/>
          <w:sz w:val="22"/>
          <w:szCs w:val="22"/>
        </w:rPr>
        <w:t xml:space="preserve">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mit dem Cannabisgesetz vom 1. April 2024 einen eigenen, vorsichtigeren Schritt gemacht: Besitz begrenzter Mengen und Eigenanbau von bis zu drei Pflanzen sind seither erlaubt, ein regulierter Verkauf wie in Kanada existiert bislang nicht. Wer mit deutschem Maßstab nach Kanada kommt, findet dort also ein deutlich offeneres, seit acht Jahren etabliertes System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 ist ein Bundesdelikt und kann selbst bei kleinsten Mengen zu jahrelangen Einreiseverboten führen. Lass beim Grenzübertritt jede Spur von Cannabis, auch CBD-Produkte, zu Hause.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Legal ist zudem nicht gleichbedeutend mit folgenlos. Seit der Reform des Strafgesetzbuchs von 2018 gilt Fahren mit Cannabis im Blut als eigenständige Straftat, unabhängig von einer tatsächlichen Fahruntüchtigkeit: Bereits ab einem THC-Grenzwert von 2 Nanogramm pro Milliliter Blut drohen Bußgeld und Punkte, ab 5 Nanogramm sowie bei einer Kombination mit Alkohol wird es zum ernsteren Straftatbestand mit Führerscheinentzug und möglicher Haftstrafe. Ein ärztliches Rezept für medizinisches Cannabis ändert daran nichts – der Test misst die Substanz im Blut, nicht die Verschreibung. Arbeitgeber in sicherheitskritischen Branchen, etwa in der Ölförderung, in der Lukas Berger arbeitet, testen außerdem regelmäßig auf Drogen- und Alkoholkonsum; das ist arbeitsrechtlich zulässig und in der Ressourcenindustrie eher Regel als Ausnahme.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und die Wahl des Wohnorts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Betrug gegenüber Neuankömmlingen kommt vor, meist in vertrauten Mustern: angebliche Steuerbehörden-Anrufe (die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Waldbrände im Westen, Winterstürme im 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 Naturgefahr für dich am wichtigsten ist, hängt stark vom Wohnort ab. British Columbia und Alberta – also auch Calgary, wo Lukas Berger lebt – liegen mitten in der Waldbrandzone: Die Saison reicht meist von Mai bis September, mit Rauch, der ganze Städte tagelang einhüllen kann, und gelegentlichen Evakuierungsanordnungen. Im bisherigen Rekordjahr 2023 brannte nach Angaben kanadischer Waldbrandbehörden eine Fläche von rund 18 Millionen Hektar – mehr als doppelt so viel wie im bisherigen Höchststand –, mit Evakuierungen unter anderem in der Stadt Yellowknife in den Nordwest-Territorien. Das ist kein jährliches Regelereignis, zeigt aber die Größenordnung, die ein Extremjahr erreichen kann. Warnungen zu Waldbränden und Luftqualität kommen über die jeweilige Provinzbehörde (in Alberta etwa Alberta Wildfire) und über das nationale Warnsystem </w:t>
      </w:r>
      <w:r>
        <w:rPr>
          <w:rFonts w:eastAsia="Cambria" w:cs="Cambria"/>
          <w:b w:val="false"/>
          <w:bCs w:val="false"/>
          <w:i/>
          <w:iCs/>
          <w:sz w:val="22"/>
          <w:szCs w:val="22"/>
        </w:rPr>
        <w:t>Alert Ready</w:t>
      </w:r>
      <w:r>
        <w:rPr>
          <w:rFonts w:eastAsia="Cambria" w:cs="Cambria"/>
          <w:b w:val="false"/>
          <w:bCs w:val="false"/>
          <w:i w:val="false"/>
          <w:iCs w:val="false"/>
          <w:sz w:val="22"/>
          <w:szCs w:val="22"/>
        </w:rPr>
        <w:t>, das Warnmeldungen automatisch auf Handys, Radio und Fernsehen ausspielt, ähnlich dem Cell Broadcast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Osten – etwa in Toronto, wo Familie Ahrens lebt – prägt dagegen der Winter das Naturgefahrenbild: Schneestürme (</w:t>
      </w:r>
      <w:r>
        <w:rPr>
          <w:rFonts w:eastAsia="Cambria" w:cs="Cambria"/>
          <w:b w:val="false"/>
          <w:bCs w:val="false"/>
          <w:i/>
          <w:iCs/>
          <w:sz w:val="22"/>
          <w:szCs w:val="22"/>
        </w:rPr>
        <w:t>Blizzards</w:t>
      </w:r>
      <w:r>
        <w:rPr>
          <w:rFonts w:eastAsia="Cambria" w:cs="Cambria"/>
          <w:b w:val="false"/>
          <w:bCs w:val="false"/>
          <w:i w:val="false"/>
          <w:iCs w:val="false"/>
          <w:sz w:val="22"/>
          <w:szCs w:val="22"/>
        </w:rPr>
        <w:t xml:space="preserve">), gelegentliche Eisstürme mit tagelangen Stromausfällen und Kälteperioden mit zweistelligen Minusgraden. Der Wetterdienst </w:t>
      </w:r>
      <w:r>
        <w:rPr>
          <w:rFonts w:eastAsia="Cambria" w:cs="Cambria"/>
          <w:b w:val="false"/>
          <w:bCs w:val="false"/>
          <w:i/>
          <w:iCs/>
          <w:sz w:val="22"/>
          <w:szCs w:val="22"/>
        </w:rPr>
        <w:t>Environment and Climate Change Canada</w:t>
      </w:r>
      <w:r>
        <w:rPr>
          <w:rFonts w:eastAsia="Cambria" w:cs="Cambria"/>
          <w:b w:val="false"/>
          <w:bCs w:val="false"/>
          <w:i w:val="false"/>
          <w:iCs w:val="false"/>
          <w:sz w:val="22"/>
          <w:szCs w:val="22"/>
        </w:rPr>
        <w:t xml:space="preserve"> warnt bei extremer Kälte mit einer </w:t>
      </w:r>
      <w:r>
        <w:rPr>
          <w:rFonts w:eastAsia="Cambria" w:cs="Cambria"/>
          <w:b w:val="false"/>
          <w:bCs w:val="false"/>
          <w:i/>
          <w:iCs/>
          <w:sz w:val="22"/>
          <w:szCs w:val="22"/>
        </w:rPr>
        <w:t>Extreme Cold Warning</w:t>
      </w:r>
      <w:r>
        <w:rPr>
          <w:rFonts w:eastAsia="Cambria" w:cs="Cambria"/>
          <w:b w:val="false"/>
          <w:bCs w:val="false"/>
          <w:i w:val="false"/>
          <w:iCs w:val="false"/>
          <w:sz w:val="22"/>
          <w:szCs w:val="22"/>
        </w:rPr>
        <w:t>, die den gefühlten Windchill-Wert einbezieht; schon kurze Zeit im Freien kann dann zu Erfrierungen führen. Ein Winter-Notfallset im Auto – Decke, kleine Schaufel, Streusalz oder Katzenstreu für griffigere Reifen, Starthilfekabel, warme Kleidung – ist in weiten Teilen Kanadas so selbstverständlich wie der Eiskratzer in Deutschland, nur mit höherem Einsatz.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Regionen bringen eigene Risiken mit, die sich grob nach Landesteil einordnen lassen:</w:t>
      </w:r>
    </w:p>
    <w:tbl>
      <w:tblPr>
        <w:tblW w:w="6480" w:type="dxa"/>
        <w:jc w:val="left"/>
        <w:tblInd w:w="0" w:type="dxa"/>
        <w:tblLayout w:type="fixed"/>
        <w:tblCellMar>
          <w:top w:w="50" w:type="dxa"/>
          <w:left w:w="80" w:type="dxa"/>
          <w:bottom w:w="50" w:type="dxa"/>
          <w:right w:w="80" w:type="dxa"/>
        </w:tblCellMar>
      </w:tblPr>
      <w:tblGrid>
        <w:gridCol w:w="3319"/>
        <w:gridCol w:w="3160"/>
      </w:tblGrid>
      <w:tr>
        <w:trPr>
          <w:tblHeader w:val="true"/>
          <w:cantSplit w:val="true"/>
        </w:trPr>
        <w:tc>
          <w:tcPr>
            <w:tcW w:w="33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Alberta (Calgary)</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Waldbrände Mai bis September, Rauchbelastung, gelegentliche Erdbebengefahr an der Pazifikküste</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Prairies (Saskatchewan, Teile Albertas und Manitobas)</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im Frühsommer, schwere Gewitter mit Hagel</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Québec (Toronto, Montreal)</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Schneestürme, Eisstürme, Extremkälte im Winter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Atlantikprovinzen (Nova Scotia, New Brunswick u. a.)</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Ausläufer tropischer Wirbelstürme im Spätsommer und Herbst, Sturmfluten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Deutschland gewohnten Vorstellung von einem gleichmäßig gemäßigten Klima.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erlebt im ersten Winter in Toronto einen mehrtägigen Kälteeinbruch mit Windchill-Werten deutlich unter minus 20 Grad. Julia Ahrens hatte die Warnung der Stadt auf dem Handy zunächst weggewischt, „das wird schon nicht so schlimm“, bis eine Nachbarin erklärt, dass die Schule bei solchen Werten die Pausen nach draußen streicht und Finn und Mia in dicken Mänteln trotzdem nur kurz vor die Tür sollen. Von da an liegen Handschuhe, Mützen und eine Packung Streusalz griffbereit am Wohnungseingang, und die Familie prüft die Wetterwarnung morgens so selbstverständlich wie früher den Wetterbericht im Radio.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zusätzlich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Strafrecht im ganzen Land, anders als in den 50 US-Bundesstaaten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Polizeiorganisation bleibt ein Flickenteppich aus RCMP, Provinz- und Stadtpolizei</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Formellerer, distanzierterer Kontrollton als mancher informelle deutsche Alltag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und Fristen sind 2026 noch in Bewegung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ist bundesweit legal und reguliert, anders als in den USA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Grenzübertritt in die USA mit Cannabis bleibt ein Bundesdelikt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Warnsysteme (Alert Ready) für Waldbrand, Sturm und Kälte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 und Winterrisiko sind für viele Regionen real, nicht nur theoretisch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beginnt. Cannabis meidest du am besten komplett, sobald eine Reise in die USA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einer Verkehrskontrolle mit der Familie einmal durchgesprochen: Hände sichtbar, Bewegungen ankündigen, ruhig bleiben.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für die meisten Neuankömmlinge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Cannabis-Grenzen der eigenen Provinz nachgeschlagen und Cannabis vor jeder Reise in die USA konsequent zu Hause 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Provinzbehörde und Alert Ready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Winter-Notfallset fürs Auto zusammengestellt, wenn der Wohnort das nahelegt.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Hausrat- oder Gebäudeversicherung auf Überflutungs- und Rückstauschutz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Newcomers Guide, Verhalten bei Polizeikontakt: </w:t>
      </w:r>
      <w:hyperlink r:id="rId631">
        <w:r>
          <w:rPr>
            <w:rStyle w:val="ListLabel113"/>
            <w:rFonts w:eastAsia="Cambria" w:cs="Cambria"/>
            <w:b w:val="false"/>
            <w:bCs w:val="false"/>
            <w:i w:val="false"/>
            <w:iCs w:val="false"/>
            <w:color w:val="0563C1"/>
            <w:sz w:val="22"/>
            <w:szCs w:val="22"/>
            <w:u w:val="single"/>
          </w:rPr>
          <w:t>rcmp.ca/en/bc/corporate-information/newcomers-guide/interactions-police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Waffenrecht und Lizenzierung: </w:t>
      </w:r>
      <w:hyperlink r:id="rId632">
        <w:r>
          <w:rPr>
            <w:rStyle w:val="ListLabel113"/>
            <w:rFonts w:eastAsia="Cambria" w:cs="Cambria"/>
            <w:b w:val="false"/>
            <w:bCs w:val="false"/>
            <w:i w:val="false"/>
            <w:iCs w:val="false"/>
            <w:color w:val="0563C1"/>
            <w:sz w:val="22"/>
            <w:szCs w:val="22"/>
            <w:u w:val="single"/>
          </w:rPr>
          <w:t>rcmp.ca/en/firearms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Kanadische Regierung – Rückkaufprogramm für Waffen (Suchbegriff Assault-Style Firearms Compensation Program): </w:t>
      </w:r>
      <w:hyperlink r:id="rId633">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Health Canada – Cannabis Act, Regeln zu Besitz und Anbau: </w:t>
      </w:r>
      <w:hyperlink r:id="rId634">
        <w:r>
          <w:rPr>
            <w:rStyle w:val="ListLabel113"/>
            <w:rFonts w:eastAsia="Cambria" w:cs="Cambria"/>
            <w:b w:val="false"/>
            <w:bCs w:val="false"/>
            <w:i w:val="false"/>
            <w:iCs w:val="false"/>
            <w:color w:val="0563C1"/>
            <w:sz w:val="22"/>
            <w:szCs w:val="22"/>
            <w:u w:val="single"/>
          </w:rPr>
          <w:t>canada.ca/en/health-canada/services/drugs-medication/cannabis.html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Einfuhrbestimmungen für Cannabis (Suchbegriff CBSA cannabis travellers): </w:t>
      </w:r>
      <w:hyperlink r:id="rId635">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Alert Ready – nationales Warnsystem: </w:t>
      </w:r>
      <w:hyperlink r:id="rId636">
        <w:r>
          <w:rPr>
            <w:rStyle w:val="ListLabel113"/>
            <w:rFonts w:eastAsia="Cambria" w:cs="Cambria"/>
            <w:b w:val="false"/>
            <w:bCs w:val="false"/>
            <w:i w:val="false"/>
            <w:iCs w:val="false"/>
            <w:color w:val="0563C1"/>
            <w:sz w:val="22"/>
            <w:szCs w:val="22"/>
            <w:u w:val="single"/>
          </w:rPr>
          <w:t>alertready.ca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Environment and Climate Change Canada – Wetterwarnungen: </w:t>
      </w:r>
      <w:hyperlink r:id="rId637">
        <w:r>
          <w:rPr>
            <w:rStyle w:val="ListLabel113"/>
            <w:rFonts w:eastAsia="Cambria" w:cs="Cambria"/>
            <w:b w:val="false"/>
            <w:bCs w:val="false"/>
            <w:i w:val="false"/>
            <w:iCs w:val="false"/>
            <w:color w:val="0563C1"/>
            <w:sz w:val="22"/>
            <w:szCs w:val="22"/>
            <w:u w:val="single"/>
          </w:rPr>
          <w:t>weather.gc.ca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und Krisenvorsorgeliste Elefand: </w:t>
      </w:r>
      <w:hyperlink r:id="rId638">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zuständigen Provinzbehörde.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7" w:name="__RefHeading___Toc56596_3457424410"/>
      <w:bookmarkStart w:id="168" w:name="tka16"/>
      <w:bookmarkEnd w:id="167"/>
      <w:r>
        <w:rPr>
          <w:rFonts w:eastAsia="Amazon Ember" w:cs="Amazon Ember" w:ascii="Amazon Ember" w:hAnsi="Amazon Ember"/>
          <w:b/>
          <w:bCs/>
          <w:color w:val="0000FF"/>
          <w:sz w:val="36"/>
          <w:szCs w:val="36"/>
        </w:rPr>
        <w:t>Kanada: Staatsbürgerschaft und Steuerresidenz</w:t>
      </w:r>
      <w:bookmarkEnd w:id="1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Julia Ahrens zum ersten Mal hört, wie die USA ihre Staatsbürger besteuern – lebenslang, weltweit, unabhängig vom Wohnort, sogar nach einer Rückkehr nach Deutschland –, fragt sie sich kurz, ob Kanada das ähnlich handhabt, sobald sie eines Tages den kanadischen Pass hat. Ein kanadischer Steuerberater in Toronto winkt ab: Kanada fragt nicht, welchen Pass man trägt, sondern wo man lebt. Der Weg zum kanadischen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1.095 Tage (drei Jahre) physische Anwesenheit innerhalb der letzten fünf Jahre vor Antragstellung voraus, davon mindestens 730 Tage als Permanent Resident (PR); Zeiten vor dem PR-Status zählen nur zur Hälfte, gedeckelt auf 365 Anrechnungstage.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Sprachnachweis (CLB/NCLC 4 in Sprechen und Hören) und Staatskundetest (20 Fragen, 15 richtig) sind nur für 18- bis 54-Jährige Pflicht; der Test läuft seit März 2026 dauerhaft online.</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653 CAD pro Erwachsenem (seit 31. März 2026); realistische Gesamtdauer von der Einreise bis zum Einbürgerungsantrag vier bis neun Jahre, je nachdem, wie schnell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1977 (Kanada) und seit dem 27. Juni 2024 (Deutschland) für beide Seiten unproblematisch.</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Kanada besteuert nach Steuerwohnsitz, nicht nach Pass. Anders als die USA gibt es keine an die Staatsbürgerschaft gekoppelte, lebenslange Steuerpflicht und keine Exit Tax beim Verzicht auf die kanadische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der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erreicht wird – die eigentliche Einbürgerungs-Uhr läuft erst richtig, sobald der PR-Status steht. Wer wie Familie Ahrens direkt über Express Entry mit hohem CRS-Score einreist, hält den PR-Status bereits bei der Landung; die 1.095-Tage-Uhr beginnt dann sofort zu laufen, und der Antrag ist realistisch nach vier bis fünf Jahren möglich. Wer dagegen zunächst mit einem befristeten Work Permit oder Study Permit einreist und erst nach kanadischer Berufserfahrung über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den PR-Status erhält, startet die entscheidende Uhr deutlich später. Für diesen Weg sind sechs bis neun Jahre ab der Einreise realistischer, weil vor der PR-Erteilung meist ein bis drei Jahre als befristeter Resident liegen, die nur zur Hälfte und gedeckelt auf maximal 365 Tage angerechnet werden.</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direkt aus Deutschland (wie Familie Ahrens)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Work- oder Study-Permit → PR über Canadian Experience Class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6–9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Stufenweg selbst hat vier Etappen: befristeter Aufenthalt (Work Permit, oft LMIA-gestützt, oder Study Permit mit anschließendem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Übergang zum PR-Status über Express Entry oder eine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-Nominierung, die 1.095-Tage-Anwesenheitspflicht als PR, und schließlich der Einbürgerungsantrag selbst mit anschließender Bearbeitung von rund zwölf bis 18 Monaten bis zur Zeremonie.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1.095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einfach: 1.095 Tage physische Anwesenheit in Kanada innerhalb der fünf Jahre unmittelbar vor der Antragstellung, nicht am Stück. Der Teufel steckt in zwei Details, die in Foren und Ratgebern regelmäßig durcheinandergeraten. Erstens: Mindestens 730 dieser 1.095 Tage müssen als PR verbracht worden sein – wer vorher lange als </w:t>
      </w:r>
      <w:r>
        <w:rPr>
          <w:rFonts w:eastAsia="Cambria" w:cs="Cambria"/>
          <w:b w:val="false"/>
          <w:bCs w:val="false"/>
          <w:i/>
          <w:iCs/>
          <w:sz w:val="22"/>
          <w:szCs w:val="22"/>
        </w:rPr>
        <w:t>Temporary Resident</w:t>
      </w:r>
      <w:r>
        <w:rPr>
          <w:rFonts w:eastAsia="Cambria" w:cs="Cambria"/>
          <w:b w:val="false"/>
          <w:bCs w:val="false"/>
          <w:i w:val="false"/>
          <w:iCs w:val="false"/>
          <w:sz w:val="22"/>
          <w:szCs w:val="22"/>
        </w:rPr>
        <w:t xml:space="preserve">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 nicht die vollen 730 Tage, wie viele Neuankömmlinge zunächst annehmen.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vermischter Punkt betrifft den PR-Status selbst: Um ihn zu behalten (unabhängig von der Einbürgerung), reicht eine andere Regel – 730 von 1.825 Tagen (fünf Jahre), ebenfalls nicht am Stück. Diese beiden 730-Tage-Regeln beziehen sich auf unterschiedliche Dinge (PR-Erhalt versus Einbürgerungsfähigkeit) und werden in der Praxis häufig verwechselt.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Deckel von 365 halb angerechneten Tagen, nicht mit der vollen Aufenthaltsdauer.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Auslandsreisen nach der Antragstellung sind grundsätzlich erlaubt, solange die Anwesenheitspflicht davor bereits erfüllt war – riskant wird es nur, wenn dabei ein Testtermin, ein Zeremonietermin oder wichtige Post der Einwanderungsbehörde IRCC verpasst wird. Zeiten in Haft, Bewährung oder gegen Kaution freigelassen zählen in aller Regel nicht zur Anwesenheit.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arbeitet dort zwei Jahre, bevor sein Arbeitgeber den Übergang zur Canadian Experience Class unterstützt und er den PR-Status erhält. Beim Hochrechnen seiner Einbürgerungsfrist geht Lukas zunächst davon aus, die zwei Jahre als Work-Permit-Inhaber zählten voll zu den 1.095 Tagen – tatsächlich werden nur 365 Tage davon angerechnet, und auch das nur zur Hälfte, also 182,5 Tage. Statt der erhofften eineinhalb Jahre bis zum Antrag nach der PR-Erteilung muss er rund zweieinhalb Jahre als PR in Kanada verbringen, bevor die 1.095-Tage-Schwelle wirklich erreicht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 wer durchfällt, kann ihn in aller Regel wiederholen.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ausländisches Führungszeugnis ist für den Einbürgerungsantrag selbst normalerweise nicht einzureichen; die Einwanderungsbehörde IRCC gleicht stattdessen mit eigenen Datenbanken ab und fragt gezielt nach, falls nötig. Anders bei der vorgelagerten PR-Erteilung: Dort ist ein Führungszeugnis aus jedem Land Pflicht, in dem man in den letzten Jahren mindestens sechs Monate am Stück gelebt hat – für Deutsche also das Führungszeugnis vom Bundesamt für Justiz.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Einbürgerungsgebühr liegt seit dem 31. März 2026 bei 653 CAD pro Erwachsenem (530 CAD Bearbeitungsgebühr plus 123 CAD „Right of Citizenship Fee“); Kinder zahlen pauschal 100 CAD ohne diese Zusatzgebühr. Wer anschließend ein offizielles Staatsbürgerschaftszertifikat benötigt, zahlt dafür zusätzlich 75 CAD. Die Bearbeitung selbst dauert von der Antragstellung bis zur Einbürgerungszeremonie üblicherweise rund zwölf bis 18 Monate, verteilt auf Background-Check (drei bis neun Monate), Testtermin (ein bis drei Monate danach) und die abschließende Zeremonie (ein bis drei weitere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den regulären Einbürgerungsantrag nicht mit dem separaten „Proof of Citizenship“-Zertifikat, das vor allem im Ausland geborene Personen mit Anspruch auf die kanadische Staatsangehörigkeit beantragen. Dessen Wartezeit ist 2026 auf rund 33 Monate gestiegen – ein völlig anderes Verfahren als der normale Grant-Antrag für in Kanada lebende Permanent Residents, der weiterhin bei zwölf bis 18 Monaten liegt. Presseberichte vermengen beide Fristen gelegentlich.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üblicherweise ein bis zwei Wochen vorher; Kernbestandteile sind der Eid oder eine Bestätigung (</w:t>
      </w:r>
      <w:r>
        <w:rPr>
          <w:rFonts w:eastAsia="Cambria" w:cs="Cambria"/>
          <w:b w:val="false"/>
          <w:bCs w:val="false"/>
          <w:i/>
          <w:iCs/>
          <w:sz w:val="22"/>
          <w:szCs w:val="22"/>
        </w:rPr>
        <w:t>Oath/Affirmation of Citizenship</w:t>
      </w:r>
      <w:r>
        <w:rPr>
          <w:rFonts w:eastAsia="Cambria" w:cs="Cambria"/>
          <w:b w:val="false"/>
          <w:bCs w:val="false"/>
          <w:i w:val="false"/>
          <w:iCs w:val="false"/>
          <w:sz w:val="22"/>
          <w:szCs w:val="22"/>
        </w:rPr>
        <w:t>), die kanadische Nationalhymne und die Unterschrift des Oath-Formulars. Ab 14 Jahren ist die Teilnahme an 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 korrekt geführtes Reiseprotokoll, keine Lücken bei der Steuererklärung, keine offenen Rechtsfragen – lässt sich der Antrag in aller Regel gut in Eigenregie stellen.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Kanada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bereits Folgen hatte, sollte den eigenen Fall beim zuständigen deutschen Generalkonsulat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das kanadische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Australien oder Neuseeland gilt in Kanada 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Wer in Kanada geboren wird, ist automatisch kanadischer Staatsbürger, unabhängig vom Aufenthaltsstatus der Eltern – die einzige Ausnahme betrifft Kinder von Diplomaten oder Vertretern fremder Regierungen. Für Familien wie die Ahrens bedeutet das: Ein in Toronto geborenes Geschwisterkind von Finn und Mia wäre vom ersten Atemzug an kanadischer Staatsbürger, selbst wenn die Eltern zu diesem Zeitpunkt noch gar keinen PR-Status gehabt hätten.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 dieselbe Tageszahl wie bei der Einbürgerung selbst, hier aber auf den Elternteil bezogen.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der viele Auswanderer verunsichert, sobald sie zum ersten Mal davon hören: Die kanadische Finanzbehörde CRA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besteuert nach Steuerwohnsitz, nicht nach Staatsangehörigkeit. Wer keine wesentlichen „Residential Ties“ zu Kanada mehr hat – etwa keine Wohnung, keinen Ehepartner, keine Kinder mehr im Land –, gilt steuerlich als </w:t>
      </w:r>
      <w:r>
        <w:rPr>
          <w:rFonts w:eastAsia="Cambria" w:cs="Cambria"/>
          <w:b w:val="false"/>
          <w:bCs w:val="false"/>
          <w:i/>
          <w:iCs/>
          <w:sz w:val="22"/>
          <w:szCs w:val="22"/>
        </w:rPr>
        <w:t>Non-Resident</w:t>
      </w:r>
      <w:r>
        <w:rPr>
          <w:rFonts w:eastAsia="Cambria" w:cs="Cambria"/>
          <w:b w:val="false"/>
          <w:bCs w:val="false"/>
          <w:i w:val="false"/>
          <w:iCs w:val="false"/>
          <w:sz w:val="22"/>
          <w:szCs w:val="22"/>
        </w:rPr>
        <w:t xml:space="preserve"> und zahlt keine kanadische Einkommensteuer auf sein Welteinkommen, selbst mit kanadischem Pass in der Tasche. Umgekehrt zahlt,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unabhängig von der Staatsangehörigkeit auf sein weltweites Einkommen kanadische Steuern – die genauen Kriterien dafür sind ein eigenes, komplexes Thema und im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Kanada gibt es dieses Konstrukt nicht: Der Verzicht auf die kanadische Staatsbürgerschaft selbst löst keine gesonderte Steuer aus. Was es gibt, ist eine „Deemed Disposition“ (eine fiktive Veräußerung des Vermögens zum Marktwert), die beim Wegzug als Steuerresident anfallen kann – das betrifft aber jeden, der die steuerliche Ansässigkeit aufgibt, unabhängig davon, ob er den kanadischen Pass behält, ablegt oder nie besessen hat. Es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kanadische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Ahrens (fiktives Beispiel) lebt seit einigen Jahren mit kanadischem Pass in Toronto, als Markus überlegt, ein Angebot eines Leipziger Arbeitgebers anzunehmen und mit der Familie für zwei Jahre nach Deutschland zurückzukehren. Sein erster Gedanke gilt der Sorge, ob Kanada ihn dann weiter besteuert, weil er ja Staatsbürger bleibt. Ein Steuerberater klärt ihn auf: Sobald die Familie Wohnung, Schulplätze und den Lebensmittelpunkt nach Leipzig verlagert und keine wesentlichen kanadischen Bindungen mehr hat, gilt Markus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 unabhängig vom kanadischen Pass. Kanadische Steuern fallen dann nur noch auf rein kanadische Einkünfte an, etwa eine vermietete Eigentumswohnung in Toronto,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getrennte 730-Tage-Regeln (PR-Erhalt und Einbürgerungsfähigkeit) werden leicht verwechselt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Unbedingtes Jus Soli für in Kanada geborene Kinder</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Anrechnungsdeckel von 365 halben Tagen für Zeit vor dem PR-Status oft unterschätzt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9 Jahre, nicht die schnellstmöglichen 4</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Proof of Citizenship“-Zertifikat (getrennt vom Grant-Antrag) aktuell mit 33 Monaten Wartezeit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Test und Sprachnachweis entfallen komplett unter 18 und ab 55 Jahren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Permit)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Anrechnungsdeckel (max. 365 Tage zur Hälfte) für Zeit vor dem PR-Status korrekt einkalkuliert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Unterschied zwischen PR-Erhalt (730/1.825 Tage) und Einbürgerungsfähigkeit (1.095/1.825 Tage, davon ≥ 730 als PR)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Einreise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Sprachnachweis (CLB/NCLC 4) und Staatskundetest vorbereitet, falls zwischen 18 und 54 Jahre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Steuererklärungspflicht in mindestens drei der letzten fünf Jahre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Bill-C-3-Regeln und Substantial Connection Test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Non-Resident)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Kanada: Folgen einer „Deemed Disposition“ vorab mit Steuerberatung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Regulären Einbürgerungsantrag nicht mit dem separaten „Proof of Citizenship“-Verfahren verwechselt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Citizenship: physical presence calculator, requirements, fees</w:t>
      </w:r>
    </w:p>
    <w:p>
      <w:pPr>
        <w:pStyle w:val="ListParagraph"/>
        <w:numPr>
          <w:ilvl w:val="0"/>
          <w:numId w:val="1"/>
        </w:numPr>
        <w:spacing w:lineRule="exact" w:line="288" w:before="0" w:after="60"/>
        <w:rPr/>
      </w:pPr>
      <w:hyperlink r:id="rId640">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Understand permanent resident status, IRPA-Aufenthaltspflichten</w:t>
      </w:r>
    </w:p>
    <w:p>
      <w:pPr>
        <w:pStyle w:val="ListParagraph"/>
        <w:numPr>
          <w:ilvl w:val="0"/>
          <w:numId w:val="1"/>
        </w:numPr>
        <w:spacing w:lineRule="exact" w:line="288" w:before="0" w:after="60"/>
        <w:rPr/>
      </w:pPr>
      <w:hyperlink r:id="rId641">
        <w:r>
          <w:rPr>
            <w:rStyle w:val="ListLabel113"/>
            <w:rFonts w:eastAsia="Cambria" w:cs="Cambria"/>
            <w:b w:val="false"/>
            <w:bCs w:val="false"/>
            <w:i w:val="false"/>
            <w:iCs w:val="false"/>
            <w:color w:val="0563C1"/>
            <w:sz w:val="22"/>
            <w:szCs w:val="22"/>
            <w:u w:val="single"/>
          </w:rPr>
          <w:t>cra-arc.gc.ca</w:t>
        </w:r>
      </w:hyperlink>
      <w:r>
        <w:rPr>
          <w:rFonts w:eastAsia="Cambria" w:cs="Cambria"/>
          <w:b w:val="false"/>
          <w:bCs w:val="false"/>
          <w:i w:val="false"/>
          <w:iCs w:val="false"/>
          <w:sz w:val="22"/>
          <w:szCs w:val="22"/>
        </w:rPr>
        <w:t xml:space="preserve"> – Non-residents of Canada, steuerliche Ansässigkeit</w:t>
      </w:r>
    </w:p>
    <w:p>
      <w:pPr>
        <w:pStyle w:val="ListParagraph"/>
        <w:numPr>
          <w:ilvl w:val="0"/>
          <w:numId w:val="1"/>
        </w:numPr>
        <w:spacing w:lineRule="exact" w:line="288" w:before="0" w:after="60"/>
        <w:rPr/>
      </w:pPr>
      <w:hyperlink r:id="rId64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643">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 xml:space="preserve"> – Deutsche Botschaft Ottawa, Generalkonsulate, Beratung zur doppelten Staatsangehörigkeit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Detailfragen der Steuerresidenz-Tests. Prüfe vor jeder Entscheidung die aktuellen Seiten von IRCC und CRA.</w:t>
            </w:r>
          </w:p>
        </w:tc>
      </w:tr>
    </w:tbl>
    <w:p>
      <w:pPr>
        <w:sectPr>
          <w:footerReference w:type="even" r:id="rId644"/>
          <w:footerReference w:type="default" r:id="rId645"/>
          <w:footerReference w:type="first" r:id="rId64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9" w:name="__RefHeading___Toc56598_3457424410"/>
      <w:bookmarkEnd w:id="169"/>
      <w:r>
        <w:rPr>
          <w:rFonts w:eastAsia="Amazon Ember" w:cs="Amazon Ember" w:ascii="Amazon Ember" w:hAnsi="Amazon Ember"/>
          <w:b/>
          <w:bCs/>
          <w:color w:val="0000FF"/>
        </w:rPr>
        <w:t>TEIL NEUSEELAND — Am Ende der Welt neu anfangen</w:t>
      </w:r>
    </w:p>
    <w:p>
      <w:pPr>
        <w:sectPr>
          <w:footerReference w:type="even" r:id="rId647"/>
          <w:footerReference w:type="default" r:id="rId648"/>
          <w:footerReference w:type="first" r:id="rId64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Neuseeland ist das am weitesten entfernte der vier Länder dieses Buches, mit dem niedrigsten Steuerkeil und einem eigenen Verhältnis zu Familie, Ruhestand und Naturgefahren. Dieser Teil begleitet Familie Krüger und Paul Lindner durch Einwanderungswege, Alltag und die Frage, ob die Distanz zu Deutschland für dich tragbar ist.</w:t>
      </w:r>
      <w:r>
        <w:br w:type="page"/>
      </w:r>
    </w:p>
    <w:p>
      <w:pPr>
        <w:pStyle w:val="Heading2"/>
        <w:keepNext w:val="true"/>
        <w:spacing w:lineRule="exact" w:line="340" w:before="0" w:after="300"/>
        <w:jc w:val="center"/>
        <w:rPr/>
      </w:pPr>
      <w:bookmarkStart w:id="170" w:name="__RefHeading___Toc56600_3457424410"/>
      <w:bookmarkStart w:id="171" w:name="tnz01"/>
      <w:bookmarkEnd w:id="170"/>
      <w:r>
        <w:rPr>
          <w:rFonts w:eastAsia="Amazon Ember" w:cs="Amazon Ember" w:ascii="Amazon Ember" w:hAnsi="Amazon Ember"/>
          <w:b/>
          <w:bCs/>
          <w:color w:val="0000FF"/>
          <w:sz w:val="36"/>
          <w:szCs w:val="36"/>
        </w:rPr>
        <w:t>Neuseeland: Die ehrliche Bilanz</w:t>
      </w:r>
      <w:bookmarkEnd w:id="17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Krügers in Rostock liegt ein Ausdruck der Green List, mit gelbem Textmarker an zwei Stellen markiert: Agrarwissenschaften, Tiermedizin. Sebastian, 43, Agraringenieur, hat seinen künftigen Arbeitgeber in Christchurch bereits zweimal am Telefon gehabt; Petra, 40, Tierärztin, rechnet parallel nach, was von einem neuseeländischen Gehalt nach Steuern tatsächlich übrig bleibt – und stößt auf eine Zahl, die sie zunächst für einen Tippfehler hält. Der Anteil, den Steuern und Abgaben von den gesamten Arbeitskosten wegnehmen, liegt in Neuseeland nicht nur deutlich unter dem deutschen Wert, sondern auch spürbar unter dem von Australien und Kanada. Bevor aus dieser Zahl eine Entscheidung wird, verdient sie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Neuseeland 2025 bei 18,5 % – der niedrigste Wert unter den vier Zielländern dieses Buches, weit unter Deutschland (49,3 %) und auch unter Australien (29,6 %) und Kanada (32,0 %).</w:t>
            </w:r>
          </w:p>
          <w:p>
            <w:pPr>
              <w:pStyle w:val="ListParagraph"/>
              <w:numPr>
                <w:ilvl w:val="0"/>
                <w:numId w:val="1"/>
              </w:numPr>
              <w:spacing w:lineRule="exact" w:line="264" w:before="0" w:after="50"/>
              <w:rPr/>
            </w:pPr>
            <w:r>
              <w:rPr>
                <w:rFonts w:eastAsia="Cambria" w:cs="Cambria"/>
                <w:b w:val="false"/>
                <w:bCs w:val="false"/>
                <w:i w:val="false"/>
                <w:iCs w:val="false"/>
                <w:sz w:val="20"/>
                <w:szCs w:val="20"/>
              </w:rPr>
              <w:t>Die Kehrseite: keine Steuerfreigrenze (der Satz greift ab dem ersten Dollar) und kein Sozialsystem, das der deutschen Kombination aus GKV und gesetzlicher Rente entspricht.</w:t>
            </w:r>
          </w:p>
          <w:p>
            <w:pPr>
              <w:pStyle w:val="ListParagraph"/>
              <w:numPr>
                <w:ilvl w:val="0"/>
                <w:numId w:val="1"/>
              </w:numPr>
              <w:spacing w:lineRule="exact" w:line="264" w:before="0" w:after="50"/>
              <w:rPr/>
            </w:pPr>
            <w:r>
              <w:rPr>
                <w:rFonts w:eastAsia="Cambria" w:cs="Cambria"/>
                <w:b w:val="false"/>
                <w:bCs w:val="false"/>
                <w:i w:val="false"/>
                <w:iCs w:val="false"/>
                <w:sz w:val="20"/>
                <w:szCs w:val="20"/>
              </w:rPr>
              <w:t>Das öffentliche Gesundheitssystem steht erst Inhabern eines Visums mit mindestens 2 Jahren Laufzeit offen; wer kürzer bleibt, braucht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KiwiSaver, das neuseeländische Altersvorsorgesystem, ist nur für Bürger und Personen mit unbefristetem Aufenthaltsrecht offen – mit einem befristeten Arbeitsvisum bleibst du in der Regel außen vor, bis die Residency erreicht ist.</w:t>
            </w:r>
          </w:p>
          <w:p>
            <w:pPr>
              <w:pStyle w:val="ListParagraph"/>
              <w:numPr>
                <w:ilvl w:val="0"/>
                <w:numId w:val="1"/>
              </w:numPr>
              <w:spacing w:lineRule="exact" w:line="264" w:before="0" w:after="50"/>
              <w:rPr/>
            </w:pPr>
            <w:r>
              <w:rPr>
                <w:rFonts w:eastAsia="Cambria" w:cs="Cambria"/>
                <w:b w:val="false"/>
                <w:bCs w:val="false"/>
                <w:i w:val="false"/>
                <w:iCs w:val="false"/>
                <w:sz w:val="20"/>
                <w:szCs w:val="20"/>
              </w:rPr>
              <w:t>ACC deckt jeden Unfall in Neuseeland ohne Verschuldensfrage ab, auch bei Touristen und Kindern – im Gegenzug entfällt für Personenschäden praktisch das Klagerecht auf Schadensersatz.</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und Wellington liegen bei den Lebenshaltungskosten merklich unter München und Berlin – aber Neuseeland ist von den vier Ländern am weitesten von Deutschland entfernt: kein Direktflug, rund 24 Stunden Reisezeit, 11 bis 12 Stunden Zeitverschiebung.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der niedrigste Steuerkeil der vier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neuseeländisches Jobangebot neben die deutsche Gehaltsabrechnung legt, sieht selten die spektakuläre Bruttozahl, die man aus manchem US-amerikanischen Vergleich kennt. Interessant wird es erst beim zweiten Blick, dem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2025 in Neuseeland bei 18,5 % – niedriger als in Australien (29,6 %, 2024), niedriger als in Kanada (32,0 %, 2024) und weit unter dem deutschen Wert von 49,3 % (2025), dem zweithöchsten unter 38 OECD-Ländern nach Belgien. Unter den vier Zielländern dieses Buches ist Neuseeland damit der Spitzenreiter bei der niedrigen Abgabenlast – allerdings, wie so oft bei Zahlen, die zu gut aussehen, um wahr zu sein, mit einem Preis: Was in Deutschland über die umlagefinanzierte Rentenversicherung und die gesetzliche Krankenversicherung mitfinanziert wird, existiert in Neuseeland in dieser Form schlicht nicht (mehr dazu weiter unten bei KiwiSaver und dem Gesundheitssystem).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Steuerinländer im neuseeländischen Steuerjahr 2026/27 (1. April 2026 bis 31. März 2027, unverändert gegenüber dem Vorjahr) ein fünfstufiger Tarif: 10,5 % bis 15.600 NZD, 17,5 % von 15.601 bis 53.500 NZD, 30 % von 53.501 bis 78.100 NZD, 33 % von 78.101 bis 180.000 NZD und 39 % darüber.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Lohnsteuerabzug (</w:t>
      </w: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Steuerabzug direkt vom Arbeitgeber) folgt automatisch denselben Stufen, sodass die meisten Angestellten keine eigene Steuererklärung abgeben müssen. Dazu kommt die Verbrauchssteuer: Die </w:t>
      </w:r>
      <w:r>
        <w:rPr>
          <w:rFonts w:eastAsia="Cambria" w:cs="Cambria"/>
          <w:b w:val="false"/>
          <w:bCs w:val="false"/>
          <w:i/>
          <w:iCs/>
          <w:sz w:val="22"/>
          <w:szCs w:val="22"/>
        </w:rPr>
        <w:t>GST</w:t>
      </w:r>
      <w:r>
        <w:rPr>
          <w:rFonts w:eastAsia="Cambria" w:cs="Cambria"/>
          <w:b w:val="false"/>
          <w:bCs w:val="false"/>
          <w:i w:val="false"/>
          <w:iCs w:val="false"/>
          <w:sz w:val="22"/>
          <w:szCs w:val="22"/>
        </w:rPr>
        <w:t xml:space="preserve"> (</w:t>
      </w:r>
      <w:r>
        <w:rPr>
          <w:rFonts w:eastAsia="Cambria" w:cs="Cambria"/>
          <w:b w:val="false"/>
          <w:bCs w:val="false"/>
          <w:i/>
          <w:iCs/>
          <w:sz w:val="22"/>
          <w:szCs w:val="22"/>
        </w:rPr>
        <w:t>Goods and Services Tax</w:t>
      </w:r>
      <w:r>
        <w:rPr>
          <w:rFonts w:eastAsia="Cambria" w:cs="Cambria"/>
          <w:b w:val="false"/>
          <w:bCs w:val="false"/>
          <w:i w:val="false"/>
          <w:iCs w:val="false"/>
          <w:sz w:val="22"/>
          <w:szCs w:val="22"/>
        </w:rPr>
        <w:t>) liegt einheitlich bei 15 % und ist, anders als die separat ausgewiesene US-Sales-Tax, bereits im angezeigten Preis enthalten – näher am Prinzip der deutschen Mehrwertsteuer als am amerikanischen System. Der ausgezeichnete Preis ist tatsächlich der Preis, den man zahlt – eine Schlichtheit, die man erst zu schätzen weiß, wenn man sie einmal vermisst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deine IRD-Nummer (die kostenlose, lebenslang gültige neuseeländische Steuernummer) so früh wie möglich, am besten direkt nach Erhalt des Visums über das Verfahren „New Arrival to New Zealand“ – bei erfolgreicher Online-Prüfung liegt sie innerhalb von 2 Tagen vor. Ohne sie drohen laut mehreren übereinstimmenden, aber nicht amtlich einzeln bestätigten Quellen pauschale Steuerabzüge von bis zu 45 % auf Zinsen und bestimmte Zahlungen – ein Betrag, den man sich erst mit der nächsten Steuererklärung zurückholt.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steuerlich als </w:t>
      </w:r>
      <w:r>
        <w:rPr>
          <w:rFonts w:eastAsia="Cambria" w:cs="Cambria"/>
          <w:b w:val="false"/>
          <w:bCs w:val="false"/>
          <w:i/>
          <w:iCs/>
          <w:sz w:val="22"/>
          <w:szCs w:val="22"/>
        </w:rPr>
        <w:t>Resident</w:t>
      </w:r>
      <w:r>
        <w:rPr>
          <w:rFonts w:eastAsia="Cambria" w:cs="Cambria"/>
          <w:b w:val="false"/>
          <w:bCs w:val="false"/>
          <w:i w:val="false"/>
          <w:iCs w:val="false"/>
          <w:sz w:val="22"/>
          <w:szCs w:val="22"/>
        </w:rPr>
        <w:t xml:space="preserve"> gilt – im Kern über die 183-Tage-Regel innerhalb eines rollierenden 12-Monats-Fensters, rückwirkend zum ersten dieser Tage –, versteuert sein weltweites Einkommen in Neuseeland. Für Neuankömmlinge gibt es dabei eine Erleichterung: die </w:t>
      </w:r>
      <w:r>
        <w:rPr>
          <w:rFonts w:eastAsia="Cambria" w:cs="Cambria"/>
          <w:b w:val="false"/>
          <w:bCs w:val="false"/>
          <w:i/>
          <w:iCs/>
          <w:sz w:val="22"/>
          <w:szCs w:val="22"/>
        </w:rPr>
        <w:t>Transitional-Resident</w:t>
      </w:r>
      <w:r>
        <w:rPr>
          <w:rFonts w:eastAsia="Cambria" w:cs="Cambria"/>
          <w:b w:val="false"/>
          <w:bCs w:val="false"/>
          <w:i w:val="false"/>
          <w:iCs w:val="false"/>
          <w:sz w:val="22"/>
          <w:szCs w:val="22"/>
        </w:rPr>
        <w:t>-Befreiung. Wer in den vergangenen zehn Jahren kein neuseeländischer Steuerinländer war, ist automatisch 48 Monate lang von den meisten ausländischen Kapital-, Miet- und Beteiligungseinkünften befreit – nicht jedoch von im Ausland erzieltem Erwerbseinkommen. Für Deutsche mit Mieteinnahmen, Kapitalerträgen oder einer Betriebsrente aus Deutschland ist das ein Detail, das sich finanziell lohnen kann, aber vor der Ausreise mit einem Steuerberater geklärt gehört; das Doppelbesteuerungsabkommen zwischen Deutschland und Neuseeland ist hier nicht im Detail 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reiht sich damit, ebenso wie Australien und Kanada, in die Gruppe der punktebasierten Einwanderungsländer ein – im Unterschied zum stärker sponsoring- und lotterieabhängigen System der USA. Wie genau das Punktesystem der Skilled Migrant Category funktioniert und welche der hier nur angerissenen Wege zu wem passt, zeigt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Auckland und Wellington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Auckland bei 62,5 Punkten (Miete 48,7) und Wellington bei 63,0 (Miete 48,8) – beide spürbar unter München (76,1, Miete 62,4) und auch unter Berlin (70,0, Miete 54,9). Im Länderdurchschnitt liegt Neuseeland insgesamt bei 60,2 Punkten (Miete 43,9) – der niedrigste Wert unter den vier Zielländern dieses Buches, noch unter Kanada (61,3/46,6). Kurz gesagt: Wer aus einer deutschen Großstadt kommt, erlebt in Auckland oder Wellington in aller Regel keinen Kaufkraftschock nach oben, sondern eher das Gegenteil.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Durchschnittszahl sagt nichts über die Verteilung innerhalb der Städte – ein gefragtes Viertel in Auckland kann ebenso über dem Durchschnitt liegen wie ein Szeneviertel in Berlin. Und sie sagt erst recht nichts über das, was am Ende auf dem Konto ankommt: Erst das neuseeländische Nettogehalt – nach Einkommensteuer, ohne Grundfreibetrag – den tatsächlichen Ausgaben am Zielort gegenüberzustellen, ergibt ein ehrliches Bild.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niedrige Steuerkeil aus dem vorigen Abschnitt und die im Index vergleichsweise günstigen Städte verstärken sich für die meisten Neuankömmlinge in der Praxis gegenseitig – eine seltene Kombination unter den vier Ländern dieses Buches. Das ersetzt aber nicht die eigene Rechnung mit dem konkreten Zielort, dem konkreten Beruf und der konkreten Wohnform.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öffentlich, aber nicht ab dem ersten 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in ein Land mit einem staatlichen Gesundheitssystem zieht, sei von Ankunft an automatisch mitversichert, ähnlich wie beim Wechsel zwischen zwei EU-Staaten. Für Neuseeland stimmt das nur für einen Teil der Neuankömmlinge. Zugang zur subventionierten öffentlichen Gesundheitsversorgung haben von Anfang an neuseeländische Staatsbürger, Inhaber eines Resident-Visums – und Inhaber eines Arbeitsvisums mit einer Laufzeit von mindestens 2 Jahren, gerechnet ab dem ersten Tag in Neuseeland (bereits in Neuseeland verbrachte Zeit wird angerechnet). Wer mit einem kürzeren Visum einreist, etwa Working Holiday oder ein Studienvisum, ist in aller Regel nicht automatisch abgedeckt.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Schwelle nicht erreicht, zahlt Behandlungen privat oder schließt eine private Zusatzversicherung ab –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und gehören vor einer Entscheidung mit einem aktuellen Tarifrechner gegengeprüft.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Besonderheit kennt Neuseeland, die es in dieser Form in keinem der anderen drei Zielländer dieses Buches gibt: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eine verpflichtende, aus einer eigenen Abgabe finanzierte No-Fault-Unfallversicherung für alle Personen in Neuseeland –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erlebt – im Guten wie im Schlechten ersetzt ACC private Ansprüche vollständig.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ACC finanziert sich über die </w:t>
            </w:r>
            <w:r>
              <w:rPr>
                <w:rFonts w:eastAsia="Cambria" w:cs="Cambria"/>
                <w:b w:val="false"/>
                <w:bCs w:val="false"/>
                <w:i/>
                <w:iCs/>
                <w:sz w:val="20"/>
                <w:szCs w:val="20"/>
              </w:rPr>
              <w:t>Earner’s Levy</w:t>
            </w:r>
            <w:r>
              <w:rPr>
                <w:rFonts w:eastAsia="Cambria" w:cs="Cambria"/>
                <w:b w:val="false"/>
                <w:bCs w:val="false"/>
                <w:i w:val="false"/>
                <w:iCs w:val="false"/>
                <w:sz w:val="20"/>
                <w:szCs w:val="20"/>
              </w:rPr>
              <w:t>, ab April 2026 1,75 % des beitragspflichtigen Einkommens, gedeckelt bei 156.641 NZD Jahreseinkommen. Anders gesagt: Ein Teil des niedrigen Steuerkeils aus dem ersten Abschnitt fließt über diesen Umweg wieder in ein staatliches System – nur eben in ein anderes als in Deutschland, ohne direkte deutsche Entsprechung.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statt gesetzlicher Rente – und wer draußen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kennt, wie Australien und Kanada, keine umlagefinanzierte gesetzliche Rentenversicherung nach deutschem Vorbild. Das Äquivalent heißt </w:t>
      </w:r>
      <w:r>
        <w:rPr>
          <w:rFonts w:eastAsia="Cambria" w:cs="Cambria"/>
          <w:b w:val="false"/>
          <w:bCs w:val="false"/>
          <w:i/>
          <w:iCs/>
          <w:sz w:val="22"/>
          <w:szCs w:val="22"/>
        </w:rPr>
        <w:t>KiwiSaver</w:t>
      </w:r>
      <w:r>
        <w:rPr>
          <w:rFonts w:eastAsia="Cambria" w:cs="Cambria"/>
          <w:b w:val="false"/>
          <w:bCs w:val="false"/>
          <w:i w:val="false"/>
          <w:iCs w:val="false"/>
          <w:sz w:val="22"/>
          <w:szCs w:val="22"/>
        </w:rPr>
        <w:t>, ein grundsätzlich freiwilliges, aber vom Staat gefördertes Sparsystem mit verpflichtendem Arbeitgeberbeitrag für Mitglieder – ab 1. April 2026 mindestens 3,5 % des Lohns, mit einer weiteren geplanten Erhöhung auf 4 % bis 2028.</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für frisch zugewanderte Deutsche steht schon in der Beitrittsvoraussetzung: KiwiSaver steht nur neuseeländischen Staatsbürgern und Personen mit einem unbefristeten Aufenthaltsrecht offen. Wer mit einem AEWV oder einem Working-Holiday-Visum einreist, also mit einem befristeten Status, kann in aller Regel nicht beitreten, selbst wenn er wollte. Das ist ein klarer Unterschied zu Australiens Superannuation, die vom ersten Arbeitstag an für so gut wie jeden Beschäftigten unabhängig vom Aufenthaltsstatus gilt, und zu Kanadas CPP, der ebenfalls ab der ersten Gehaltsabrechnung greift. Wer über AEWV und Green List den Weg zur Residency geht, wie Familie Krüger, baut also unter Umständen mehrere Jahre lang gar keine betriebliche Altersvorsorge in Neuseeland auf – ein Punkt, der in der Euphorie über den niedrigen Steuerkeil leicht untergeht.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rechnete diesen Punkt zunächst nicht mit ein. Sebastian, Agraringenieur, hatte seinen Job in Christchurch über das AEWV-Verfahren gesichert, sein Beruf stand auf der Green List. Erst beim Gespräch mit einer Finanzberaterin kurz vor der Ausreise fiel auf: Weder er noch Petra würden als AEWV-Inhaber in KiwiSaver einzahlen können, solange keiner von beiden über die Green-List-Regelung zur Residency gewechselt wäre – realistisch nach rund zwei Jahren Arbeit in Neuseeland. Für die Übergangszeit blieb es bei freiwilligen Beiträgen zur deutschen Rentenversicherung, ein Punkt, den das Kapitel zu Steuern, Rente und Geld im Universal-Teil dieses Buches vertieft.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dagegen wie Paul Lindner direkt mit einem Daueraufenthaltstitel einreist, kann KiwiSaver von Anfang an nutzen und profitiert vom Arbeitgeberbeitrag ohne Wartezeit – ein weiterer Unterschied, der bei der Wahl des Einwanderungswegs mitentscheiden sollte, nicht erst nach der Ankunft auffallen sollte.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Neuseeland Vorleistungen, deren Höhe stark vom gewählten Weg abhängt. Ein Antrag auf das Skilled Migrant Category Resident Visa – der direkte Weg zum Daueraufenthalt, wie ihn Paul Lindner wählt – kostet 6.450 NZD für den Hauptantragsteller (2.880 NZD Antragsgebühr plus 3.570 NZD Immigration Levy, eine zusätzliche Einwanderungsabgabe); Partner und Kinder zahlen jeweils separat. Das Accredited Employer Work Visa, Familie Krügers Weg, ist mit 1.540 NZD auf den ersten Blick deutlich günstiger – allerdings kommt hier vorher die Prüfung des Arbeitgebers (</w:t>
      </w:r>
      <w:r>
        <w:rPr>
          <w:rFonts w:eastAsia="Cambria" w:cs="Cambria"/>
          <w:b w:val="false"/>
          <w:bCs w:val="false"/>
          <w:i/>
          <w:iCs/>
          <w:sz w:val="22"/>
          <w:szCs w:val="22"/>
        </w:rPr>
        <w:t>Employer Accreditation</w:t>
      </w:r>
      <w:r>
        <w:rPr>
          <w:rFonts w:eastAsia="Cambria" w:cs="Cambria"/>
          <w:b w:val="false"/>
          <w:bCs w:val="false"/>
          <w:i w:val="false"/>
          <w:iCs w:val="false"/>
          <w:sz w:val="22"/>
          <w:szCs w:val="22"/>
        </w:rPr>
        <w:t>) und der konkreten Stelle (</w:t>
      </w:r>
      <w:r>
        <w:rPr>
          <w:rFonts w:eastAsia="Cambria" w:cs="Cambria"/>
          <w:b w:val="false"/>
          <w:bCs w:val="false"/>
          <w:i/>
          <w:iCs/>
          <w:sz w:val="22"/>
          <w:szCs w:val="22"/>
        </w:rPr>
        <w:t>Job Check</w:t>
      </w:r>
      <w:r>
        <w:rPr>
          <w:rFonts w:eastAsia="Cambria" w:cs="Cambria"/>
          <w:b w:val="false"/>
          <w:bCs w:val="false"/>
          <w:i w:val="false"/>
          <w:iCs w:val="false"/>
          <w:sz w:val="22"/>
          <w:szCs w:val="22"/>
        </w:rPr>
        <w:t>) hinzu, deren Gebühren der Arbeitgeber trägt, nicht 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beiden Wegen kommen für jede Person ab 15 Jahren eine ärztliche Untersuchung mit Röntgen-Thorax (Nachweis höchstens 3 Monate alt) sowie ein Führungszeugnis (höchstens 6 Monate alt) hinzu – die konkreten Kosten dafür hängen vom jeweiligen Land und Anbieter ab und sind hier nicht beziffert. Deutschland gehört zudem nicht zu den Ländern, mit denen Neuseeland ein Gebührenbefreiungsabkommen hat – anders als etwa Österreich zahlen deutsche Antragsteller die vollen Sätze ohne Rabatt. Für eine vierköpfige Familie wie die Krügers kommen so allein an Visumsgebühren mehrere Tausend NZD zusammen, bevor überhaupt ein Flug gebucht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beantragte das Skilled-Migrant-Category-Visum direkt aus Deutschland, ohne vorherige Zwischenstation über ein Arbeitsvisum. Die 6.450 NZD Antragsgebühr plus Kosten für Gesundheitscheck, Führungszeugnis und Sprachtest summierten sich vor der Ausreise auf einen Betrag im vierstelligen Bereich. Der Vorteil: Als Inhaber eines Daueraufenthaltsvisums war er ab dem Tag der Einreise voll bei der öffentlichen Gesundheitsversorgung abgesichert und konnte sofort einer KiwiSaver-Mitgliedschaft beitreten – beides blieb Familie Krüger mit ihrem befristeten AEWV zunächst verwehrt.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NZD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Unter den vier Zielländern dieses Buches ist Neuseeland am weitesten von Deutschland entfernt – merklich weiter als Kanada, spürbar weiter noch als Australien. Zwischen Frankfurt und Auckland gibt es keinen Direktflug; mit mindestens einem Zwischenstopp dauert die Reise rund 24 Stunden über etwa 18.201 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 ein kleines Beispiel dafür, dass sich nicht jede Zahl googeln lässt, nur weil sie oft genug wiederholt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positiven Seite: Sowohl Deutschland als auch Neuseeland erlauben die doppelte Staatsangehörigkeit ausdrücklich. Seit der deutschen Reform vom 27. Juni 2024 führt eine neuseeländische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neuseeländischen Rechnung, wer einen Beruf auf der Green List mitbringt oder die Punkteschwelle der Skilled Migrant Category komfortabel erreicht, und wer die geringere Abgabenlast bewusst gegen ein dünneres soziales Sicherungsnetz eintauschen will. Auch alleinstehende Berufseinsteiger ohne große Bindungen fahren mit dem direkten SMC-Weg vergleichsweise gut, sofern Alter (unter 55 Jahren) und Berufserfahrung passen.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zunächst über ein befristetes Arbeitsvisum einreisen und mehrere Jahre mit Lücken bei Gesundheitsversorgung und Altersvorsorge überbrücken müssen, für alle mit pflegebedürftigen Eltern in Deutschland – die Distanz wiegt hier schwerer als bei jedem anderen der vier Länder dieses Buches – und für alle, die finanziell wenig Puffer für Vorlaufkosten und private Übergangsversicherung mitbringen.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Niedrigster Steuerkeil der vier Zielländer (18,5 % gegenüber 49,3 % in Deutschland)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Steuerfreigrenze – der volle Satz greift ab dem ersten Dollar</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bei Lebenshaltungskosten unter München und Berlin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Gesundheitsversorgung erst ab Visum mit mindestens 2 Jahren Laufzeit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Unfall ohne Verschuldensfrage – auch für Besucher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Gegenzug praktisch kein Klagerecht auf Schadensersatz bei Personenschäden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erlaubt bei Mangelberufen einen direkten Weg zur Residency</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 erst nach Erreichen eines unbefristeten Aufenthaltstitels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Distanz und Zeitverschiebung aller vier Zielländer, kein Direktflug</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erleichtert die ersten vier Jahre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zählt nicht zu den Gebührenbefreiungsländern – volle Visumskosten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mit deinen eigenen Zahlen, nicht mit dem Bruttogehalt: Trage dein voraussichtliches Einkommen in die neuseeländische Steuerstaffel ein, und vergleiche das Ergebnis mit deiner heutigen deutschen Nettoabrechnung – nicht mit dem Bruttogehalt. Kläre parallel, ob dein Beruf auf der Green List steht oder ob die Skilled Migrant Category realistisch erreichbar ist;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Prüfe außerdem, wie lange dein konkretes Visum tatsächlich gilt, um die Wartezeit bis zur öffentlichen Gesundheitsversorgung einzuschätzen, und plane für diese Zeit eine private Zusatzversicherung fest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neuseeländische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eigene Beruf auf der Green List steht oder ob die SMC-Punkteschwelle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Tatsächliche Visumslaufzeit geklärt und daraus abgeleitet, ab wann öffentliche Gesundheitsversorgung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eine private Übergangsversicherung für die Zeit bis zur 2-Jahres-Schwelle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eine KiwiSaver-Mitgliedschaft möglich wird, und Alternativen für die Übergangszeit überlegt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Gebühren, Visakategorien, Gesundheitsanforderungen (</w:t>
      </w:r>
      <w:hyperlink r:id="rId65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Department — Einkommensteuersätze, IRD-Nummer, Steuerresidenz (</w:t>
      </w:r>
      <w:hyperlink r:id="rId651">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ACC — Leistungen und Finanzierung der Unfallversicherung (</w:t>
      </w:r>
      <w:hyperlink r:id="rId652">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653">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654">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New Zealand — Bevölkerungs- und Zensusdaten (</w:t>
      </w:r>
      <w:hyperlink r:id="rId655">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immigration.govt.nz und ird.govt.nz.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2" w:name="__RefHeading___Toc56602_3457424410"/>
      <w:bookmarkStart w:id="173" w:name="tnz02"/>
      <w:bookmarkEnd w:id="172"/>
      <w:r>
        <w:rPr>
          <w:rFonts w:eastAsia="Amazon Ember" w:cs="Amazon Ember" w:ascii="Amazon Ember" w:hAnsi="Amazon Ember"/>
          <w:b/>
          <w:bCs/>
          <w:color w:val="0000FF"/>
          <w:sz w:val="36"/>
          <w:szCs w:val="36"/>
        </w:rPr>
        <w:t>Neuseeland: Wege der Einwanderung</w:t>
      </w:r>
      <w:bookmarkEnd w:id="1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Visa-Seiten von Immigration New Zealand (INZ, die neuseeländische Einwanderungsbehörde, Teil des Wirtschaftsministeriums MBIE) durchklickt, stößt nicht auf eine einzelne Tür, sondern auf ein kleines Labyrinth aus Kategorien: Skilled Migrant Category, Accredited Employer Work Visa, Green List, Working Holiday, Student Visa – jede mit eigenen Schwellen, eigenen Gebühren, eigenem Tempo. Paul Lindner aus Frankfurt fand seinen Weg direkt über das Punktesystem; Familie Krüger aus Rostock kam über ein Jobangebot und einen Beruf auf der Green List ins Land. Beide leben heute – oder bald – in Neuseeland, aber durch unterschiedliche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öffnet sich für Deutsche vor allem über zwei Prinzipien: das Punktesystem der Skilled Migrant Category (SMC) und das Arbeitgeber-Sponsoring über das Accredited Employer Work Visa (AEWV).</w:t>
            </w:r>
          </w:p>
          <w:p>
            <w:pPr>
              <w:pStyle w:val="ListParagraph"/>
              <w:numPr>
                <w:ilvl w:val="0"/>
                <w:numId w:val="1"/>
              </w:numPr>
              <w:spacing w:lineRule="exact" w:line="264" w:before="0" w:after="50"/>
              <w:rPr/>
            </w:pPr>
            <w:r>
              <w:rPr>
                <w:rFonts w:eastAsia="Cambria" w:cs="Cambria"/>
                <w:b w:val="false"/>
                <w:bCs w:val="false"/>
                <w:i w:val="false"/>
                <w:iCs w:val="false"/>
                <w:sz w:val="20"/>
                <w:szCs w:val="20"/>
              </w:rPr>
              <w:t>Seit einer Reform 2025/26 reicht für die SMC eine neue, deutlich einfachere Schwelle von 6 Punkten – vorher waren es 180 Punkte in einem komplizierteren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List (Mangelberufe-Liste) verkürzt oder ersetzt für rund 200 Berufe den üblichen Weg: Tier 1 erlaubt den direkten Antrag auf Daueraufenthalt, Tier 2 verlangt vorher 24 Monate Arbeit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und Studienvisum sind selbst keine Daueraufenthaltswege, aber für viele der Seiteneingang, über den sich AEWV oder SMC später leichter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zählt nicht zu den Ländern mit Gebührenbefreiung – anders als etwa Österreich zahlst du die vollen INZ-Gebühren.</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Beruf, Alter, Sprachniveau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dem zentralen Punktesystem für Fachkräfte. Die zweite führt zum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dem befristeten Arbeitsvisum, über das die meisten Deutschen zunächst ins Land kommen, bevor sie – oft über die Green List – zur Residency wechseln.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sind eng miteinander verzahnt, nicht strikt getrennt: Ein AEWV kann der erste Schritt zu einer späteren SMC-Bewerbung sein, sobald genug Berufserfahrung in Neuseeland vorliegt. Wer dagegen schon jetzt komfortabel über der Punkteschwelle liegt, kann die SMC auch direkt aus Deutschland beantragen, ganz ohne vorherigen Zwischenschritt über ein Arbeitsvisum – der Weg, den Paul Lindner wählt.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Skilled Migrant Category: das neue, einfachere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SMC ist seit einer Reform 2025/26 grundlegend einfacher geworden. Das frühere System mit einer Schwelle von 180 Punkten in einem umfangreichen Punkteraster (das genaue Datum der Umstellung ist in den verfügbaren Quellen nicht abschließend belegt) wurde durch ein schlankeres Modell mit einer Mindestschwelle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ersetzt. Diese Punkte stammen aus vier Quellen:</w:t>
      </w:r>
    </w:p>
    <w:p>
      <w:pPr>
        <w:pStyle w:val="ListParagraph"/>
        <w:numPr>
          <w:ilvl w:val="0"/>
          <w:numId w:val="1"/>
        </w:numPr>
        <w:spacing w:lineRule="exact" w:line="288" w:before="0" w:after="60"/>
        <w:rPr/>
      </w:pPr>
      <w:r>
        <w:rPr>
          <w:rFonts w:eastAsia="Cambria" w:cs="Cambria"/>
          <w:b/>
          <w:bCs/>
          <w:i w:val="false"/>
          <w:iCs w:val="false"/>
          <w:sz w:val="22"/>
          <w:szCs w:val="22"/>
        </w:rPr>
        <w:t>Qualifikation:</w:t>
      </w:r>
      <w:r>
        <w:rPr>
          <w:rFonts w:eastAsia="Cambria" w:cs="Cambria"/>
          <w:b w:val="false"/>
          <w:bCs w:val="false"/>
          <w:i w:val="false"/>
          <w:iCs w:val="false"/>
          <w:sz w:val="22"/>
          <w:szCs w:val="22"/>
        </w:rPr>
        <w:t xml:space="preserve"> 4 bis 6 Punkte – ein Bachelorabschluss bringt seit dem 24.08.2026 4 statt vorher 3 Punkte, ein Master- oder Doktortitel entsprechend mehr.</w:t>
      </w:r>
    </w:p>
    <w:p>
      <w:pPr>
        <w:pStyle w:val="ListParagraph"/>
        <w:numPr>
          <w:ilvl w:val="0"/>
          <w:numId w:val="1"/>
        </w:numPr>
        <w:spacing w:lineRule="exact" w:line="288" w:before="0" w:after="60"/>
        <w:rPr/>
      </w:pPr>
      <w:r>
        <w:rPr>
          <w:rFonts w:eastAsia="Cambria" w:cs="Cambria"/>
          <w:b/>
          <w:bCs/>
          <w:i w:val="false"/>
          <w:iCs w:val="false"/>
          <w:sz w:val="22"/>
          <w:szCs w:val="22"/>
        </w:rPr>
        <w:t>Berufliche Registrierung:</w:t>
      </w:r>
      <w:r>
        <w:rPr>
          <w:rFonts w:eastAsia="Cambria" w:cs="Cambria"/>
          <w:b w:val="false"/>
          <w:bCs w:val="false"/>
          <w:i w:val="false"/>
          <w:iCs w:val="false"/>
          <w:sz w:val="22"/>
          <w:szCs w:val="22"/>
        </w:rPr>
        <w:t xml:space="preserve"> 3 bis 6 Punkte, sofern der Beruf einer Registrierungspflicht unterliegt (etwa bei regulierten Berufen wie Pflege oder Ingenieurwesen).</w:t>
      </w:r>
    </w:p>
    <w:p>
      <w:pPr>
        <w:pStyle w:val="ListParagraph"/>
        <w:numPr>
          <w:ilvl w:val="0"/>
          <w:numId w:val="1"/>
        </w:numPr>
        <w:spacing w:lineRule="exact" w:line="288" w:before="0" w:after="60"/>
        <w:rPr/>
      </w:pPr>
      <w:r>
        <w:rPr>
          <w:rFonts w:eastAsia="Cambria" w:cs="Cambria"/>
          <w:b/>
          <w:bCs/>
          <w:i w:val="false"/>
          <w:iCs w:val="false"/>
          <w:sz w:val="22"/>
          <w:szCs w:val="22"/>
        </w:rPr>
        <w:t>Einkommen:</w:t>
      </w:r>
      <w:r>
        <w:rPr>
          <w:rFonts w:eastAsia="Cambria" w:cs="Cambria"/>
          <w:b w:val="false"/>
          <w:bCs w:val="false"/>
          <w:i w:val="false"/>
          <w:iCs w:val="false"/>
          <w:sz w:val="22"/>
          <w:szCs w:val="22"/>
        </w:rPr>
        <w:t xml:space="preserve"> 3 bis 6 Punkte, gestaffelt nach Lohnschwelle (siehe unten).</w:t>
      </w:r>
    </w:p>
    <w:p>
      <w:pPr>
        <w:pStyle w:val="ListParagraph"/>
        <w:numPr>
          <w:ilvl w:val="0"/>
          <w:numId w:val="1"/>
        </w:numPr>
        <w:spacing w:lineRule="exact" w:line="288" w:before="0" w:after="60"/>
        <w:rPr/>
      </w:pPr>
      <w:r>
        <w:rPr>
          <w:rFonts w:eastAsia="Cambria" w:cs="Cambria"/>
          <w:b/>
          <w:bCs/>
          <w:i w:val="false"/>
          <w:iCs w:val="false"/>
          <w:sz w:val="22"/>
          <w:szCs w:val="22"/>
        </w:rPr>
        <w:t>Neuseeländische Facharbeitserfahrung:</w:t>
      </w:r>
      <w:r>
        <w:rPr>
          <w:rFonts w:eastAsia="Cambria" w:cs="Cambria"/>
          <w:b w:val="false"/>
          <w:bCs w:val="false"/>
          <w:i w:val="false"/>
          <w:iCs w:val="false"/>
          <w:sz w:val="22"/>
          <w:szCs w:val="22"/>
        </w:rPr>
        <w:t xml:space="preserve"> bis zu 3 Zusatzpunkte für bereits geleistete Arbeit im Land.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Einkommenspunkte gilt ein System aus Vielfachen des neuseeländischen Medianlohns, der seit dem 09.03.2026 bei 35,00 NZD pro Stunde liegt: Wer ohne bisherige neuseeländische Arbeitserfahrung das Dreifache dieses Medianlohns verdient – 105,00 NZD/Std. –, erhält die vollen 6 Punkte. Mit bereits vorhandener neuseeländischer Arbeitserfahrung genügt das Doppelte, 70,00 NZD/Std., für 4 Punkte. Ein wichtiges Detail: Einmal festgelegt, bleibt die Lohnschwelle für den jeweiligen Antrag bestehen – „once your threshold is set, it does not change“, wie INZ es formuliert. Wer früh mit einer Stelle unterhalb der aktuell gültigen Schwelle beginnt, sollte den genauen Startzeitpunkt sorgfältig dokumentieren, da spätere Erhöhungen nicht rückwirkend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den </w:t>
      </w:r>
      <w:r>
        <w:rPr>
          <w:rFonts w:eastAsia="Cambria" w:cs="Cambria"/>
          <w:b w:val="false"/>
          <w:bCs w:val="false"/>
          <w:i/>
          <w:iCs/>
          <w:sz w:val="22"/>
          <w:szCs w:val="22"/>
        </w:rPr>
        <w:t>Skilled-Work-Experience-Pfad</w:t>
      </w:r>
      <w:r>
        <w:rPr>
          <w:rFonts w:eastAsia="Cambria" w:cs="Cambria"/>
          <w:b w:val="false"/>
          <w:bCs w:val="false"/>
          <w:i w:val="false"/>
          <w:iCs w:val="false"/>
          <w:sz w:val="22"/>
          <w:szCs w:val="22"/>
        </w:rPr>
        <w:t xml:space="preserve"> für Personen mit mindestens 5 Jahren einschlägiger Erfahrung, davon mindestens 2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für Personen mit einer Level-4-Qualifikation oder höher und mindestens 2,5 Jahren einschlägiger Erfahrung nach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vom 24.08.2026 hat auch die Regeln verschärft, nicht nur vereinfacht. Selbstständigkeit zählt seither nicht mehr automatisch als „direkt relevante Arbeitserfahrung“, und alle Nachweise müssen „unabhängig überprüfbar“ sein – reine Eigenerklärungen reichen nicht mehr. Wer seine Berufserfahrung über frühere Selbstständigkeit begründen wollte, sollte das vor der Antragstellung genau mit einer Einwanderungsberatung klären.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für den Hauptantragsteller liegt bei 6.450 NZD (2.880 NZD Antragsgebühr plus 3.570 NZD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eine zusätzliche Einwanderungsabgabe); Partner und Kinder zahlen über die Family Category beziehungsweise als Dependent Child jeweils separat. Wer die SMC erfolgreich durchläuft, erhält ein </w:t>
      </w:r>
      <w:r>
        <w:rPr>
          <w:rFonts w:eastAsia="Cambria" w:cs="Cambria"/>
          <w:b w:val="false"/>
          <w:bCs w:val="false"/>
          <w:i/>
          <w:iCs/>
          <w:sz w:val="22"/>
          <w:szCs w:val="22"/>
        </w:rPr>
        <w:t>Resident Visa</w:t>
      </w:r>
      <w:r>
        <w:rPr>
          <w:rFonts w:eastAsia="Cambria" w:cs="Cambria"/>
          <w:b w:val="false"/>
          <w:bCs w:val="false"/>
          <w:i w:val="false"/>
          <w:iCs w:val="false"/>
          <w:sz w:val="22"/>
          <w:szCs w:val="22"/>
        </w:rPr>
        <w:t xml:space="preserve"> – de facto einen Daueraufenthaltstitel, wenn auch mit Reisebedingungen, die zunächst 2 Jahre nach der ersten Einreise laufen, bevor gegebenenfalls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für uneingeschränktes Ein- und Ausreisen nötig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rechnete seine Punktzahl schon Monate vor der geplanten Ausreise durch. Mit einem Masterabschluss, einigen Jahren einschlägiger Berufserfahrung und einem Jobangebot eines Auckland-Unternehmens deutlich über der 105,00-NZD-Schwelle kam er komfortabel über die 6-Punkte-Marke – ein Ergebnis, das ihn selbst überraschte, weil er aus Erzählungen über das alte 180-Punkte-System eine viel härtere Hürde erwartet hatte. Der eigentliche Aufwand lag nicht in der Punkterechnung, sondern im Sprachtest, dem Gesundheitscheck und der Beschaffung eines aktuellen Führungszeugnisses.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Accredited Employer Work Visa: der häufigste erste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Familie Krüger keinen Direktweg über die SMC-Punktzahl anstrebt oder ihn erst über neuseeländische Berufserfahrung erreichen will, kommt in aller Regel über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ins Land. Anders als bei der SMC bewirbst du dich hier nicht selbst um Punkte, sondern brauchst einen Arbeitgeber, der zwei Hürden nimmt: Er muss zunächst als Betrieb akkreditiert sein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und anschließend für die konkrete Stelle einen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bestehen, mit dem INZ prüft, ob die Position den Anforderungen entspricht. Erst danach kannst du selbst das AEWV beantragen.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entfällt der gesonderte Nachweis der Kompetenzanforderungen ganz – ein Umstand, der besonders für gut bezahlte Fachkräfte den Verwaltungsaufwand spürbar senkt.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AEWV gilt je nach Kompetenzstufe der Tätigkeit bis zu 5 Jahre, bei geringerer Kompetenzstufe 3 Jahre. Die Gesamtgebühr liegt bei 1.540 NZD (480 NZD Antrag plus 1.060 NZD Levy) – deutlich unter der SMC-Gebühr, allerdings trägt der Arbeitgeber zusätzlich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erst, wenn der Gesamtaufenthalt in Neuseeland 24 Monate übersteigt – merklich niedrigere Hürden als bei der SMC, wo beides von Anfang an Pflicht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lizenzierte Einwanderungsberaterin, einen Einwanderungsberater oder eine Anwältin beziehungsweise einen Anwalt für neuseeländisches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Vorteil des AEWV liegt in der niedrigeren Einstiegshürde: kein Punktetest, keine Altersgrenze wie bei der SMC. Der Preis ist die Bindung an den sponsernden Arbeitgeber – ein Wechsel bedeutet grundsätzlich ein neues Job-Check-Verfahren. Wer von dort aus zur Residency will, braucht entweder einen Beruf auf der Green List oder muss über die Jahre genug Punkte für die reguläre SMC sammeln.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List: der Überholstreifen für Mangelberufe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einzelne Berufe – Schwerpunkte liegen bei Ingenieurwesen, Gesundheitswesen, Bauwesen und Gewerken, IT und Lehrberufen – bietet die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(die Mangelberufe-Liste) einen verkürzten oder direkten Weg zur Residency, unabhängig vom sonstigen Punktesystem. Sie unterscheidet zwei Stufen:</w:t>
      </w:r>
    </w:p>
    <w:p>
      <w:pPr>
        <w:pStyle w:val="ListParagraph"/>
        <w:numPr>
          <w:ilvl w:val="0"/>
          <w:numId w:val="1"/>
        </w:numPr>
        <w:spacing w:lineRule="exact" w:line="288" w:before="0" w:after="60"/>
        <w:rPr/>
      </w:pP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Sobald ein Jobangebot eines akkreditierten Arbeitgebers und die berufsspezifischen Voraussetzungen vorliegen, kann der direkte Antrag auf ein Daueraufenthaltsvisum gestellt werden – ganz ohne vorherige Arbeitszeit in Neuseeland.</w:t>
      </w:r>
    </w:p>
    <w:p>
      <w:pPr>
        <w:pStyle w:val="ListParagraph"/>
        <w:numPr>
          <w:ilvl w:val="0"/>
          <w:numId w:val="1"/>
        </w:numPr>
        <w:spacing w:lineRule="exact" w:line="288" w:before="0" w:after="60"/>
        <w:rPr/>
      </w:pP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Zunächst ist ein AEWV nötig; nach 24 Monaten Arbeit in Neuseeland innerhalb der letzten 30 Monate vor Antragstellung öffnet sich der Wechsel zur Residency.</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kein eigener berufsspezifischer Schwellenwert gilt, greift als Mindestlohn der allgemeine Immigration-Medianlohn von 35,00 NZD pro Stunde. Wichtig: Beide Tiers setzen trotzdem eine Stelle bei einem akkreditierten Arbeitgeber voraus – die Green List ersetzt also nicht das AEWV-System, sondern beschleunigt den Weg von dort zur Residency.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schon vor der Jobsuche, ob dein konkreter Beruf – mit dem passenden ANZSCO-Code, der australisch-neuseeländischen Standardklassifikation für Berufe – tatsächlich auf der Green List steht und welche Zusatzanforderungen (etwa eine berufliche Registrierung) für genau diesen Beruf gelten. Eine grobe Ähnlichkeit der Berufsbezeichnung reicht nicht; die Liste ist nach Einzelberufen, nicht nach Berufsfeldern sortiert.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 prüfte vor der Entscheidung gezielt, ob Sebastians Tätigkeit als Agraringenieur auf der Green List steht – was sich bestätigte. Der Plan: zunächst über das AEWV nach Christchurch, dort mindestens 24 Monate arbeiten, dann über Tier 2 den Wechsel zur Residency beantragen. Der Vorteil gegenüber dem regulären SMC-Punktepfad: kein eigenständiges Punkterechnen nötig, solange der Beruf gelistet bleibt und der Arbeitgeber akkreditiert ist. Der Nachteil: Bis zur Residency bleibt die Familie an den Arbeitgeber gebunden und, wie das </w:t>
            </w:r>
            <w:hyperlink w:anchor="tnz01">
              <w:r>
                <w:rPr>
                  <w:rStyle w:val="ListLabel116"/>
                  <w:rFonts w:eastAsia="Cambria" w:cs="Cambria"/>
                  <w:b w:val="false"/>
                  <w:bCs w:val="false"/>
                  <w:i w:val="false"/>
                  <w:iCs w:val="false"/>
                  <w:color w:val="0563C1"/>
                  <w:sz w:val="20"/>
                  <w:szCs w:val="20"/>
                  <w:u w:val="single"/>
                </w:rPr>
                <w:t>vorige Kapitel dieses Teils</w:t>
              </w:r>
            </w:hyperlink>
            <w:r>
              <w:rPr>
                <w:rFonts w:eastAsia="Cambria" w:cs="Cambria"/>
                <w:b w:val="false"/>
                <w:bCs w:val="false"/>
                <w:i w:val="false"/>
                <w:iCs w:val="false"/>
                <w:sz w:val="20"/>
                <w:szCs w:val="20"/>
              </w:rPr>
              <w:t xml:space="preserve"> zeigt, zunächst von KiwiSaver und teilweise von der öffentlichen Gesundheitsversorgung ausgeschlossen.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 für junge Deutsche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ist für sich genommen kein Weg zum Daueraufenthalt, aber für viele junge Deutsche der niedrigschwelligste erste Einstieg. Voraussetzungen: Alter zwischen 18 und 30 Jahren, deutsche Staatsangehörigkeit, kein früheres, bereits genutztes Working-Holiday-Visum, eine Vollkrankenversicherung für die gesamte Aufenthaltsdauer und der Nachweis von mindestens 4.200 NZD an Lebenshaltungsmitteln. Der Aufenthalt ist auf bis zu 12 Monate befristet, ein Daueranstellungsverhältnis ist ausdrücklich nicht erlaubt, Studium oder Ausbildung sind für bis zu 6 Monate im Rahmen des Aufenthalts zulässig. Die Gebühr liegt bei 770 NZD, ein Jobangebot ist für die Antragstellung nicht nötig.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entsteht: ein Netzwerk, ein Probejob, im besten Fall ein Arbeitgeber, der anschließend bereit ist, ein AEWV zu sponsern. Da für das Working-Holiday-Visum kein Jobangebot vorausgesetzt wird, steht dem Umstieg auf ein AEWV grundsätzlich nichts entgegen, sobald sich vor Ort eine passende Stelle 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des Working-Holiday-Jahres bist du in aller Regel nicht bei der öffentlichen Gesundheitsversorgung abgesichert –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als Umweg zur Fachkraft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Fee Paying Student Visa</w:t>
      </w:r>
      <w:r>
        <w:rPr>
          <w:rFonts w:eastAsia="Cambria" w:cs="Cambria"/>
          <w:b w:val="false"/>
          <w:bCs w:val="false"/>
          <w:i w:val="false"/>
          <w:iCs w:val="false"/>
          <w:sz w:val="22"/>
          <w:szCs w:val="22"/>
        </w:rPr>
        <w:t xml:space="preserve"> führt nicht direkt zur Einwanderung,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ermöglicht das </w:t>
      </w:r>
      <w:r>
        <w:rPr>
          <w:rFonts w:eastAsia="Cambria" w:cs="Cambria"/>
          <w:b w:val="false"/>
          <w:bCs w:val="false"/>
          <w:i/>
          <w:iCs/>
          <w:sz w:val="22"/>
          <w:szCs w:val="22"/>
        </w:rPr>
        <w:t>Post-Study Work Visa</w:t>
      </w:r>
      <w:r>
        <w:rPr>
          <w:rFonts w:eastAsia="Cambria" w:cs="Cambria"/>
          <w:b w:val="false"/>
          <w:bCs w:val="false"/>
          <w:i w:val="false"/>
          <w:iCs w:val="false"/>
          <w:sz w:val="22"/>
          <w:szCs w:val="22"/>
        </w:rPr>
        <w:t xml:space="preserve">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 etwa ein neues, kürzeres Graduate-Arbeitsvisum und eine mögliche Verkürzung der nötigen neuseeländischen Facharbeitserfahrung von 3 auf 2 Jahre – waren zum Zeitpunkt dieses Kapitels angekündigt, aber nicht abschließend bestätigt; prüfe den aktuellen Stand direkt bei INZ, bevor du deine Planung darauf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gilt als planbarster, aber auch teuerster Weg nach Neuseeland – Studiengebühren selbst kommen zu den hier genannten Visumskosten noch hinzu und sind von Hochschule zu Hochschule sehr unterschiedlich.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6 Punkte für die SMC klingen nach einer reinen Formsache. Tatsächlich stecken die eigentlichen Hürden in den Voraussetzungen dahinter – Jobangebot oder mehrjährige Erfahrung, Lohnschwelle, Sprachtest, Gesundheitscheck –, nicht in der Punktzahl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AEWV und SMC werden verwechselt: Das AEWV ist ein befristetes Arbeitsvisum an einen bestimmten Arbeitgeber gebunden, die SMC ein Daueraufenthaltstitel ohne diese Bindung. Wer „ein Visum für Neuseeland“ sucht, ohne diesen Unterschied zu kennen, bewirbt sich leicht für den falschen Weg.</w:t>
      </w:r>
    </w:p>
    <w:p>
      <w:pPr>
        <w:pStyle w:val="ListParagraph"/>
        <w:numPr>
          <w:ilvl w:val="0"/>
          <w:numId w:val="1"/>
        </w:numPr>
        <w:spacing w:lineRule="exact" w:line="288" w:before="0" w:after="60"/>
        <w:rPr/>
      </w:pPr>
      <w:r>
        <w:rPr>
          <w:rFonts w:eastAsia="Cambria" w:cs="Cambria"/>
          <w:b w:val="false"/>
          <w:bCs w:val="false"/>
          <w:i w:val="false"/>
          <w:iCs w:val="false"/>
          <w:sz w:val="22"/>
          <w:szCs w:val="22"/>
        </w:rPr>
        <w:t>Die einmal festgelegte SMC-Lohnschwelle wird mit der zum Zeitpunkt der Antragstellung aktuellen Schwelle verwechselt – maßgeblich ist der Satz zum Start der Facharbeit, nicht ein späterer, möglicherweise höherer Wert.</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wird als eigenständiger Einwanderungsweg missverstanden, obwohl das Visum selbst keinen Daueraufenthalt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INZ-Bearbeitung selbst zeigen, nicht die Monate für Sprachtest, Skills-Nachweise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wie die Krügers, gewichtet oft Planbarkeit und einen konkreten Arbeitsplatz höher als Tempo und wählt den Weg über AEWV und Green List. Wer alleinstehend ist, gut verdient und die Punktzahl direkt erreicht, wie Paul Lindner, kann den Umweg über ein befristetes Arbeitsvisum überspringen und direkt zur SMC.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mit hohem Gehalt, SMC-Punktzahl direkt erreichbar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direkt aus Deutschland</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 steht auf der Green List, Jobangebot liegt vor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Tier 1 (direkt) oder Tier 2 über AEWV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vorhanden, Beruf nicht auf der Green List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später ggf. SMC</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Noch kein Jobangebot, 18 bis 30 Jahre, will erst reinschnuppern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als Zwischenschritt über PSWV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55 Jahre oder Punktetest-Weg nicht offen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nz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Lohnschwellen, die Green-List-Berufe und die genauen SMC-Regeln ändern sich mehrfach im Jahr – zuletzt zum 24.08.2026. Prüfe jede Zahl vor einer Kündigung in Deutschland direkt bei Immigration New Zealand.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SMC-Punktesystem seit der Reform deutlich einfacher (6-Punkte-Schwelle)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Voraussetzungen hinter der Punktzahl bleiben anspruchsvoll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für rund 200 Berufe den Weg zur Residency</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exakt gelistete Berufe profitieren, keine verwandten Tätigkeiten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erlaubt Einstieg ohne Punktetest und ohne Altersgrenze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für die Vertragsdauer an einen einzelnen Arbeitgeber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ermöglicht risikoarmes erstes Kennenlernen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zahlt volle Gebühren, keine Fee-Waiver-Vergünstigung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eröffnet Abschluss, Punkte und Kontakte zugleich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Beruf, Alter, Sprachniveau, vorhandenes oder fehlendes Jobangebot. Prüfe als Erstes, ob dein Beruf auf der Green List steht – das entscheidet oft mehr über den passenden Weg als jede andere einzelne Zahl. Rechne parallel deine SMC-Punktzahl überschlägig durch, auch wenn du zunächst über ein AEWV einreisen willst – die Punktzahl zeigt dir, wie weit der spätere Wechsel zur Residency entfernt ist. Die folgenden Kapitel dieses Teils vertiefen den Arbeitsweg im Detail sowie Familie, Investor- und Ruhestandswege für alle, die keinen eigenen gefragten Beruf mitbringen.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mit der aktuellen Green List und dem passenden ANZSCO-Code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SMC-Punktzahl überschlägig berechnet (Qualifikation, Registrierung, Einkommen, NZ-Erfahrung)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akkreditierten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18 bis 30 Jahre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Lohnschwellen, Gebühren und Bearbeitungszeiten direkt bei Immigration New Zealand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5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5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5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Germany Working Holiday Visa (</w:t>
      </w:r>
      <w:hyperlink r:id="rId659">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w:t>
      </w:r>
      <w:hyperlink r:id="rId66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PDF-Formularseite)</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 und Charakteranforderungen (</w:t>
      </w:r>
      <w:hyperlink r:id="rId661">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4" w:name="__RefHeading___Toc56604_3457424410"/>
      <w:bookmarkStart w:id="175" w:name="tnz03"/>
      <w:bookmarkEnd w:id="174"/>
      <w:r>
        <w:rPr>
          <w:rFonts w:eastAsia="Amazon Ember" w:cs="Amazon Ember" w:ascii="Amazon Ember" w:hAnsi="Amazon Ember"/>
          <w:b/>
          <w:bCs/>
          <w:color w:val="0000FF"/>
          <w:sz w:val="36"/>
          <w:szCs w:val="36"/>
        </w:rPr>
        <w:t>Neuseeland: Der Arbeitsweg im Detail</w:t>
      </w:r>
      <w:bookmarkEnd w:id="1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glaubt, in Neuseeland zähle vor allem guter Wille und ein fester Händedruck, wird von der ersten Antwort-E-Mail von </w:t>
      </w:r>
      <w:r>
        <w:rPr>
          <w:rFonts w:eastAsia="Cambria" w:cs="Cambria"/>
          <w:b w:val="false"/>
          <w:bCs w:val="false"/>
          <w:i/>
          <w:iCs/>
          <w:sz w:val="22"/>
          <w:szCs w:val="22"/>
        </w:rPr>
        <w:t>Immigration New Zealand</w:t>
      </w:r>
      <w:r>
        <w:rPr>
          <w:rFonts w:eastAsia="Cambria" w:cs="Cambria"/>
          <w:b w:val="false"/>
          <w:bCs w:val="false"/>
          <w:i w:val="false"/>
          <w:iCs w:val="false"/>
          <w:sz w:val="22"/>
          <w:szCs w:val="22"/>
        </w:rPr>
        <w:t xml:space="preserve">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 wer die Regeln kennt, kann seinen eigenen Weg fast wie eine Rechnung nachvollziehen. Die weniger gute Nachricht: Ausgerechnet diese Regeln ändern sich derzeit im Halbjahrestakt, und wer sich auf den Stand von vor zwölf Monaten verlässt, rechnet mit der falschen Formel. Wer den deutschen Umgang mit Bürokratie für gründlich hält, darf sich auf ein weiteres Level gefasst machen – nur eben mit deutlich mehr Sonne und einer Behörde, die zumindest auf ihrer Website erstaunlich offen kommuniziert, was sie von dir will.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das Arbeitsvisum für Angestellte akkreditierter Arbeitgeber) ist das zentrale befristete Arbeitsvisum: Der Arbeitgeber muss vorab akkreditiert sein und einen </w:t>
            </w:r>
            <w:r>
              <w:rPr>
                <w:rFonts w:eastAsia="Cambria" w:cs="Cambria"/>
                <w:b w:val="false"/>
                <w:bCs w:val="false"/>
                <w:i/>
                <w:iCs/>
                <w:sz w:val="20"/>
                <w:szCs w:val="20"/>
              </w:rPr>
              <w:t>Job Check</w:t>
            </w:r>
            <w:r>
              <w:rPr>
                <w:rFonts w:eastAsia="Cambria" w:cs="Cambria"/>
                <w:b w:val="false"/>
                <w:bCs w:val="false"/>
                <w:i w:val="false"/>
                <w:iCs w:val="false"/>
                <w:sz w:val="20"/>
                <w:szCs w:val="20"/>
              </w:rPr>
              <w:t xml:space="preserve"> bestehen, bevor du überhaupt einen Antrag stellen kannst.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(Berufsliste mit bevorzugtem Zugang zur Residency) öffnet für rund 200 Berufe einen direkten (Tier 1) oder verkürzten (Tier 2, nach 24 Monaten Arbeit) Weg zum Daueraufenthalt.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Skilled Migrant Category</w:t>
            </w:r>
            <w:r>
              <w:rPr>
                <w:rFonts w:eastAsia="Cambria" w:cs="Cambria"/>
                <w:b w:val="false"/>
                <w:bCs w:val="false"/>
                <w:i w:val="false"/>
                <w:iCs w:val="false"/>
                <w:sz w:val="20"/>
                <w:szCs w:val="20"/>
              </w:rPr>
              <w:t xml:space="preserve"> (SMC, die Fachkräfte-Kategorie für den Daueraufenthalt) wurde 2025/26 grundlegend vereinfacht: Statt eines alten 180-Punkte-Systems reicht heute eine Schwelle von 6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SMC ohne neuseeländische Arbeitserfahrung direkt aus Deutschland beantragen will, braucht ein sehr hohes Gehalt – für die meisten deutschen Fachkräfte ist der Umweg über das AEWV realistischer.</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gehört nicht zu den Ländern mit Gebührenbefreiung; du zahlst die vollen Sätze, anders als etwa Antragstellende aus Österreich.</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Fristen ändern sich laufend: Prüfe vor jeder Entscheidung die aktuellen Werte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Accredited Employer Work Visa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AEWV ist seit 2022 der zentrale Zugang zum neuseeländischen Arbeitsmarkt für befristete Fachkräfte und läuft in drei getrennten Schritten, die auch drei getrennte Gebühren nach sich ziehen. Zuerst muss dein künftiger Arbeitgeber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(Arbeitgeber-Akkreditierung) durchlaufen – eine Prüfung, ob das Unternehmen finanziell solide genug ist und Arbeits- sowie Einwanderungsrecht einhält. Je nach erwarteter Zahl an AEWV-Beschäftigten zahlt der Arbeitgeber dafür 775 NZD (Standard), 1.280 NZD (High Volume, ab sechs Beschäftigten) oder 4.060 NZD (Triangular Employment, bei Personalverleih über Drittfirmen); die Bearbeitung dauert laut INZ rund zwei Werktage. Erst danach folgt der zweite Schritt,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(Stellenprüfung): Der Arbeitgeber weist für die konkrete Position nach, dass Lohn und Arbeitsbedingungen den Vorgaben entsprechen. Das kostet 735 NZD und dauert rund drei Werktage. Erst wenn beides bestätigt ist, kannst du selbst das eigentliche AEWV beantragen – Gebühr 1.540 NZD (480 NZD Antrag plus 1.060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eine Zusatzabgabe, die praktisch bei jedem Visum anfällt). INZ nennt für die Bearbeitung des Visumsantrags selbst „80 % innerhalb von sechs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von dir einen anerkannten Abschluss, ein Jobangebot und ein Mindestgehalt –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und dein eigener Antrag läuft danach vergleichsweise zügig durch.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Inhaltlich verlangt das AEWV eine Vollzeitstelle von mindestens 30 Wochenstunden, bezahlt mindestens zum marktüblichen Lohnsatz der Tätigkeit, sowie entweder mindestens zwei Jahre einschlägige Berufserfahrung oder eine Qualifikation auf </w:t>
      </w:r>
      <w:r>
        <w:rPr>
          <w:rFonts w:eastAsia="Cambria" w:cs="Cambria"/>
          <w:b w:val="false"/>
          <w:bCs w:val="false"/>
          <w:i/>
          <w:iCs/>
          <w:sz w:val="22"/>
          <w:szCs w:val="22"/>
        </w:rPr>
        <w:t>New Zealand Qualifications Framework</w:t>
      </w:r>
      <w:r>
        <w:rPr>
          <w:rFonts w:eastAsia="Cambria" w:cs="Cambria"/>
          <w:b w:val="false"/>
          <w:bCs w:val="false"/>
          <w:i w:val="false"/>
          <w:iCs w:val="false"/>
          <w:sz w:val="22"/>
          <w:szCs w:val="22"/>
        </w:rPr>
        <w:t xml:space="preserve">-Level 4 oder höher (NZQF, das neuseeländische Qualifikationsrahmenwerk, vergleichbar mit dem Deutschen Qualifikationsrahmen). Ein Englischnachweis ist nur für Berufe der ANZSCO-Kompetenzstufen 3 bis 5 zwingend vorgeschrieben – die </w:t>
      </w:r>
      <w:r>
        <w:rPr>
          <w:rFonts w:eastAsia="Cambria" w:cs="Cambria"/>
          <w:b w:val="false"/>
          <w:bCs w:val="false"/>
          <w:i/>
          <w:iCs/>
          <w:sz w:val="22"/>
          <w:szCs w:val="22"/>
        </w:rPr>
        <w:t>Australian and New Zealand Standard Classification of Occupations</w:t>
      </w:r>
      <w:r>
        <w:rPr>
          <w:rFonts w:eastAsia="Cambria" w:cs="Cambria"/>
          <w:b w:val="false"/>
          <w:bCs w:val="false"/>
          <w:i w:val="false"/>
          <w:iCs w:val="false"/>
          <w:sz w:val="22"/>
          <w:szCs w:val="22"/>
        </w:rPr>
        <w:t xml:space="preserve">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 wer so viel verdient, gilt automatisch als ausreichend qualifiziert. Zur Einordnung: Der allgemeine neuseeländische Mindestlohn liegt seit dem 1. April 2026 bei 23,95 NZD/Std. – selbst die niedrigsten AEWV-Branchenausnahmen liegen also spürbar darüber, und der reguläre Medianlohn von 35,00 NZD/Std. bildet für die meisten Berufe die eigentliche Untergrenze.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insgesamt 24 Monate überschreitet. INZ verpflichtet den Arbeitgeber ausdrücklich, bei der Ansiedlung zu unterstützen, keine Anwerbekosten auf dich abzuwälzen und Arbeits- sowie Migrationsrecht einzuhalten – eine Klausel, die es in dieser Form so pauschal im deutschen Arbeitsrecht nicht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bindet dich an genau einen Arbeitgeber und eine einzige Position. Ein Jobwechsel bedeutet in aller Regel: neuer Job Check, neuer Antrag, neue Gebühren – nicht einfach eine formlose Ummeldung. Wer während der Jobsuche schon eine Kündigung in Deutschland ausspricht, sollte diesen zeitlichen Vorlauf realistisch einplanen und nicht mit einem nahtlosen Übergang 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 List: direkter oder verkürzter Weg zur Residency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Einzelberufe hat INZ mit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einen Sonderweg geschaffen, der das AEWV mit einem beschleunigten Zugang zum Daueraufenthalt verbindet. Die Liste ist in zwei Stufen gegliedert. In </w:t>
      </w: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kannst du direkt ein Daueraufenthaltsvisum beantragen, sobald ein akkreditierter Arbeitgeber dir eine Stelle anbietet und du die berufsspezifischen Anforderungen erfüllst – ganz ohne vorherige Arbeitszeit in Neuseeland. In </w:t>
      </w: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startest du zunächst mit dem regulären AEWV und kannst erst wechseln, nachdem du innerhalb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 Felder, in denen deutsche Fachkräfte traditionell stark vertreten sind. Die Logik dahinter ist wenig überraschend: INZ pflegt die Liste dort ein, wo der neuseeländische Arbeitsmarkt seit Jahren spürbaren Fachkräftemangel meldet, und passt sie entsprechend an, wenn sich dieser Mangel verschiebt.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für einen Beruf kein eigener Lohnschwellenwert gilt, greift ersatzweise der allgemeine Immigration-Medianlohn von 35,00 NZD/Std. als Mindestgrenze. Beide Tiers setzen dabei immer eine Stelle bei einem akkreditierten Arbeitgeber voraus – die Green List ist also kein eigenständiges Visum, sondern ein Turbo-Aufsatz auf das AEWV-System.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lesen „Green List“ und denken an eine Art Lotteriegewinn, der automatisch zur Aufenthaltserlaubnis führt. Tatsächlich ersetzt die Liste weder die Jobsuche noch die Lohn- und Registrierungsvoraussetzungen des jeweiligen Berufs – sie verkürzt lediglich den Weg, nachdem du diese Hürden bereits genommen hast. Wer seinen Beruf auf der Liste findet, sollte vor jeder Entscheidung genau prüfen, ob die eigene Qualifikation und gegebenenfalls die berufliche Registrierung exakt dem gelisteten ANZSCO-Code entsprechen; Abweichungen im Detail sind keine Seltenheit.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Sebastian, 43, Agraringenieur aus Rostock, findet über eine Fachmesse Kontakt zu einem akkreditierten Arbeitgeber im Großraum Christchurch. Sein Beruf taucht in der Green List unter den Ingenieursrollen auf, sodass er nach bestandenem Job Check direkt in Tier 1 einsteigen kann, statt erst zwei Jahre AEWV-Arbeit nachweisen zu müssen. Petra, 40, Tierärztin, erhält als Partnerin ein eigenes Arbeitsvisum und kann ihre Zulassung parallel bei der zuständigen neuseeländischen Stelle prüfen lassen. Mit Lotta, 12, und Finn, 8, zieht die Familie nach Christchurch, Canterbury – für die Kinder ändert sich vor allem der Schulweg, für die Eltern vor allem die Papierlage.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Skilled Migrant Category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ist das Hauptvisum für Fachkräfte, die dauerhaft in Neuseeland leben wollen, unabhängig von der Green List. Seit einer 2025/26 durchgeführten Reform arbeitet die SMC mit einer vereinfachten 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 deutlich weniger komplex als das frühere 180-Punkte-Modell mit Bewerberpool, dessen genaues Reformdatum sich nicht abschließend verifizieren ließ und das hier deshalb nur als Kontrastfolie dient. Die Punkte setzen sich aus vier Quellen zusammen: Qualifikation (4 bis 6 Punkte, ein Bachelorabschluss bringt seit dem 24. August 2026 vier statt vorher drei Punkte – ausdrücklich auch, wenn er nach dem </w:t>
      </w:r>
      <w:r>
        <w:rPr>
          <w:rFonts w:eastAsia="Cambria" w:cs="Cambria"/>
          <w:b w:val="false"/>
          <w:bCs w:val="false"/>
          <w:i/>
          <w:iCs/>
          <w:sz w:val="22"/>
          <w:szCs w:val="22"/>
        </w:rPr>
        <w:t>Washington Accord</w:t>
      </w:r>
      <w:r>
        <w:rPr>
          <w:rFonts w:eastAsia="Cambria" w:cs="Cambria"/>
          <w:b w:val="false"/>
          <w:bCs w:val="false"/>
          <w:i w:val="false"/>
          <w:iCs w:val="false"/>
          <w:sz w:val="22"/>
          <w:szCs w:val="22"/>
        </w:rPr>
        <w:t xml:space="preserve"> oder </w:t>
      </w:r>
      <w:r>
        <w:rPr>
          <w:rFonts w:eastAsia="Cambria" w:cs="Cambria"/>
          <w:b w:val="false"/>
          <w:bCs w:val="false"/>
          <w:i/>
          <w:iCs/>
          <w:sz w:val="22"/>
          <w:szCs w:val="22"/>
        </w:rPr>
        <w:t>Sydney Accord</w:t>
      </w:r>
      <w:r>
        <w:rPr>
          <w:rFonts w:eastAsia="Cambria" w:cs="Cambria"/>
          <w:b w:val="false"/>
          <w:bCs w:val="false"/>
          <w:i w:val="false"/>
          <w:iCs w:val="false"/>
          <w:sz w:val="22"/>
          <w:szCs w:val="22"/>
        </w:rPr>
        <w:t xml:space="preserve"> akkreditiert ist, zwei internationalen Abkommen zur gegenseitigen Anerkennung von Ingenieursabschlüssen, denen auch deutsche Akkreditierungsstellen angehören können –, ein Master- oder Doktortitel entsprechend mehr; prüfe die Akkreditierung deines konkreten Studiengangs im Einzelfall), berufliche Registrierung (3 bis 6 Punkte, relevant vor allem für reglementierte Berufe wie Pflege, Medizin oder bestimmte Ingenieursdisziplinen), Einkommen (3 bis 6 Punkte, siehe unten) sowie ein Bonus von bis zu 3 zusätzlichen Punkten für bereits geleistete Facharbeit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Einkommenspunkte hängen unmittelbar vom Stundenlohn ab, und zwar gestaffelt: Ohne jede neuseeländische Arbeitserfahrung braucht es 105,00 NZD/Std. (das Dreifache des Medianlohns) für die vollen 6 Punkte. Mit bereits geleisteter Facharbeit in Neuseeland genügen 70,00 NZD/Std. (das Doppelte) für 4 Punkte, mit einer Grundschwelle von 35,00 NZD/Std. für Berufe der ANZSCO-Kompetenzstufen 1 bis 3 beziehungsweise 52,50 NZD/Std. für Stufe 4/5 oder ungelistete Berufe. Für den Trades-&amp;-Technician-Pfad gilt eine eigene Staffelung zwischen 35,00 und 42,00 NZD/Std., je nachdem, ob der Beruf auf der sogenannten Amber List steht. Wichtig für die Planung: Nach dem Grundsatz „once your threshold is set, it does not change“ bleibt der beim Start deiner Facharbeit geltende Lohnsatz maßgeblich, auch wenn die Schwelle später steigt.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Beginnst du deine Facharbeit rechtzeitig, bevor eine angekündigte Schwellenerhöhung greift, dokumentiere Startdatum und damals geltenden Lohnsatz sorgfältig – etwa mit Arbeitsvertrag, erster Gehaltsabrechnung und einem Ausdruck der damals gültigen INZ-Lohnschwellenseite. Weil der Einstiegssatz eingefroren wird, kann dich das später vor einer sonst nötigen Gehaltssteigerung allein wegen einer Regeländerung bewahren.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Reform vom 24. August 2026 hat das System an mehreren Stellen weiter verändert: Statt getrennter Lohnsätze für die Erfahrungsphase und die Antragstellung gilt seither nur noch eine einheitliche SMC-Lohnschwelle, ergänzt um eine fünfmonatige Kulanzfrist, wenn die Facharbeit innerhalb von fünf Monaten nach Visumerteilung beginnt. Level-8- oder Level-9-Qualifikationen (etwa bestimmte Masterabschlüsse) benötigen zusätzlich einen nachgewiesenen Bachelor-Unterbau, außer bei speziell gelisteten neuseeländischen Masterabschlüssen mit eigener Fünf-Punkte-Regel. Beim Trades-&amp;-Technician-Pfad zählen für neuseeländische Qualifikationen mindestens 120 Credits, während ausländische Abschlüsse stattdessen über eine individuelle Qualifikationsbewertung (IQA) auf Level 4 oder höher eingestuft werden. Eine Änderung betrifft besonders Selbstständige: Selbstständigkeit zählt seit der Reform nicht mehr automatisch als „direkt relevante Arbeitserfahrung“ – Nachweise müssen unabhängig überprüfbar sein, etwa durch Kundenverträge, Rechnungen und Referenzen Dritter, nicht durch eigene Angaben allein.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beziehungsweise mindestens sechs Monate Vertrag oder Vertragsreihe, guter Gesundheitszustand sowie ein Führungszeugnis ab 17 Jahren. Wer die reguläre Einkommensschwelle nicht erreicht, hat zwei alternative Pfade: den </w:t>
      </w:r>
      <w:r>
        <w:rPr>
          <w:rFonts w:eastAsia="Cambria" w:cs="Cambria"/>
          <w:b w:val="false"/>
          <w:bCs w:val="false"/>
          <w:i/>
          <w:iCs/>
          <w:sz w:val="22"/>
          <w:szCs w:val="22"/>
        </w:rPr>
        <w:t>Skilled Work Experience Pathway</w:t>
      </w:r>
      <w:r>
        <w:rPr>
          <w:rFonts w:eastAsia="Cambria" w:cs="Cambria"/>
          <w:b w:val="false"/>
          <w:bCs w:val="false"/>
          <w:i w:val="false"/>
          <w:iCs w:val="false"/>
          <w:sz w:val="22"/>
          <w:szCs w:val="22"/>
        </w:rPr>
        <w:t xml:space="preserve"> (mindestens fünf Jahre einschlägige Berufserfahrung, davon mindestens zwei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(Level-4-Qualifikation oder höher, mindestens 2,5 Jahre einschlägige Erfahrung nach Abschluss, davon mindestens 1,5 Jahre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Erteilung ist das Daueraufenthaltsvisum nicht ganz voraussetzungslos: Eine sogenannte Section-49-Bedingung kann vorsehen, dass eine ununterbrochene Arbeitslosigkeit von mehr als drei Monaten die Bedingungen des Visums verletzt. Die Kosten liegen bei 6.450 NZD für die Hauptantragstellerin oder den Hauptantragsteller (2.880 NZD Antragsgebühr plus 3.570 NZD Levy); Partner und Kinder werden über eigene Kategorien separat berechnet. Wichtig für die Reiseplanung: Das erteilte Daueraufenthaltsvisum erlaubt zunächst zwei Jahre freies Ein- und Ausreisen ab der ersten Einreise; danach braucht es in der Regel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(unbefristetes Daueraufenthaltsvisum ohne Reisebeschränkung), um weiterhin uneingeschränkt reisen zu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wie das AEWV ist kein Daueraufenthalt. Es ist befristet, an einen einzigen Arbeitgeber gebunden und endet mit dem Job. Die SMC dagegen führt zu einem unbefristeten Aufenthaltsrecht, unabhängig von einer bestimmten Stelle – auch wenn die Section-49-Bedingung zeigt, dass „unbefristet“ nicht ganz ohne Erwartungen an dich kommt.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plant den Weg direkt aus Deutschland, ohne vorherige neuseeländische Arbeitserfahrung. Damit braucht er für die vollen Einkommenspunkte einen Stundenlohn von rund 105 NZD – bei seinem Beratungsprofil mit internationalen Kunden realistisch erreichbar, aber kein Selbstläufer. Seinen Bachelorabschluss lässt er vorab bewerten, um sicherzugehen, dass er die seit August 2026 vier statt drei Punkte auch tatsächlich bekommt, und kombiniert das mit einem konkreten Jobangebot eines Unternehmens in Auckland, um die Gesamtschwelle von 6 Punkten sicher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Praxis führen für die meisten deutschen Fachkräfte drei Routen nach Neuseeland, und sie unterscheiden sich deutlich in Tempo und Risiko. Der planbarste Weg ist das AEWV mit anschließendem Wechsel über </w:t>
      </w:r>
      <w:r>
        <w:rPr>
          <w:rFonts w:eastAsia="Cambria" w:cs="Cambria"/>
          <w:b/>
          <w:bCs/>
          <w:i w:val="false"/>
          <w:iCs w:val="false"/>
          <w:sz w:val="22"/>
          <w:szCs w:val="22"/>
        </w:rPr>
        <w:t>Green-List-Tier-2</w:t>
      </w:r>
      <w:r>
        <w:rPr>
          <w:rFonts w:eastAsia="Cambria" w:cs="Cambria"/>
          <w:b w:val="false"/>
          <w:bCs w:val="false"/>
          <w:i w:val="false"/>
          <w:iCs w:val="false"/>
          <w:sz w:val="22"/>
          <w:szCs w:val="22"/>
        </w:rPr>
        <w:t xml:space="preserve"> oder die SMC mit neuseeländischer Arbeitserfahrung: Du brauchst zunächst „nur“ einen akkreditierten Arbeitgeber und den niedrigeren Lohnsatz von 70,00 NZD/Std. für die Einkommenspunkte, sammelst vor Ort Erfahrung und stellst den Residency-Antrag erst, wenn du die Lohnschwelle bereits erreichst. Schneller, aber enger ist </w:t>
      </w:r>
      <w:r>
        <w:rPr>
          <w:rFonts w:eastAsia="Cambria" w:cs="Cambria"/>
          <w:b/>
          <w:bCs/>
          <w:i w:val="false"/>
          <w:iCs w:val="false"/>
          <w:sz w:val="22"/>
          <w:szCs w:val="22"/>
        </w:rPr>
        <w:t>Green-List-Tier 1</w:t>
      </w:r>
      <w:r>
        <w:rPr>
          <w:rFonts w:eastAsia="Cambria" w:cs="Cambria"/>
          <w:b w:val="false"/>
          <w:bCs w:val="false"/>
          <w:i w:val="false"/>
          <w:iCs w:val="false"/>
          <w:sz w:val="22"/>
          <w:szCs w:val="22"/>
        </w:rPr>
        <w:t xml:space="preserve">: Direkter Weg zur Residency, aber nur, wenn dein exakter Beruf gelistet ist und ein akkreditierter Arbeitgeber sofort bereitsteht. Am voraussetzungsreichsten ist die </w:t>
      </w:r>
      <w:r>
        <w:rPr>
          <w:rFonts w:eastAsia="Cambria" w:cs="Cambria"/>
          <w:b/>
          <w:bCs/>
          <w:i w:val="false"/>
          <w:iCs w:val="false"/>
          <w:sz w:val="22"/>
          <w:szCs w:val="22"/>
        </w:rPr>
        <w:t>direkte SMC-Bewerbung aus Deutschland</w:t>
      </w:r>
      <w:r>
        <w:rPr>
          <w:rFonts w:eastAsia="Cambria" w:cs="Cambria"/>
          <w:b w:val="false"/>
          <w:bCs w:val="false"/>
          <w:i w:val="false"/>
          <w:iCs w:val="false"/>
          <w:sz w:val="22"/>
          <w:szCs w:val="22"/>
        </w:rPr>
        <w:t xml:space="preserve"> ohne jede neuseeländische Erfahrung. Dieser Weg verlangt den höchsten Lohnsatz (105,00 NZD/Std., umgerechnet auf eine Vollzeitstelle etwa 218.000 NZD im Jahr) und eignet sich vor allem für Fachkräfte in gut bezahlten Nischen wie erfahrene IT-Beraterinnen und -Berater, Fachärztinnen und Fachärzte oder Senior-Ingenieurinnen und -Ingenieure mit internationalem Gehaltsniveau.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Dinge solltest du bei der Kostenplanung nicht übersehen. Erstens: Deutschland steht nicht auf der INZ-Liste der Länder mit Gebührenbefreiung –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 je nach gewähltem Pfad – ein bis zwei weitere Jahre bis zum Daueraufenthalt.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Sprachlich sind gute Englischkenntnisse in jedem der drei Wege Pflicht, wenn auch beim AEWV nur für bestimmte Kompetenzstufen zwingend vorgeschrieben. Wer aus einem reglementierten Beruf kommt – Pflege, Medizin, bestimmte Ingenieursdisziplinen –, sollte die Anerkennung der eigenen Qualifikation und die Registrierung bei der zuständigen neuseeländischen Berufsstelle so früh wie möglich klären, da diese Prüfungen oft mehr Zeit beanspruchen als der eigentliche Visumsantrag.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noch keinen akkreditierten Arbeitgeber gefunden hat, aber unter 31 Jahre alt ist, hat noch eine weitere, deutlich niedrigschwelligere Tür: das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für deutsche Staatsangehörige zwischen 18 und 30 Jahren, ohne Jobangebot beantragbar, gültig für bis zu zwölf Monate, gegen Nachweis von mindestens 4.200 NZD Lebenshaltungsmitteln. Es erlaubt keine Dauerstelle, aber genau die Art von Vor-Ort-Kontakten, aus denen später ein Jobangebot und damit ein AEWV werden kann – ein Umweg, der sich vor allem für jüngere Fachkräfte am Anfang der Karriere lohnt, die noch keinen fertigen Arbeitsvertrag in der Tasche haben. Wer darüber hinaus ist, bleibt auf die direkte Bewerbung bei akkreditierten Arbeitgebern angewiesen.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dem deutschen System zeigt noch einen grundsätzlichen Unterschied: Die Blaue Karte EU kennt keinen Wettbewerb um eine begrenzte Zahl an Einladungen und auch keine Punkteschwelle, die sich mehrmals im Jahr verschiebt –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gängige Praxis des neuseeländischen Arbeitsvisumssystems, ersetzt aber keine Beratung durch eine bei der zuständigen Aufsichtsstelle registrierte Einwanderungsberaterin, einen registrierten Einwanderungsberater (</w:t>
            </w:r>
            <w:r>
              <w:rPr>
                <w:rFonts w:eastAsia="Cambria" w:cs="Cambria"/>
                <w:b w:val="false"/>
                <w:bCs w:val="false"/>
                <w:i/>
                <w:iCs/>
                <w:sz w:val="20"/>
                <w:szCs w:val="20"/>
              </w:rPr>
              <w:t>Licensed Immigration Adviser</w:t>
            </w:r>
            <w:r>
              <w:rPr>
                <w:rFonts w:eastAsia="Cambria" w:cs="Cambria"/>
                <w:b w:val="false"/>
                <w:bCs w:val="false"/>
                <w:i w:val="false"/>
                <w:iCs w:val="false"/>
                <w:sz w:val="20"/>
                <w:szCs w:val="20"/>
              </w:rPr>
              <w:t>) oder eine auf neuseeländisches Recht spezialisierte Anwaltskanzlei. Gerade bei Lohnschwellen, Berufsregistrierung und der Wahl zwischen AEWV, Green List und SMC lohnt sich eine individuelle Prüfung, bevor du kündigst oder Gebühren zahlst.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 dokumentiertes, transparentes Punkte- und Lohnschwellensystem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Schwellen und Regeln ändern sich mehrfach jährlich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den Weg zum Daueraufenthalt erheblich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rund 200 Berufe gültig, exakter ANZSCO-Code entscheidet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AEWV-Einstieg auch ohne sofortige Spitzengehälter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dich fest an einen einzigen Arbeitgeber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bietet mit 6-Punkte-Schwelle ein einfacheres Modell als früher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Direktbewerbung aus Deutschland verlangt sehr hohes Gehalt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gesetzte Lohnschwelle bleibt für dich eingefroren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Gebührenbefreiung für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einem nüchternen Abgleich: Prüfe, ob dein Beruf auf der Green List steht und, wenn ja, in welchem Tier, und ob der dort genannte ANZSCO-Code wirklich zu deiner Qualifikation und beruflichen Registrierung passt. Lass parallel deinen Abschluss und – falls einschlägig – deine berufliche Zulassung von der zuständigen neuseeländischen Stelle bewerten, denn das dauert oft länger als du denkst. Berechne anhand der aktuellen Lohnschwellen, welchen der drei Wege (AEWV mit späterem Wechsel, Green-List-Tier-1 oder direkte SMC-Bewerbung) dein Gehaltsniveau realistisch zulässt, und suche gezielt nach akkreditierten Arbeitgebern in deinem Berufsfeld. Kläre außerdem frühzeitig deinen Englischnachweis, auch wenn er für deine ANZSCO-Stufe formal nicht zwingend ist – ein aktueller Test schadet keiner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 wer sie schon während der Jobsuche griffbereit hat, gewinnt bei der eigentlichen Antragstellung wertvolle Wochen. Die konkreten Schritte zu Antrag, Konsulat, Gesamtkosten und Bearbeitungszeit behandelt das </w:t>
      </w:r>
      <w:hyperlink w:anchor="tnz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gegen die aktuelle Green List und den passenden ANZSCO-Code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Qualifikation und ggf. Berufsregistrierung bei der zuständigen neuseeländischen Stelle bewerten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SMC-Lohnschwellen mit dem eigenen (angestrebten) Gehalt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Englischnachweis vorbereiten, auch wenn nicht für jede Stufe zwingend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Gezielt nach akkreditierten Arbeitgebern im eigenen Berufsfeld 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AEWV+Wechsel, Green-List-Tier-1 oder Direktbewerbung realistisch zum eigenen Profil 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Start- und Lohndaten bei Arbeitsbeginn sorgfältig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Werte auf immigration.govt.nz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62">
        <w:r>
          <w:rPr>
            <w:rStyle w:val="ListLabel113"/>
            <w:rFonts w:eastAsia="Cambria" w:cs="Cambria"/>
            <w:b w:val="false"/>
            <w:bCs w:val="false"/>
            <w:i w:val="false"/>
            <w:iCs w:val="false"/>
            <w:color w:val="0563C1"/>
            <w:sz w:val="22"/>
            <w:szCs w:val="22"/>
            <w:u w:val="single"/>
          </w:rPr>
          <w:t>immigration.govt.nz/new-zealand-visas/visas/visa/accredited-employer-work-visa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63">
        <w:r>
          <w:rPr>
            <w:rStyle w:val="ListLabel113"/>
            <w:rFonts w:eastAsia="Cambria" w:cs="Cambria"/>
            <w:b w:val="false"/>
            <w:bCs w:val="false"/>
            <w:i w:val="false"/>
            <w:iCs w:val="false"/>
            <w:color w:val="0563C1"/>
            <w:sz w:val="22"/>
            <w:szCs w:val="22"/>
            <w:u w:val="single"/>
          </w:rPr>
          <w:t>immigration.govt.nz/new-zealand-visas/visas/visa/skilled-migrant-category-resident-visa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64">
        <w:r>
          <w:rPr>
            <w:rStyle w:val="ListLabel113"/>
            <w:rFonts w:eastAsia="Cambria" w:cs="Cambria"/>
            <w:b w:val="false"/>
            <w:bCs w:val="false"/>
            <w:i w:val="false"/>
            <w:iCs w:val="false"/>
            <w:color w:val="0563C1"/>
            <w:sz w:val="22"/>
            <w:szCs w:val="22"/>
            <w:u w:val="single"/>
          </w:rPr>
          <w:t>immigration.govt.nz/new-zealand-visas/preparing-a-visa-application/working-in-nz/green-list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SMC-Lohnschwellen (</w:t>
      </w:r>
      <w:hyperlink r:id="rId665">
        <w:r>
          <w:rPr>
            <w:rStyle w:val="ListLabel113"/>
            <w:rFonts w:eastAsia="Cambria" w:cs="Cambria"/>
            <w:b w:val="false"/>
            <w:bCs w:val="false"/>
            <w:i w:val="false"/>
            <w:iCs w:val="false"/>
            <w:color w:val="0563C1"/>
            <w:sz w:val="22"/>
            <w:szCs w:val="22"/>
            <w:u w:val="single"/>
          </w:rPr>
          <w:t>immigration.govt.nz/.../skilled-migrant-category-resident-visa-wage-rate-thresholds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6">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Gesundheitsanforderungen (</w:t>
      </w:r>
      <w:hyperlink r:id="rId66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SMC- und AEWV-Lohnschwellen, die genaue Zusammensetzung der Green List, Bearbeitungszeiten und Gebühren. Prüfe vor jeder Entscheidung die aktuellen Werte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6" w:name="__RefHeading___Toc56606_3457424410"/>
      <w:bookmarkStart w:id="177" w:name="tnz04"/>
      <w:bookmarkEnd w:id="176"/>
      <w:r>
        <w:rPr>
          <w:rFonts w:eastAsia="Amazon Ember" w:cs="Amazon Ember" w:ascii="Amazon Ember" w:hAnsi="Amazon Ember"/>
          <w:b/>
          <w:bCs/>
          <w:color w:val="0000FF"/>
          <w:sz w:val="36"/>
          <w:szCs w:val="36"/>
        </w:rPr>
        <w:t>Neuseeland: Familie, Investoren und der Ruhestand</w:t>
      </w:r>
      <w:bookmarkEnd w:id="177"/>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Das Partnervisum verlangt zwölf Monate nachgewiesenes Zusammenleben in einer echten Partnerschaft; die Bearbeitung dauert im Schnitt rund sechs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frühere Entrepreneur Work Visa wurde offiziell zum 27.08.2025 durch das Business Investor Work Visa ersetzt – die Gebührentabelle von Immigration New Zealand führt die alte Kategorie im Mai 2026 aber weiterhin auf. Diese Diskrepanz ist ungeklärt.</w:t>
            </w:r>
          </w:p>
          <w:p>
            <w:pPr>
              <w:pStyle w:val="ListParagraph"/>
              <w:numPr>
                <w:ilvl w:val="0"/>
                <w:numId w:val="1"/>
              </w:numPr>
              <w:spacing w:lineRule="exact" w:line="264" w:before="0" w:after="50"/>
              <w:rPr/>
            </w:pPr>
            <w:r>
              <w:rPr>
                <w:rFonts w:eastAsia="Cambria" w:cs="Cambria"/>
                <w:b w:val="false"/>
                <w:bCs w:val="false"/>
                <w:i w:val="false"/>
                <w:iCs w:val="false"/>
                <w:sz w:val="20"/>
                <w:szCs w:val="20"/>
              </w:rPr>
              <w:t>Investorenvisa bewegen sich zwischen 1 Million NZD (langsamerer Weg) und 10 Millionen NZD (Active Investor Plus, „Balanced“) – nichts davon ist ein Weg für den Mittelstand.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 ist unter den vier Ländern dieses Buches das einzige mit einem Ruhestandsweg ganz ohne dort lebendes Kind: der </w:t>
            </w:r>
            <w:r>
              <w:rPr>
                <w:rFonts w:eastAsia="Cambria" w:cs="Cambria"/>
                <w:b w:val="false"/>
                <w:bCs w:val="false"/>
                <w:i/>
                <w:iCs/>
                <w:sz w:val="20"/>
                <w:szCs w:val="20"/>
              </w:rPr>
              <w:t>Temporary Retirement Visitor Visa</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Dieser Weg ist allerdings nur zwei Jahre befristet und verlangt 750.000 NZD Investition, 500.000 NZD Liquidität und 60.000 NZD Jahreseinkommen – eine durchschnittliche deutsche Rente allein reicht dafür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Programmstatus ändern sich häufig: Prüfe vor jeder Entscheidung die aktuellen Angaben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und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Ehepaare, eingetragene Lebenspartnerschaften und sogenannte </w:t>
      </w:r>
      <w:r>
        <w:rPr>
          <w:rFonts w:eastAsia="Cambria" w:cs="Cambria"/>
          <w:b w:val="false"/>
          <w:bCs w:val="false"/>
          <w:i/>
          <w:iCs/>
          <w:sz w:val="22"/>
          <w:szCs w:val="22"/>
        </w:rPr>
        <w:t>De-facto</w:t>
      </w:r>
      <w:r>
        <w:rPr>
          <w:rFonts w:eastAsia="Cambria" w:cs="Cambria"/>
          <w:b w:val="false"/>
          <w:bCs w:val="false"/>
          <w:i w:val="false"/>
          <w:iCs w:val="false"/>
          <w:sz w:val="22"/>
          <w:szCs w:val="22"/>
        </w:rPr>
        <w:t xml:space="preserve">-Partnerschaften (unverheiratete, aber fest zusammenlebende Paare, einschließlich gleichgeschlechtlicher Paare) sieht die </w:t>
      </w:r>
      <w:r>
        <w:rPr>
          <w:rFonts w:eastAsia="Cambria" w:cs="Cambria"/>
          <w:b w:val="false"/>
          <w:bCs w:val="false"/>
          <w:i/>
          <w:iCs/>
          <w:sz w:val="22"/>
          <w:szCs w:val="22"/>
        </w:rPr>
        <w:t>Family Category</w:t>
      </w:r>
      <w:r>
        <w:rPr>
          <w:rFonts w:eastAsia="Cambria" w:cs="Cambria"/>
          <w:b w:val="false"/>
          <w:bCs w:val="false"/>
          <w:i w:val="false"/>
          <w:iCs w:val="false"/>
          <w:sz w:val="22"/>
          <w:szCs w:val="22"/>
        </w:rPr>
        <w:t xml:space="preserve"> („Partner of a New Zealander Resident Visa“) einen eigenen Weg zum Daueraufenthalt vor. Zentrale Voraussetzung: Das Paar muss zum Zeitpunkt der Antragstellung seit mindestens zwölf Monaten in einer echten, festen Partnerschaft zusammenleben. Der unterstützende Partner muss neuseeländische Staatsbürgerschaft oder einen Residence-Status besitzen und darf in den vergangenen fünf Jahren keine andere Person für ein Residence-Visum unterstützt haben – eine Klausel, die Mehrfach-Sponsoring in kurzer Folge verhindern soll. Beide Partner müssen zudem die üblichen Gesundheits- und Charakteranforderungen erfüllen, die für praktisch jedes Daueraufenthaltsvisum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liegt bei 5.360 NZD (1.940 NZD Antrag plus 3.420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 mitreisendes, abhängiges Kind kostet zusätzlich 1.830 NZD Antrag plus 1.400 NZD Levy. Als „abhängiges Kind“ zählt dabei, wer 17 Jahre oder jünger und ledig ist, 18 bis 20 Jahre, ledig und kinderlos, oder 21 bis 24 Jahre, ledig, kinderlos und wirtschaftlich überwiegend von den Eltern abhängig. Die Bearbeitung dauert im Schnitt rund sechs Monate – deutlich länger als bei vielen Arbeitsvisa, aber ohne die jahrelangen Wartezeiten, die andere Länder bei manchen Familienkategorien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relativiert die Wartezeit außerdem: Auch ein deutsches Verwaltungsverfahren für den Familiennachzug – etwa bei binationalen Paaren, die von einem Drittstaat nach Deutschland ziehen wollen –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auf die Entscheidung über das Daueraufenthaltsvisum warten will oder kann, findet im </w:t>
      </w:r>
      <w:r>
        <w:rPr>
          <w:rFonts w:eastAsia="Cambria" w:cs="Cambria"/>
          <w:b w:val="false"/>
          <w:bCs w:val="false"/>
          <w:i/>
          <w:iCs/>
          <w:sz w:val="22"/>
          <w:szCs w:val="22"/>
        </w:rPr>
        <w:t>Partnership Work Visa</w:t>
      </w:r>
      <w:r>
        <w:rPr>
          <w:rFonts w:eastAsia="Cambria" w:cs="Cambria"/>
          <w:b w:val="false"/>
          <w:bCs w:val="false"/>
          <w:i w:val="false"/>
          <w:iCs w:val="false"/>
          <w:sz w:val="22"/>
          <w:szCs w:val="22"/>
        </w:rPr>
        <w:t xml:space="preserve"> eine befristete Zwischenlösung: ein Arbeitsvisum für Partnerinnen und Partner neuseeländischer Staatsbürgerinnen und Staatsbürger oder Residents sowie für Partner bestimmter Arbeits- oder Studienvisum-Inhaberinnen und -Inhaber, Gebühr 1.630 NZD (570 NZD Antrag plus 1.060 NZD Levy).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das befristete Partnership Work Visa nicht mit dem eigentlichen Daueraufenthaltsvisum der Family Category. Das eine erlaubt dir zu arbeiten, während der Antrag läuft – das andere ist das Ziel selbst. Wer nach Erhalt des Partnership Work Visa den eigentlichen Residence-Antrag aus den Augen verliert, sitzt am Ende mit einem befristeten Status da, obwohl eigentlich ein unbefristeter geplant war.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Pr>
            <w:rStyle w:val="ListLabel113"/>
            <w:rFonts w:eastAsia="Cambria" w:cs="Cambria"/>
            <w:b w:val="false"/>
            <w:bCs w:val="false"/>
            <w:i w:val="false"/>
            <w:iCs w:val="false"/>
            <w:color w:val="0563C1"/>
            <w:sz w:val="22"/>
            <w:szCs w:val="22"/>
            <w:u w:val="single"/>
          </w:rPr>
          <w:t>vorherigen Kapitel dieses Teils</w:t>
        </w:r>
      </w:hyperlink>
      <w:r>
        <w:rPr>
          <w:rFonts w:eastAsia="Cambria" w:cs="Cambria"/>
          <w:b w:val="false"/>
          <w:bCs w:val="false"/>
          <w:i w:val="false"/>
          <w:iCs w:val="false"/>
          <w:sz w:val="22"/>
          <w:szCs w:val="22"/>
        </w:rPr>
        <w:t xml:space="preserve"> behandelt) läuft das über eigene Partner- und Kindervisa, die an das Hauptvisum anknüpfen, nicht über die Family Category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Während Sebastian, 43, Agraringenieur aus Rostock, sein Arbeitsvisum über die Green List beantragt, stellt Petra, 40, Tierärztin, parallel einen Antrag auf ein eigenes Partnervisum mit Arbeitsberechtigung – so kann sie nach der Einreise unabhängig von Sebastians Arbeitgeber selbst eine Stelle suchen oder ihre tierärztliche Zulassung bei der zuständigen neuseeländischen Stelle prüfen lassen. Lotta, 12, und Finn, 8, werden als abhängige Kinder in den Antrag eingeschlossen. Die Familie plant die Bearbeitungszeit von mehreren Monaten von vornherein in den Umzugstermin ein, statt sich auf einen nahtlosen Übergang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über einen Arbeitgeber, sondern über Kapital nach Neuseeland will, hat seit den letzten Jahren zwei sehr unterschiedlich anspruchsvolle Türen. Am oberen Ende steht das </w:t>
      </w:r>
      <w:r>
        <w:rPr>
          <w:rFonts w:eastAsia="Cambria" w:cs="Cambria"/>
          <w:b w:val="false"/>
          <w:bCs w:val="false"/>
          <w:i/>
          <w:iCs/>
          <w:sz w:val="22"/>
          <w:szCs w:val="22"/>
        </w:rPr>
        <w:t>Active Investor Plus Visa</w:t>
      </w:r>
      <w:r>
        <w:rPr>
          <w:rFonts w:eastAsia="Cambria" w:cs="Cambria"/>
          <w:b w:val="false"/>
          <w:bCs w:val="false"/>
          <w:i w:val="false"/>
          <w:iCs w:val="false"/>
          <w:sz w:val="22"/>
          <w:szCs w:val="22"/>
        </w:rPr>
        <w:t>,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 die mit Abstand höchste Levy aller neuseeländischen Visakategorien.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alle, die tatsächlich ein Unternehmen führen statt nur Kapital zu parken, ist das </w:t>
      </w:r>
      <w:r>
        <w:rPr>
          <w:rFonts w:eastAsia="Cambria" w:cs="Cambria"/>
          <w:b w:val="false"/>
          <w:bCs w:val="false"/>
          <w:i/>
          <w:iCs/>
          <w:sz w:val="22"/>
          <w:szCs w:val="22"/>
        </w:rPr>
        <w:t>Business Investor Work Visa</w:t>
      </w:r>
      <w:r>
        <w:rPr>
          <w:rFonts w:eastAsia="Cambria" w:cs="Cambria"/>
          <w:b w:val="false"/>
          <w:bCs w:val="false"/>
          <w:i w:val="false"/>
          <w:iCs w:val="false"/>
          <w:sz w:val="22"/>
          <w:szCs w:val="22"/>
        </w:rPr>
        <w:t xml:space="preserve"> der relevante Weg. Es bietet zwei Optionen: eine Investition von 1 Million NZD in ein bestehendes neuseeländisches Unternehmen, verbunden mit einem dreijährigen </w:t>
      </w:r>
      <w:r>
        <w:rPr>
          <w:rFonts w:eastAsia="Cambria" w:cs="Cambria"/>
          <w:b w:val="false"/>
          <w:bCs w:val="false"/>
          <w:i/>
          <w:iCs/>
          <w:sz w:val="22"/>
          <w:szCs w:val="22"/>
        </w:rPr>
        <w:t>Work-to-Residence</w:t>
      </w:r>
      <w:r>
        <w:rPr>
          <w:rFonts w:eastAsia="Cambria" w:cs="Cambria"/>
          <w:b w:val="false"/>
          <w:bCs w:val="false"/>
          <w:i w:val="false"/>
          <w:iCs w:val="false"/>
          <w:sz w:val="22"/>
          <w:szCs w:val="22"/>
        </w:rPr>
        <w:t>-Pfad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 Branchen, die INZ offenbar als zu passiv oder zu leicht simulierbar einstuft.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sicherstellen, dass die Investition eine reale Wirtschaftstätigkeit finanziert – und keine bloße Briefkastenkonstruktion, mit der jemand vor allem den eigenen Aufenthaltsstatus kauft.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Kosten wird die Quellenlage unübersichtlich, und das sollte hier offen benannt werden: Eine spezialisierte Kanzleiquelle nennt für das Business Investor Work Visa eine Gesamtgebühr von 12.380 NZD, während die offizielle INZ-Gebührentabelle (Fees Guide, Ausgabe Mai 2026) die Residence-Komponente „Business Investor Category“ mit 11.320 NZD Antrag plus 3.570 NZD Levy und die temporäre Work-Visa-Komponente mit 11.320 NZD Antrag plus 1.060 NZD Levy getrennt aufführt. Beide Angaben lassen sich nicht sauber zur Deckung bringen; möglicherweise beruht die Kanzleisumme auf einer anderen Kombination aus Antrag, Levy und Nebenkosten.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verwirrender: Dieselbe Gebührentabelle vom Mai 2026 führt weiterhin zwei separate Zeilen für die eigentlich abgeschaffte alte Kategorie – „Entrepreneur Residence Category“ (11.320 NZD plus 3.570 NZD Levy) und „Entrepreneur Work Visa“ (11.320 NZD plus 1.060 NZD Levy) –, obwohl der offizielle INZ-Newsroom-Text von einer Schließung dieser Kategorie zum 27. August 2025 spricht. Ob diese Zeilen nur für laufende Übergangsfälle gedacht sind oder schlicht ein redaktioneller Rückstand im Gebührendokument sind, ließ sich nicht klären.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Fachliteratur zur alten Entrepreneur Work Visa widerspricht sich in diesem Punkt selbst –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beziehungsweise einem registrierten Einwanderungsberater erfragen, bevor Kapital gebunden oder eine Gebühr gezahlt wird. Verlasse dich hier nicht auf eine einzelne Quelle, auch nicht auf dieses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Neuseelands Sonderweg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reguläre Familienweg, die </w:t>
      </w:r>
      <w:r>
        <w:rPr>
          <w:rFonts w:eastAsia="Cambria" w:cs="Cambria"/>
          <w:b w:val="false"/>
          <w:bCs w:val="false"/>
          <w:i/>
          <w:iCs/>
          <w:sz w:val="22"/>
          <w:szCs w:val="22"/>
        </w:rPr>
        <w:t>Parent Category</w:t>
      </w:r>
      <w:r>
        <w:rPr>
          <w:rFonts w:eastAsia="Cambria" w:cs="Cambria"/>
          <w:b w:val="false"/>
          <w:bCs w:val="false"/>
          <w:i w:val="false"/>
          <w:iCs w:val="false"/>
          <w:sz w:val="22"/>
          <w:szCs w:val="22"/>
        </w:rPr>
        <w:t xml:space="preserve">, bleibt an ein Kind mit neuseeländischer Staatsbürgerschaft oder Aufenthaltstitel vor Ort gebunden. Das jährliche Kontingent liegt bei 2.500 Parent Resident Visa pro Finanzjahr; die nächste reguläre Auswahlrunde unter dem noch laufenden System ist für den 11. August 2026 angesetzt. Zum 5. Oktober 2026 wechselt das Verfahren auf ein Hybridmodell: Rund 90 % der Interessensbekundungen werden künftig nach Eingangsdatum („first-in-first-served“) ausgewählt, die übrigen rund 10 % per Losverfahren; die erste Runde unter diesem neuen Modell folgt am 10. November 2026, bestehende Interessensbekundungen werden automatisch übernommen. Eine befristete Alternative ohne Daueraufenthaltsperspektive ist der </w:t>
      </w:r>
      <w:r>
        <w:rPr>
          <w:rFonts w:eastAsia="Cambria" w:cs="Cambria"/>
          <w:b w:val="false"/>
          <w:bCs w:val="false"/>
          <w:i/>
          <w:iCs/>
          <w:sz w:val="22"/>
          <w:szCs w:val="22"/>
        </w:rPr>
        <w:t>Parent Boost Visitor Visa</w:t>
      </w:r>
      <w:r>
        <w:rPr>
          <w:rFonts w:eastAsia="Cambria" w:cs="Cambria"/>
          <w:b w:val="false"/>
          <w:bCs w:val="false"/>
          <w:i w:val="false"/>
          <w:iCs w:val="false"/>
          <w:sz w:val="22"/>
          <w:szCs w:val="22"/>
        </w:rPr>
        <w:t>, ein Mehrfacheinreise-Besuchervisum für Eltern neuseeländischer Bürgerinnen, Bürger oder Residents mit Aufenthalten bis zu fünf Jahren am Stück und einer zweiten Ausstellung auf kumulativ bis zu zehn Jahre – aber eben kein Weg zur Residency. Für Anträge ab dem 30. April 2026 gelten neue, an den Medianlohn gekoppelte Einkommensschwellen für Sponsor und Antragstellerin oder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eigentlich interessante Weg für kinderlose Ruheständler oder für Paare ohne Kind in Neuseeland ist der </w:t>
      </w:r>
      <w:r>
        <w:rPr>
          <w:rFonts w:eastAsia="Cambria" w:cs="Cambria"/>
          <w:b/>
          <w:bCs/>
          <w:i w:val="false"/>
          <w:iCs w:val="false"/>
          <w:sz w:val="22"/>
          <w:szCs w:val="22"/>
        </w:rPr>
        <w:t>*Temporary Retirement Visitor Visa</w:t>
      </w:r>
      <w:r>
        <w:rPr>
          <w:rFonts w:eastAsia="Cambria" w:cs="Cambria"/>
          <w:b w:val="false"/>
          <w:bCs w:val="false"/>
          <w:i w:val="false"/>
          <w:iCs w:val="false"/>
          <w:sz w:val="22"/>
          <w:szCs w:val="22"/>
        </w:rPr>
        <w:t xml:space="preserve">*. Er verlangt kein dort lebendes Kind – die einzige derart kindunabhängige Lösung unter den vier Ländern dieses Buches. Die Bedingungen sind allerdings hoch angesetzt: Mindestalter 66 Jahre, eine Investitionssumme von 750.000 NZD, die für mindestens zwei Jahre in Neuseeland angelegt bleiben muss, zusätzlich vorzuhaltende liquide Mittel von 500.000 NZD für den Lebensunterhalt sowie ein Jahreseinkommen von mindestens 60.000 NZD. Das Visum selbst gilt für bis zu zwei Jahre; danach ist eine erneute Antragstellung beziehungsweise Verlängerung möglich, solange die Bedingungen weiter erfüllt sind. Entscheidend zu wissen: Dieses Visum führt </w:t>
      </w:r>
      <w:r>
        <w:rPr>
          <w:rFonts w:eastAsia="Cambria" w:cs="Cambria"/>
          <w:b/>
          <w:bCs/>
          <w:i w:val="false"/>
          <w:iCs w:val="false"/>
          <w:sz w:val="22"/>
          <w:szCs w:val="22"/>
        </w:rPr>
        <w:t>nicht automatisch</w:t>
      </w:r>
      <w:r>
        <w:rPr>
          <w:rFonts w:eastAsia="Cambria" w:cs="Cambria"/>
          <w:b w:val="false"/>
          <w:bCs w:val="false"/>
          <w:i w:val="false"/>
          <w:iCs w:val="false"/>
          <w:sz w:val="22"/>
          <w:szCs w:val="22"/>
        </w:rPr>
        <w:t xml:space="preserve"> zu einem Daueraufenthaltsrecht. Die Antragskosten liegen ab 7.891 NZD, die Bearbeitung läuft nach INZ-Angaben zu 80 % innerhalb von vier Wochen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durchschnittliche deutsche gesetzliche Rente allein reicht für die geforderten 60.000 NZD Jahreseinkommen in aller Regel nicht aus. Wer diesen Weg ernsthaft plant, braucht zusätzliches Einkommen aus Kapitalanlagen, einer Betriebsrente, Vermietung oder ähnlichen Quellen – und sollte diese Einkommensnachweise frühzeitig und lückenlos dokumentieren, bevor ein Antrag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 angesprochen sind mit diesem Visum also weniger Menschen mit „nur“ solider gesetzlicher Rente, sondern eher ehemalige Selbstständige oder Unternehmerinnen und Unternehmer nach einem Firmenverkauf, gut situierte Ruheständler mit vermietetem Immobilienbesitz in Deutschland oder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 erwachsenes Kind mit neuseeländischer Staatsbürgerschaft oder Residency vor Ort hat und stattdessen direkt einen Daueraufenthalt anstrebt, findet im </w:t>
      </w:r>
      <w:r>
        <w:rPr>
          <w:rFonts w:eastAsia="Cambria" w:cs="Cambria"/>
          <w:b w:val="false"/>
          <w:bCs w:val="false"/>
          <w:i/>
          <w:iCs/>
          <w:sz w:val="22"/>
          <w:szCs w:val="22"/>
        </w:rPr>
        <w:t>Parent Retirement Resident Visa</w:t>
      </w:r>
      <w:r>
        <w:rPr>
          <w:rFonts w:eastAsia="Cambria" w:cs="Cambria"/>
          <w:b w:val="false"/>
          <w:bCs w:val="false"/>
          <w:i w:val="false"/>
          <w:iCs w:val="false"/>
          <w:sz w:val="22"/>
          <w:szCs w:val="22"/>
        </w:rPr>
        <w:t xml:space="preserve">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eine Diskrepanz, die sich nicht abschließend klären ließ und die du bei der Zeitplanung als Unsicherheit einkalkulieren solltest. Nach der Grundsatzgenehmigung bleiben genau zwölf Monate, um das Kapital tatsächlich nach Neuseeland zu überweisen – eine Verlängerung dieser Frist ist nicht vorgesehen. Die Antragskosten beginnen bei 12.850 NZD.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für die langfristige Finanzplanung, der in der ersten Begeisterung über einen erfolgreichen Antrag leicht untergeht: Solltest du später neuseeländische Staatsbürgerschaft oder einen Residence-Status mit Anspruch auf die staatliche Altersrente </w:t>
      </w:r>
      <w:r>
        <w:rPr>
          <w:rFonts w:eastAsia="Cambria" w:cs="Cambria"/>
          <w:b w:val="false"/>
          <w:bCs w:val="false"/>
          <w:i/>
          <w:iCs/>
          <w:sz w:val="22"/>
          <w:szCs w:val="22"/>
        </w:rPr>
        <w:t>New Zealand Superannuation</w:t>
      </w:r>
      <w:r>
        <w:rPr>
          <w:rFonts w:eastAsia="Cambria" w:cs="Cambria"/>
          <w:b w:val="false"/>
          <w:bCs w:val="false"/>
          <w:i w:val="false"/>
          <w:iCs w:val="false"/>
          <w:sz w:val="22"/>
          <w:szCs w:val="22"/>
        </w:rPr>
        <w:t xml:space="preserve"> („NZ Super“) erwerben, greift die sogenannte </w:t>
      </w:r>
      <w:r>
        <w:rPr>
          <w:rFonts w:eastAsia="Cambria" w:cs="Cambria"/>
          <w:b w:val="false"/>
          <w:bCs w:val="false"/>
          <w:i/>
          <w:iCs/>
          <w:sz w:val="22"/>
          <w:szCs w:val="22"/>
        </w:rPr>
        <w:t>Direct Deduction Policy</w:t>
      </w:r>
      <w:r>
        <w:rPr>
          <w:rFonts w:eastAsia="Cambria" w:cs="Cambria"/>
          <w:b w:val="false"/>
          <w:bCs w:val="false"/>
          <w:i w:val="false"/>
          <w:iCs w:val="false"/>
          <w:sz w:val="22"/>
          <w:szCs w:val="22"/>
        </w:rP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 wohl aber für die Finanzplanung nach einer eventuellen späteren Einbürgerung, die das </w:t>
      </w:r>
      <w:hyperlink w:anchor="tnz16">
        <w:r>
          <w:rPr>
            <w:rStyle w:val="ListLabel113"/>
            <w:rFonts w:eastAsia="Cambria" w:cs="Cambria"/>
            <w:b w:val="false"/>
            <w:bCs w:val="false"/>
            <w:i w:val="false"/>
            <w:iCs w:val="false"/>
            <w:color w:val="0563C1"/>
            <w:sz w:val="22"/>
            <w:szCs w:val="22"/>
            <w:u w:val="single"/>
          </w:rPr>
          <w:t>Kapitel zur Staatsbürgerschaft und Steuerresidenz in diesem Teil</w:t>
        </w:r>
      </w:hyperlink>
      <w:r>
        <w:rPr>
          <w:rFonts w:eastAsia="Cambria" w:cs="Cambria"/>
          <w:b w:val="false"/>
          <w:bCs w:val="false"/>
          <w:i w:val="false"/>
          <w:iCs w:val="false"/>
          <w:sz w:val="22"/>
          <w:szCs w:val="22"/>
        </w:rPr>
        <w:t xml:space="preserve"> behandelt.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und fachärztliche Behandlung kommen mit weiteren 40 bis 80 NZD im Monat hinzu. Das ausführliche </w:t>
      </w:r>
      <w:hyperlink w:anchor="tnz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xml:space="preserve"> geht auf die Unterschiede zur deutschen gesetzlichen Krankenversicherung näher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verlangt kein Mindesteinkommen des Sponsors</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rund sechs Monate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 bietet zwei Investitionswege</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Quellenlage zur alten Entrepreneur-Kategorie widersprüchlich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Einziges Land der vier mit kindunabhängigem Ruhestandsweg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 bleibt nur zwei Jahre befristet</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Retirement Resident Visa führt zu echtem Daueraufenthalt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Dafür zwingend ein Kind vor Ort nötig, plus 1 Million NZD Investition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wird bei NZ Super teilweise angerechnet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 kürzt die NZ Super Dollar für Dollar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welcher Fall auf deine Situation zutrifft: Partnerschaft mit Nachzug, Investitionskapital für ein Unternehmerprofil oder Ruhestand ohne Job – und im letzten Fall,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 die widersprüchliche Quellenlage zur alten Entrepreneur-Kategorie zeigt, wie schnell sich hier etwas ändert. Für einen geplanten Ruhestand ohne Job rechne frühzeitig durch, ob dein Jahreseinkommen die Schwelle von 60.000 NZD erreicht, und hole dir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Pr>
            <w:rStyle w:val="ListLabel113"/>
            <w:rFonts w:eastAsia="Cambria" w:cs="Cambria"/>
            <w:b w:val="false"/>
            <w:bCs w:val="false"/>
            <w:i w:val="false"/>
            <w:iCs w:val="false"/>
            <w:color w:val="0563C1"/>
            <w:sz w:val="22"/>
            <w:szCs w:val="22"/>
            <w:u w:val="single"/>
          </w:rPr>
          <w:t>Kapitel zu Antrag, Konsulat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Zutreffenden Fall klären: Partnerschaft, Investition oder Ruhestand ohne Job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Partnervisum: Nachweise der Beziehung frühzeitig sammeln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Investorenvisa: aktuellen Status direkt bei INZ oder Fachperson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Ruhestandsplänen: prüfen, ob ein Kind mit neuseeländischem Status vor Ort lebt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Jahreseinkommen von mindestens 60.000 NZD realistisch nachweisen können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Investitionssumme (750.000 NZD bzw. 1 Million NZD) und Liquiditätsanforderung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Langfristige Wirkung der Direct Deduction Policy auf die eigene Rente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immigration.govt.nz prüfen, ob sich Schwellen oder Kategorien geändert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Partner of a New Zealander Resident Visa (</w:t>
      </w:r>
      <w:hyperlink r:id="rId668">
        <w:r>
          <w:rPr>
            <w:rStyle w:val="ListLabel113"/>
            <w:rFonts w:eastAsia="Cambria" w:cs="Cambria"/>
            <w:b w:val="false"/>
            <w:bCs w:val="false"/>
            <w:i w:val="false"/>
            <w:iCs w:val="false"/>
            <w:color w:val="0563C1"/>
            <w:sz w:val="22"/>
            <w:szCs w:val="22"/>
            <w:u w:val="single"/>
          </w:rPr>
          <w:t>immigration.govt.nz/new-zealand-visas/visas/visa/partner-of-a-new-zealander-resident-visa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9">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Newsroom: Entrepreneur category closes, Business Investor Visa offers new immigration options (</w:t>
      </w:r>
      <w:hyperlink r:id="rId670">
        <w:r>
          <w:rPr>
            <w:rStyle w:val="ListLabel113"/>
            <w:rFonts w:eastAsia="Cambria" w:cs="Cambria"/>
            <w:b w:val="false"/>
            <w:bCs w:val="false"/>
            <w:i w:val="false"/>
            <w:iCs w:val="false"/>
            <w:color w:val="0563C1"/>
            <w:sz w:val="22"/>
            <w:szCs w:val="22"/>
            <w:u w:val="single"/>
          </w:rPr>
          <w:t>immigration.govt.nz/about-us/news-centre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Investor Category / Active Investor Plus (</w:t>
      </w:r>
      <w:hyperlink r:id="rId671">
        <w:r>
          <w:rPr>
            <w:rStyle w:val="ListLabel113"/>
            <w:rFonts w:eastAsia="Cambria" w:cs="Cambria"/>
            <w:b w:val="false"/>
            <w:bCs w:val="false"/>
            <w:i w:val="false"/>
            <w:iCs w:val="false"/>
            <w:color w:val="0563C1"/>
            <w:sz w:val="22"/>
            <w:szCs w:val="22"/>
            <w:u w:val="single"/>
          </w:rPr>
          <w:t>immigration.govt.nz/new-zealand-visas/visas/visa/active-investor-plus-visa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Parent Category und Parent Boost Visitor Visa (</w:t>
      </w:r>
      <w:hyperlink r:id="rId672">
        <w:r>
          <w:rPr>
            <w:rStyle w:val="ListLabel113"/>
            <w:rFonts w:eastAsia="Cambria" w:cs="Cambria"/>
            <w:b w:val="false"/>
            <w:bCs w:val="false"/>
            <w:i w:val="false"/>
            <w:iCs w:val="false"/>
            <w:color w:val="0563C1"/>
            <w:sz w:val="22"/>
            <w:szCs w:val="22"/>
            <w:u w:val="single"/>
          </w:rPr>
          <w:t>immigration.govt.nz/new-zealand-visas/visas/visa/parent-resident-visa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Work and Income New Zealand — New Zealand Superannuation, Direct Deduction Policy (</w:t>
      </w:r>
      <w:hyperlink r:id="rId673">
        <w:r>
          <w:rPr>
            <w:rStyle w:val="ListLabel113"/>
            <w:rFonts w:eastAsia="Cambria" w:cs="Cambria"/>
            <w:b w:val="false"/>
            <w:bCs w:val="false"/>
            <w:i w:val="false"/>
            <w:iCs w:val="false"/>
            <w:color w:val="0563C1"/>
            <w:sz w:val="22"/>
            <w:szCs w:val="22"/>
            <w:u w:val="single"/>
          </w:rPr>
          <w:t>workandincome.govt.nz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der Status der ehemaligen Entrepreneur-Kategorie, die Auswahlverfahren der Parent Category ab Oktober/November 2026, Einkommensschwellen und Gebühren. Prüfe vor jeder Entscheidung die aktuellen Angaben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8" w:name="__RefHeading___Toc56608_3457424410"/>
      <w:bookmarkStart w:id="179" w:name="tnz05"/>
      <w:bookmarkEnd w:id="178"/>
      <w:r>
        <w:rPr>
          <w:rFonts w:eastAsia="Amazon Ember" w:cs="Amazon Ember" w:ascii="Amazon Ember" w:hAnsi="Amazon Ember"/>
          <w:b/>
          <w:bCs/>
          <w:color w:val="0000FF"/>
          <w:sz w:val="36"/>
          <w:szCs w:val="36"/>
        </w:rPr>
        <w:t>Neuseeland: Antrag, Konsulat und Kosten</w:t>
      </w:r>
      <w:bookmarkEnd w:id="179"/>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sitzt an einem Dienstagabend in seiner Frankfurter Wohnung, das Jobangebot eines Aucklander IT-Beratungshauses seit drei Wochen unterschrieben, und lädt die letzten Nachweise in sein Online-Konto bei Immigration New Zealand (INZ) hoch: Abschlusszeugnis, Arbeitsvertrag, Gehaltsnachweis, ein Foto. Kein Termin, kein Wartesaal, kein Beamter, der die Mappe durchblättert und stirnrunzelt. Die Entscheidung kommt Wochen später schlicht als Statusänderung im Konto – ungefähr so aufregend wie ein Software-Update, das man sowieso installieren musste, nur mit deutlich größeren Folgen. Was zwischen Absenden und Entscheidung liegt, ist reine Verwaltungsarbeit: ein Online-Portal, mehrere Gebühren in neuseeländischen Dollar, ein Arztbesuch und ein Führungszeugnis. Keine Auslandsvertretung, kein Interview am Schalter – Neuseeland erledigt fast alles über den Bildschirm.</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Antrag läuft vollständig online über dein persönliches Konto bei Immigration New Zealand (INZ), Teil des </w:t>
            </w:r>
            <w:r>
              <w:rPr>
                <w:rFonts w:eastAsia="Cambria" w:cs="Cambria"/>
                <w:b w:val="false"/>
                <w:bCs w:val="false"/>
                <w:i/>
                <w:iCs/>
                <w:sz w:val="20"/>
                <w:szCs w:val="20"/>
              </w:rPr>
              <w:t>Ministry of Business, Innovation &amp; Employment</w:t>
            </w:r>
            <w:r>
              <w:rPr>
                <w:rFonts w:eastAsia="Cambria" w:cs="Cambria"/>
                <w:b w:val="false"/>
                <w:bCs w:val="false"/>
                <w:i w:val="false"/>
                <w:iCs w:val="false"/>
                <w:sz w:val="20"/>
                <w:szCs w:val="20"/>
              </w:rPr>
              <w:t xml:space="preserve"> (MBIE). Einen Termin bei einer neuseeländischen Auslandsvertretung gibt es für die reguläre Antragstellung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Accredited Employer Work Visa kostet 1.540 NZD, ein Skilled Migrant Category Resident Visa 6.450 NZD je Hauptantragsteller – Deutschland zählt nicht zu den Ländern mit Gebührenbefreiung.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Gesundheitsuntersuchung und Führungszeugnis (der </w:t>
            </w:r>
            <w:r>
              <w:rPr>
                <w:rFonts w:eastAsia="Cambria" w:cs="Cambria"/>
                <w:b w:val="false"/>
                <w:bCs w:val="false"/>
                <w:i/>
                <w:iCs/>
                <w:sz w:val="20"/>
                <w:szCs w:val="20"/>
              </w:rPr>
              <w:t>Character Requirement</w:t>
            </w:r>
            <w:r>
              <w:rPr>
                <w:rFonts w:eastAsia="Cambria" w:cs="Cambria"/>
                <w:b w:val="false"/>
                <w:bCs w:val="false"/>
                <w:i w:val="false"/>
                <w:iCs w:val="false"/>
                <w:sz w:val="20"/>
                <w:szCs w:val="20"/>
              </w:rPr>
              <w:t>, die Vorgabe zum guten Leumund) sind eigene Pflichtschritte mit eigenen 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bei manch anderem Zielland verlangt INZ für das deutsche Führungszeugnis keine Apostille, sondern eine beglaubigte englische Übersetzung.</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(Arbeitsvisa) und mehreren Monaten (Residence-Kategorien).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in Wellington und die Honorarkonsulate in Auckland und Christchurch helfen bei deutschen Dokumenten – über deinen neuseeländischen Visumantrag entscheidet ausschließlich 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ein Konto statt eines Konsulattermins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fast automatisch mit einer Behörde vor Ort: Wartenummer, Schalter, ein Mensch, der Stempel setzt. Bei INZ fällt das komplett weg. Ob Arbeitsvisum, Working Holiday oder der Antrag auf ein Daueraufenthaltsvisum (das neuseeländische </w:t>
      </w:r>
      <w:r>
        <w:rPr>
          <w:rFonts w:eastAsia="Cambria" w:cs="Cambria"/>
          <w:b w:val="false"/>
          <w:bCs w:val="false"/>
          <w:i/>
          <w:iCs/>
          <w:sz w:val="22"/>
          <w:szCs w:val="22"/>
        </w:rPr>
        <w:t>Resident Visa</w:t>
      </w:r>
      <w:r>
        <w:rPr>
          <w:rFonts w:eastAsia="Cambria" w:cs="Cambria"/>
          <w:b w:val="false"/>
          <w:bCs w:val="false"/>
          <w:i w:val="false"/>
          <w:iCs w:val="false"/>
          <w:sz w:val="22"/>
          <w:szCs w:val="22"/>
        </w:rPr>
        <w:t>, funktional vergleichbar mit der amerikanischen Green Card) – alles läuft über dein persönliches Online-Konto bei Immigration New Zealand. Dort trägst du Angaben ein, lädst Dokumente hoch, bezahlst die Gebühr per Kreditkarte und verfolgst den Status. Jede Nachricht der Behörde – auch Nachforderungen – kommt ausschließlich dort an, nicht per Brief und nicht per Anruf. Ein Postfach, das du in den folgenden Wochen regelmäßig prüfen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Welcher Weg für dich der richtige ist – die punktebasierte Skilled Migrant Category (SMC), das Accredited Employer Work Visa (AEWV) mit einem Beruf auf der Green List, ein Familien- oder Investorenweg –, erklären die </w:t>
      </w:r>
      <w:hyperlink w:anchor="tnz03">
        <w:r>
          <w:rPr>
            <w:rStyle w:val="ListLabel113"/>
            <w:rFonts w:eastAsia="Cambria" w:cs="Cambria"/>
            <w:b w:val="false"/>
            <w:bCs w:val="false"/>
            <w:i w:val="false"/>
            <w:iCs w:val="false"/>
            <w:color w:val="0563C1"/>
            <w:sz w:val="22"/>
            <w:szCs w:val="22"/>
            <w:u w:val="single"/>
          </w:rPr>
          <w:t>Kapitel zu den Einwanderungswegen und zum Arbeitsweg in diesem Teil</w:t>
        </w:r>
      </w:hyperlink>
      <w:r>
        <w:rPr>
          <w:rFonts w:eastAsia="Cambria" w:cs="Cambria"/>
          <w:b w:val="false"/>
          <w:bCs w:val="false"/>
          <w:i w:val="false"/>
          <w:iCs w:val="false"/>
          <w:sz w:val="22"/>
          <w:szCs w:val="22"/>
        </w:rP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 zwei völlig unterschiedliche Kostenkurven für dieselbe Berufsgruppe. Dieses Kapitel beginnt dort, wo die Entscheidung für einen Weg schon gefallen ist: beim nüchternen Kleingedruckten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Eine erteilte Genehmigung ist noch keine Einreise. Bei AEWV und SMC bekommst du zunächst die Zusage; wirksam wird dein Status endgültig erst bei der Einreisekontrolle – dazu mehr im </w:t>
            </w:r>
            <w:hyperlink w:anchor="tnz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Gebühren unterscheiden sich drastisch je nach Visumtyp, und die reine Antragsgebühr ist nur die halbe Rechnung: Fast überall kommt die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dazu, ein separater Aufschlag, der die Systemkosten von INZ mitfinanziert und in keiner ersten Kostenschätzung fehlen sollte.</w:t>
      </w:r>
    </w:p>
    <w:tbl>
      <w:tblPr>
        <w:tblW w:w="6480" w:type="dxa"/>
        <w:jc w:val="left"/>
        <w:tblInd w:w="0" w:type="dxa"/>
        <w:tblLayout w:type="fixed"/>
        <w:tblCellMar>
          <w:top w:w="50" w:type="dxa"/>
          <w:left w:w="80" w:type="dxa"/>
          <w:bottom w:w="50" w:type="dxa"/>
          <w:right w:w="80" w:type="dxa"/>
        </w:tblCellMar>
      </w:tblPr>
      <w:tblGrid>
        <w:gridCol w:w="2881"/>
        <w:gridCol w:w="1723"/>
        <w:gridCol w:w="845"/>
        <w:gridCol w:w="1030"/>
      </w:tblGrid>
      <w:tr>
        <w:trPr>
          <w:tblHeader w:val="true"/>
          <w:cantSplit w:val="true"/>
        </w:trPr>
        <w:tc>
          <w:tcPr>
            <w:tcW w:w="28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7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Antragsgebühr</w:t>
            </w:r>
          </w:p>
        </w:tc>
        <w:tc>
          <w:tcPr>
            <w:tcW w:w="8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Levy</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1.540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3.570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Partner-Residence-Visum (Family Category)</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1.940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3.420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5.360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Partnership Work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265 NZD (+ ggf.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750–850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Scheme</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NZD (+ 100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NZD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(Quelle: INZ Fees Guide INZ 1028, Ausgabe Mai 2026. Alle Beträge je Hauptantragsteller; Partner und Kinder zahlen bei den meisten Kategorien anteilig mit eigener Gebühr, beim AEWV etwa 1.630 NZD für den mitreisenden Partner über die Partnership Work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AEWV kommen für deinen Arbeitgeber weitere Posten dazu, die dich indirekt betreffen, weil sie über die Stellenverhandlung mitentschieden werden: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(775 NZD in der Standardstufe, 1.280 NZD für Vielanstellende, 4.060 NZD bei Dreiecksbeschäftigung über Personaldienstleister) und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für die konkrete Stelle (735 NZD). Diese Kosten trägt laut INZ-Vorgabe der Arbeitgeber, nicht der Arbeitnehmer – ein Punkt, den du im Bewerbungsgespräch ruhig ansprechen darfst, falls er unerwähnt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Besonderheit, die viele erst beim Bezahlbildschirm bemerken: die </w:t>
      </w:r>
      <w:r>
        <w:rPr>
          <w:rFonts w:eastAsia="Cambria" w:cs="Cambria"/>
          <w:b w:val="false"/>
          <w:bCs w:val="false"/>
          <w:i/>
          <w:iCs/>
          <w:sz w:val="22"/>
          <w:szCs w:val="22"/>
        </w:rPr>
        <w:t>International Visitor Conservation and Tourism Levy</w:t>
      </w:r>
      <w:r>
        <w:rPr>
          <w:rFonts w:eastAsia="Cambria" w:cs="Cambria"/>
          <w:b w:val="false"/>
          <w:bCs w:val="false"/>
          <w:i w:val="false"/>
          <w:iCs w:val="false"/>
          <w:sz w:val="22"/>
          <w:szCs w:val="22"/>
        </w:rPr>
        <w:t xml:space="preserve"> (IVL), eine Pauschale von 100 NZD pro Person, die bei einigen befristeten Kategorien zusätzlich zu Antragsgebühr und Levy anfällt und seit Oktober 2024 verdreifacht wurde. Und noch etwas, das sich nicht ändern lässt, so unfair es sich anfühlen mag: INZ hat mit einigen Ländern – darunter Österreich, Italien, Japan und die USA – Gebührenbefreiungsabkommen für bestimmte Antragsarten geschlossen. Deutschland gehört nicht dazu. Deutsche Antragsteller zahlen die vollen Sätze, während der österreichische Nachbar am Küchentisch nebenan unter Umständen für denselben Visumtyp gar nichts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AEWV-Weg kommen so schnell mehrere Tausend NZD zusammen, sobald der mitreisende Partner eingerechnet wird: 1.540 NZD für den Hauptantragsteller, 1.630 NZD für die Partnership Work Visa – und dazu für jedes Kind ein eigener, kleinerer Antrag auf ein Visitor- oder Student-Visum, dessen genaue Gebühr vom jeweiligen Kategorietyp abhängt und deshalb im INZ-Konto individuell zu prüfen ist. Wer stattdessen über die SMC direkt zur Residency will, zahlt zwar pro Kopf mehr, dafür aber nur einmal – ohne die spätere Zusatzrunde vom befristeten Arbeitsvisum zur Daueraufenthaltserlaubnis.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Gebühr im INZ-Konto erst, wenn wirklich alle Unterlagen vollständig sind. Ein unvollständiger Antrag lässt sich zwar nachbessern, die Gebühr ist bei einer Ablehnung aber ebenso verloren wie bei einer Genehmigung – eine Kulanzrunde wie beim deutschen Bürgeramt gibt es bei INZ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INZ veröffentlicht laufend aktualisierte Bearbeitungszeiten, die sich je nach Kategorie und Auslastung deutlich unterscheiden. Zum Stand September 2026 gilt grob: Ein AEWV ist in 80 % der Fälle innerhalb von 25 bis 35 Werktagen entschieden, sobald der Antrag vollständig ist –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 für viele der schnellste Weg überhaupt ins Land, wenn auch mit den bekannten Einschränkungen bei Alter und Aufenthaltsdauer.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bei vergleichbaren Behörden anderer Länder auch, rollende Durchschnittswerte auf Basis zuletzt abgeschlossener Fälle –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 ein Blick hinein gehört in jede Zeitplanung, nicht nur in die grobe Vorabrecherche.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Kinderbetreuungsplatz in Deutschland erst, wenn die Genehmigung tatsächlich im INZ-Konto steht – nicht schon, wenn die Employer Accreditation deines künftigen Arbeitgebers durchgekommen ist. Zwischen diesen beiden Schritten liegt in der Praxis noch der komplette eigentliche Visumantrag samt Gesundheits- und Charakterprüfung.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Daueraufenthaltsvisa und viele befristete Kategorien ist die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Ab 15 Jahren verlangt INZ ein Röntgenbild des Brustkorbs zusätzlich zur allgemeinen ärztlichen Untersuchung; Kinder zwischen 11 und 14 Jahren brauchen ebenfalls beides, Kinder bis 10 Jahre in der Regel nur die ärztliche Untersuchung ohne Röntgen. Beide Nachweise dürfen bei Einreichung höchstens drei Monate alt sein. Untersuchen darf dich nur ein von INZ zugelassener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beziehungsweise ein anerkanntes Röntgeninstitut – der eigene Hausarzt genügt nicht, egal wie vertraut und gründlich er sonst arbeitet.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AEWV gelten die Anforderungen abgestuft: Das Röntgenbild wird erst ab sechs Monaten geplantem Aufenthalt verlangt, und auch dann nur bei Herkunft aus einem Land mit erhöhtem Tuberkulose-Risiko –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 von Praxis zu Praxis schwankt.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den Untersuchungstermin, sobald INZ ihn anfordert, nicht erst kurz vor knapp. Zugelassene Panel Physicians sind nicht an jeder deutschen Ecke zu finden, und ein voller Terminkalender verzögert sonst den gesamten Antrag um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der Character Requirement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 ab 17 Jahren verlangt INZ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 ein Führungszeugnis, das bei Antragstellung höchstens sechs Monate alt sein darf. Für deutsche Antragsteller ist das schlicht das bekannte Führungszeugnis vom Bundesamt für Justiz in Bonn, das du online, postalisch oder beim Einwohnermeldeamt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sich vorher schon mit einem anderen Zielland beschäftigt hat, geht oft automatisch davon aus, dass auch Neuseeland eine </w:t>
      </w:r>
      <w:r>
        <w:rPr>
          <w:rFonts w:eastAsia="Cambria" w:cs="Cambria"/>
          <w:b w:val="false"/>
          <w:bCs w:val="false"/>
          <w:i/>
          <w:iCs/>
          <w:sz w:val="22"/>
          <w:szCs w:val="22"/>
        </w:rPr>
        <w:t>Apostille</w:t>
      </w:r>
      <w:r>
        <w:rPr>
          <w:rFonts w:eastAsia="Cambria" w:cs="Cambria"/>
          <w:b w:val="false"/>
          <w:bCs w:val="false"/>
          <w:i w:val="false"/>
          <w:iCs w:val="false"/>
          <w:sz w:val="22"/>
          <w:szCs w:val="22"/>
        </w:rPr>
        <w:t xml:space="preserv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 erstellt von einer Person oder einem Übersetzungsbüro, das mit beiden Sprachen vertraut und für Übersetzungsarbeit qualifiziert ist, mit Stempel oder Unterschrift versehen (immigration.govt.nz, „Police certificates“). Eine Apostille schadet zwar nicht, ist aber für den INZ-Antrag reiner überflüssiger Aufwand.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Character Requirement</w:t>
      </w:r>
      <w:r>
        <w:rPr>
          <w:rFonts w:eastAsia="Cambria" w:cs="Cambria"/>
          <w:b w:val="false"/>
          <w:bCs w:val="false"/>
          <w:i w:val="false"/>
          <w:iCs w:val="false"/>
          <w:sz w:val="22"/>
          <w:szCs w:val="22"/>
        </w:rPr>
        <w:t xml:space="preserve"> selbst verlangt „guten Leumund“ von allen im Antrag eingeschlossenen Personen ab 17 Jahren; Vorstrafen führen nicht automatisch zur Ablehnung, müssen aber offengelegt werden und werden je nach Schwere unterschiedlich bewertet.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Führungszeugnis, das bei der tatsächlichen Antragsprüfung schon älter als sechs Monate ist, wird nicht mehr akzeptiert. Bei mehrmonatigen Bearbeitungszeiten – etwa bei der SMC – lohnt es sich, den Bestellzeitpunkt bewusst zu terminieren, statt das Dokument Monate im Voraus in der Schublade liegen zu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Immigration Adviser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Neuseeland einen eigenen regulierten Berufsstand: den </w:t>
      </w:r>
      <w:r>
        <w:rPr>
          <w:rFonts w:eastAsia="Cambria" w:cs="Cambria"/>
          <w:b w:val="false"/>
          <w:bCs w:val="false"/>
          <w:i/>
          <w:iCs/>
          <w:sz w:val="22"/>
          <w:szCs w:val="22"/>
        </w:rPr>
        <w:t>Licensed Immigration Adviser</w:t>
      </w:r>
      <w:r>
        <w:rPr>
          <w:rFonts w:eastAsia="Cambria" w:cs="Cambria"/>
          <w:b w:val="false"/>
          <w:bCs w:val="false"/>
          <w:i w:val="false"/>
          <w:iCs w:val="false"/>
          <w:sz w:val="22"/>
          <w:szCs w:val="22"/>
        </w:rPr>
        <w:t xml:space="preserve"> (LIA, den lizenzierten Einwanderungsberater). Reguliert wird dieser Berufsstand nach dem </w:t>
      </w:r>
      <w:r>
        <w:rPr>
          <w:rFonts w:eastAsia="Cambria" w:cs="Cambria"/>
          <w:b w:val="false"/>
          <w:bCs w:val="false"/>
          <w:i/>
          <w:iCs/>
          <w:sz w:val="22"/>
          <w:szCs w:val="22"/>
        </w:rPr>
        <w:t>Immigration Advisers Licensing Act 2007</w:t>
      </w:r>
      <w:r>
        <w:rPr>
          <w:rFonts w:eastAsia="Cambria" w:cs="Cambria"/>
          <w:b w:val="false"/>
          <w:bCs w:val="false"/>
          <w:i w:val="false"/>
          <w:iCs w:val="false"/>
          <w:sz w:val="22"/>
          <w:szCs w:val="22"/>
        </w:rPr>
        <w:t xml:space="preserve"> durch die </w:t>
      </w:r>
      <w:r>
        <w:rPr>
          <w:rFonts w:eastAsia="Cambria" w:cs="Cambria"/>
          <w:b w:val="false"/>
          <w:bCs w:val="false"/>
          <w:i/>
          <w:iCs/>
          <w:sz w:val="22"/>
          <w:szCs w:val="22"/>
        </w:rPr>
        <w:t>Immigration Advisers Authority</w:t>
      </w:r>
      <w:r>
        <w:rPr>
          <w:rFonts w:eastAsia="Cambria" w:cs="Cambria"/>
          <w:b w:val="false"/>
          <w:bCs w:val="false"/>
          <w:i w:val="false"/>
          <w:iCs w:val="false"/>
          <w:sz w:val="22"/>
          <w:szCs w:val="22"/>
        </w:rPr>
        <w:t xml:space="preserve"> (IAA), deren öffentliches Register auf iaa.govt.nz zeigt, ob eine Person aktuell lizenziert ist. Wer gegen Bezahlung Einwanderungsberatung anbietet – Anträge vorbereiten, Strategie empfehlen, mit INZ kommunizieren –, muss dort lizenziert sein, sofern er nicht ausdrücklich davon befreit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AEWV mit klarer Stelle brauchst du in der Regel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lizenzierten Immigration Adviser oder eine neuseeländische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zuständig für Deutsches, nicht für Neuseeländisches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beim neuseeländischen Visumantrag hilft oder zumindest vermittelt. Das ist nicht ihre Aufgabe. Über die Erteilung eines neuseeländischen Visums entscheidet ausschließlich INZ, online und ohne dass eine deutsche Stelle Einfluss darauf hätte. Die deutschen Vertretungen sind für deutsche Angelegenheiten zuständig – Reisepass, Personalausweis, Beglaubigungen, Notfallhilfe für deutsche Staatsangehörige –, nicht für neuseeländisches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 etwa Beglaubigungen oder die Weiterleitung von Passanträgen –, aber keine vollständige Konsularabteilung ersetzen. Für alles, was darüber hinausgeht, bleibt die Botschaft in Wellington zuständig, teils postalisch erreichbar.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mit Ziel Christchurch heißt das konkret: Der Honorarkonsul vor Ort hilft bei kleineren Formalitäten, für einen neuen Reisepass oder umfangreichere Beglaubigungen bleibt der Weg nach Wellington. Für Paul Lindner mit Ziel Auckland gilt dasselbe mit dem dortigen Honorarkonsulat als erster Anlaufstelle. Beide Konsulate haben mit dem eigentlichen INZ-Antrag nichts zu tun – die beglaubigte Übersetzung des Führungszeugnisses etwa erledigst du über ein qualifiziertes Übersetzungsbüro, nicht über die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neuseeländischen Visumantrag. Das erledigst du ausschließlich selbst über dein INZ-Konto, notfalls mit einem lizenzierten Immigration Adviser.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590"/>
        <w:gridCol w:w="3889"/>
      </w:tblGrid>
      <w:tr>
        <w:trPr>
          <w:tblHeader w:val="true"/>
          <w:cantSplit w:val="true"/>
        </w:trPr>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gehört nicht zu den Gebührenbefreiungsländern</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Apostille für das Führungszeugnis nötig, nur beglaubigte Übersetzung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 und Job Check verlängern den AEWV-Prozess spürbar</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Employer-Kosten (Accreditation, Job Check) trägt der Arbeitgeber, nicht du</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meist innerhalb von zwei Wochen entschieden</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unwiederbringlich verloren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(Sebastian, 43, Agraringenieur; Petra, 40, Tierärztin; Lotta, 12; Finn, 8; Rostock) hat ein Jobangebot eines Agrarunternehmens bei Christchurch, dessen Beruf auf der Green List steht. Der Arbeitgeber übernimmt Accreditation und Job Check; Sebastian zahlt für sein AEWV 1.540 NZD, für Petras Partnership Work Visa kommen weitere 1.630 NZD dazu. Beide lassen ihre Führungszeugnisse beim Bundesamt für Justiz ausstellen und von einem vereidigten Übersetzer ins Englische übertragen – eine Apostille, mit der Sebastian schon aus einer früheren Australien-Recherche gerechnet hatte, brauchen sie am Ende gar nicht. Die Gesundheitsuntersuchung bei einem Panel Physician in Rostock dauert einen Vormittag für die ganze Familie. Nach knapp drei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(31, IT-Berater, Frankfurt) sichert sich sein Jobangebot noch von Deutschland aus und erfüllt mit Masterabschluss, Berufserfahrung und einem Gehalt deutlich über der geforderten Lohnschwelle die Punktzahl für die Skilled Migrant Category direkt – ohne vorheriges AEWV. Er zahlt 6.450 NZD, lässt sein Führungszeugnis beglaubigt übersetzen und bucht die Gesundheitsuntersuchung noch für dieselbe Woche. Rund neun Wochen später steht die Entscheidung im INZ-Konto – schneller, als er erwartet hatte, nachdem ihm ein Bekannter von einem AEWV-Verfahren mit mehreren Monaten Wartezeit erzählt hatte.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über die </w:t>
      </w:r>
      <w:hyperlink w:anchor="tnz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 welcher Weg für dich infrage kommt – das entscheidet, ob ein Arbeitgeber Accreditation und Job Check durchlaufen muss oder ob du direkt einen SMC-Antrag stellst. Lege dein INZ-Konto an, kalkuliere die Gesamtkosten inklusive Levy und IVL realistisch, und bestelle Führungszeugnis und Übersetzung so, dass beide bei Einreichung frisch genug sind. Buche die Gesundheitsuntersuchung, sobald INZ sie anfordert, und entscheide bewusst, ob ein lizenzierter Immigration Adviser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Visumweg geklärt (AEWV mit Green-List-Beruf, SMC direkt, Working Holiday, Familie/Investor)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INZ-Konto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Antragsgebühr, Levy, ggf. IVL, ggf. Employer-Kosten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beim Bundesamt für Justiz beantragt, höchstens sechs Monate vor Einreichung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Beglaubigte englische Übersetzung des Führungszeugnisses organisiert (keine Apostille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von INZ zugelassenen Panel Physician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lizenzierter Immigration Adviser sinnvoll ist; Registrierung im IAA-Register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deutsches Honorarkonsulat (Auckland oder Christchurch) beziehungsweise die Botschaft Wellington für deutsche Dokumente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INZ-Seite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Visa, Gebühren, Antragskonto: </w:t>
      </w:r>
      <w:hyperlink r:id="rId67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Fees Guide (INZ 1028), Ausgabe Mai 2026: </w:t>
      </w:r>
      <w:hyperlink r:id="rId675">
        <w:r>
          <w:rPr>
            <w:rStyle w:val="ListLabel113"/>
            <w:rFonts w:eastAsia="Cambria" w:cs="Cambria"/>
            <w:b w:val="false"/>
            <w:bCs w:val="false"/>
            <w:i w:val="false"/>
            <w:iCs w:val="false"/>
            <w:color w:val="0563C1"/>
            <w:sz w:val="22"/>
            <w:szCs w:val="22"/>
            <w:u w:val="single"/>
          </w:rPr>
          <w:t>immigration.govt.nz/assets/inz/documents/forms-and-guides/Fees-Guide-INZ-1028.pdf</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Gesundheitsanforderungen: </w:t>
      </w:r>
      <w:hyperlink r:id="rId676">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Führungszeugnisse und Übersetzungen: </w:t>
      </w:r>
      <w:hyperlink r:id="rId67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immigration.govt.nz/process-to-apply/applying-for-a-visa/providing-evidence-and-documents-to-support-your-visa-application/good-character-requirements-and-police-certificates/police-certificates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Advisers Authority — Register: </w:t>
      </w:r>
      <w:hyperlink r:id="rId678">
        <w:r>
          <w:rPr>
            <w:rStyle w:val="ListLabel113"/>
            <w:rFonts w:eastAsia="Cambria" w:cs="Cambria"/>
            <w:b w:val="false"/>
            <w:bCs w:val="false"/>
            <w:i w:val="false"/>
            <w:iCs w:val="false"/>
            <w:color w:val="0563C1"/>
            <w:sz w:val="22"/>
            <w:szCs w:val="22"/>
            <w:u w:val="single"/>
          </w:rPr>
          <w:t>iaa.govt.nz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79">
        <w:r>
          <w:rPr>
            <w:rStyle w:val="ListLabel113"/>
            <w:rFonts w:eastAsia="Cambria" w:cs="Cambria"/>
            <w:b w:val="false"/>
            <w:bCs w:val="false"/>
            <w:i w:val="false"/>
            <w:iCs w:val="false"/>
            <w:color w:val="0563C1"/>
            <w:sz w:val="22"/>
            <w:szCs w:val="22"/>
            <w:u w:val="single"/>
          </w:rPr>
          <w:t>wellington.diplo.de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680">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immigration.govt.nz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0" w:name="__RefHeading___Toc56610_3457424410"/>
      <w:bookmarkStart w:id="181" w:name="tnz06"/>
      <w:bookmarkEnd w:id="180"/>
      <w:r>
        <w:rPr>
          <w:rFonts w:eastAsia="Amazon Ember" w:cs="Amazon Ember" w:ascii="Amazon Ember" w:hAnsi="Amazon Ember"/>
          <w:b/>
          <w:bCs/>
          <w:color w:val="0000FF"/>
          <w:sz w:val="36"/>
          <w:szCs w:val="36"/>
        </w:rPr>
        <w:t>Neuseeland: Ankunft, erste Tage und Wochen</w:t>
      </w:r>
      <w:bookmarkEnd w:id="18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Langstreckenflug über Dubai oder Singapur liegt Sebastian Krüger noch spürbar in den Knochen, und schon steht die Familie am Gepäckband des Flughafens Christchurch vor der nächsten Aufgabe: die Biosecurity-Kontrolle, bei der ein Beagle interessiert an Lottas Rucksack schnuppert, weil darin noch ein Apfel vom Zwischenstopp steckt. Kein Drama, nur eine kurze Zusatzkontrolle – aber ein guter erster Eindruck davon, wie ernst Neuseeland die eigene Abgeschiedenheit nimmt. Was danach folgt, ist reine Organisation: eine Steuernummer, ein Bankkonto, eine SIM-Karte, irgendwann eine Wohnung, die nicht nur für zwei Wochen gemietet ist.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Vor der Landung ist die </w:t>
            </w:r>
            <w:r>
              <w:rPr>
                <w:rFonts w:eastAsia="Cambria" w:cs="Cambria"/>
                <w:b w:val="false"/>
                <w:bCs w:val="false"/>
                <w:i/>
                <w:iCs/>
                <w:sz w:val="20"/>
                <w:szCs w:val="20"/>
              </w:rPr>
              <w:t>New Zealand Traveller Declaration</w:t>
            </w:r>
            <w:r>
              <w:rPr>
                <w:rFonts w:eastAsia="Cambria" w:cs="Cambria"/>
                <w:b w:val="false"/>
                <w:bCs w:val="false"/>
                <w:i w:val="false"/>
                <w:iCs w:val="false"/>
                <w:sz w:val="20"/>
                <w:szCs w:val="20"/>
              </w:rPr>
              <w:t xml:space="preserve"> (NZTD) Pflicht – die digitale Einreise-, Zoll- und Biosecurity-Erklärung, die die frühere Papierkarte ersetzt hat.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sofort nach der Ankunft: kostenlos, oft binnen zwei Tagen bestätigt, aber ohne sie drohen hohe pauschale Steuerabzüge.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 wird aber erst nach persönlicher Identifizierung vor Ort voll nutzbar.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zum öffentlichen Gesundheitssystem hast du erst mit einem Visum für mindestens zwei Jahre oder als Resident – die </w:t>
            </w:r>
            <w:r>
              <w:rPr>
                <w:rFonts w:eastAsia="Cambria" w:cs="Cambria"/>
                <w:b w:val="false"/>
                <w:bCs w:val="false"/>
                <w:i/>
                <w:iCs/>
                <w:sz w:val="20"/>
                <w:szCs w:val="20"/>
              </w:rPr>
              <w:t>ACC</w:t>
            </w:r>
            <w:r>
              <w:rPr>
                <w:rFonts w:eastAsia="Cambria" w:cs="Cambria"/>
                <w:b w:val="false"/>
                <w:bCs w:val="false"/>
                <w:i w:val="false"/>
                <w:iCs w:val="false"/>
                <w:sz w:val="20"/>
                <w:szCs w:val="20"/>
              </w:rPr>
              <w:t xml:space="preserve"> (die staatliche Unfallversicherung) deckt dagegen von der ersten Minute an jeden in Neuseeland ab.</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am besten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NZTD,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 frühestens 24 Stunden davor, spätestens vor der Passkontrolle in Neuseeland – füllst du die New Zealand Traveller Declaration online oder per App aus. Sie bündelt Reise-, Zoll-, Einwanderungs- und Biosecurity-Angaben in einem einzigen digitalen Formular und ersetzt die frühere Papier-Einreisekarte; ausfüllen muss sie jeder, auch Kinder und Kleinkinder mit eigener Erklärung. Das dauert rund zehn Minuten und erspart am Flughafen selbst viel Papierkram – nicht aber die eigentliche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Direkt nach der Passkontrolle folgt die Biosecurity-Prüfung durch das </w:t>
      </w:r>
      <w:r>
        <w:rPr>
          <w:rFonts w:eastAsia="Cambria" w:cs="Cambria"/>
          <w:b w:val="false"/>
          <w:bCs w:val="false"/>
          <w:i/>
          <w:iCs/>
          <w:sz w:val="22"/>
          <w:szCs w:val="22"/>
        </w:rPr>
        <w:t>Ministry for Primary Industries</w:t>
      </w:r>
      <w:r>
        <w:rPr>
          <w:rFonts w:eastAsia="Cambria" w:cs="Cambria"/>
          <w:b w:val="false"/>
          <w:bCs w:val="false"/>
          <w:i w:val="false"/>
          <w:iCs w:val="false"/>
          <w:sz w:val="22"/>
          <w:szCs w:val="22"/>
        </w:rPr>
        <w:t xml:space="preserve"> (MPI, das Ministerium für Grundstoffindustrien, zuständig unter anderem für Biosicherheit). Neuseeland zählt zu den Ländern mit der strengsten Einfuhrkontrolle für Lebensmittel, Pflanzen, Holzprodukte und gebrauchte Outdoor-Ausrüstung weltweit – aus gutem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Biosecurity-Kontrolle gilt für jedes Familienmitglied und jedes Gepäckstück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geht es meist per Shuttle, Taxi, Fahrdienst oder Mietwagen weiter; in Christchurch, Auckland und Wellington sind die Stadtzentren jeweils nur eine kurze Fahrt entfernt. Wechsle nur so viel Bargeld wie nötig am Flughafenschalter – die Kurse dort sind selten die besten –, den Rest erledigst du bequemer über Karte oder das neue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und Reiseschecks über einem bestimmten Gesamtwert meldest du in der NZTD ebenfalls aktiv an; die Anmeldung selbst ist unproblematisch, das Verschweigen dagegen nicht. Wer mit dem Auto weiterreist, sollte sich außerdem gleich am ersten Tag klarmachen, dass in Neuseeland Linksverkehr gilt – ein Detail, das nach einem Nachtflug leichter in Vergessenheit gerät, als man denkt. Führerschein-Umtausch und die Besonderheiten des neuseeländischen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liegt, je nach Sommer- oder Winterzeit auf beiden Seiten der Erde, rund elf bis zwölf Stunden vor der deutschen Zeit – ein Sprung, der sich nicht mit einer Mütze Schlaf im Flugzeug erledigt.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gleich am zweiten Tag zum wichtigen Behördentermin will, überschätzt meist die eigene Tagesform. Ein, zwei Tage Puffer zahlen sich in jedem Gespräch aus, bei dem es auf Konzentration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w:t>
      </w:r>
      <w:r>
        <w:rPr>
          <w:rFonts w:eastAsia="Cambria" w:cs="Cambria"/>
          <w:b w:val="false"/>
          <w:bCs w:val="false"/>
          <w:i/>
          <w:iCs/>
          <w:sz w:val="22"/>
          <w:szCs w:val="22"/>
        </w:rPr>
        <w:t>IRD-Nummer</w:t>
      </w:r>
      <w:r>
        <w:rPr>
          <w:rFonts w:eastAsia="Cambria" w:cs="Cambria"/>
          <w:b w:val="false"/>
          <w:bCs w:val="false"/>
          <w:i w:val="false"/>
          <w:iCs w:val="false"/>
          <w:sz w:val="22"/>
          <w:szCs w:val="22"/>
        </w:rPr>
        <w:t xml:space="preserve"> sein, der kostenlosen, lebenslangen Steuer-Identifikationsnummer des </w:t>
      </w:r>
      <w:r>
        <w:rPr>
          <w:rFonts w:eastAsia="Cambria" w:cs="Cambria"/>
          <w:b w:val="false"/>
          <w:bCs w:val="false"/>
          <w:i/>
          <w:iCs/>
          <w:sz w:val="22"/>
          <w:szCs w:val="22"/>
        </w:rPr>
        <w:t>Inland Revenue Department</w:t>
      </w:r>
      <w:r>
        <w:rPr>
          <w:rFonts w:eastAsia="Cambria" w:cs="Cambria"/>
          <w:b w:val="false"/>
          <w:bCs w:val="false"/>
          <w:i w:val="false"/>
          <w:iCs w:val="false"/>
          <w:sz w:val="22"/>
          <w:szCs w:val="22"/>
        </w:rPr>
        <w:t xml:space="preserve">. Ohne sie läuft in Neuseeland weder ein reguläres Gehalt noch ein voll nutzbares Bankkonto oder ein späterer Beitritt zu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 dem staatlich geförderten Rentensparsystem. Die Beantragung läuft im Verfahren „New Arrival to New Zealand“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bei dem das System deine Identität direkt mit den bei INZ hinterlegten Visadaten abgleicht. Resident-Visum-Inhaber brauchen dafür nur Passdaten und die INZ-Antragsnummer; wer mit einem Arbeits- oder Studienvisum einreist, gibt zusätzlich nach Möglichkeit die letzte ausländische Steuernummer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erfolgreicher Online-Verifizierung kommt die IRD-Nummer meist innerhalb von zwei Tagen per SMS oder E-Mail – ein Tempo, das in der sonst eher gemächlichen Behördenwelt angenehm überrascht. Wichtig ist die Reihenfolge: Ohne Wohnsitznachweis oder ohne die passenden Visadaten im System lässt sich der Antrag nicht sauber stellen, weshalb sich die Beantragung in der Praxis erst nach den ersten Tagen vor Ort erledigen lässt, nicht schon vom Hotelzimmer am Ankunftstag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 der offiziellen IRD-Quelle verifizieren. Verlasse dich sicherheitshalber nicht auf eine bestimmte Zahl, sondern beantrage die Nummer schlicht so früh wie möglich – das kostet nichts und erspart im Zweifel eine unangenehme erste Gehaltsabrechnung.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neuseeländisches Bankkonto – und die gute Nachricht vorweg: ANZ bietet für die meisten Visumkategorien eine Kontoeröffnung bis zu 90 Tage vor der Einreise an, ASB lässt sich per App schon aus dem Ausland kontaktieren, sofern ein längerfristiges Visum vorliegt. Bei Westpac und BNZ ist laut mehreren Quellen eher ein persönlicher Filialbesuch üblich, wobei sich die genauen Abläufe der Banken immer wieder ändern. Nutze eine Vorab-Eröffnung, wenn deine Zielbank sie anbietet: Dann bist du vom ersten Arbeitstag an zahlungsfähig, statt in der turbulentesten Woche noch einen Filialtermin einzuschieben.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vom Vorab-Status bleibt jedes Konto bis zur persönlichen Identitätsprüfung in einer Filiale – mit Pass, Visumsnachweis und einem neuseeländischen Adressnachweis – im reinen „Nur-Einzahlung“-Modus: Geld kommt rein, aber Überweisungen, Karte und Online-Banking funktionieren erst nach der Verifizierung vor Ort. Auch ohne IRD-Nummer und ohne feste Adresse lässt sich meist ein Übergangskonto eröffnen; reiche die IRD-Nummer aber zügig nach, sonst greift bei Zinserträgen der oben beschriebene hohe Vorsteuersatz. Wie du dir eine neuseeländische Kreditwürdigkeit aufbaust und welche Bank sich für dich lohnt, vertieft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vor der Wahl der Bank gezielt die Kontoführungsgebühren für Neuankömmlinge – einige Institute bieten befristete gebührenfreie Pakete an, die im Kleingedruckten der Newcomer-Seiten stehen, nicht auf der allgemeinen Startseite.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 das holst du nach, sobald ein Daueraufenthaltstitel vorliegt, nicht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und ACC: zwei unterschiedliche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beziehungsweise unter Anrechnung bereits verbrachter Zeit. Wer mit einem kürzeren Visum einreist – etwa Working Holiday oder ein kurz laufendes AEWV –, ist in der Regel nicht automatisch abgedeckt und braucht eine private Übergangsversicherung, wie sie bei vielen befristeten Visa ohnehin schon Voraussetzung für die Erteilung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Ganz anders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greift ab der ersten Minute in Neuseeland, das öffentliche Gesundheitssystem erst mit ausreichend langem Aufenthaltstitel. Verwechsle die beiden nicht – ein Skiunfall in der ersten Woche ist über ACC abgesichert, ein banaler Zahnarztbesuch mit kurzem Visum in der Regel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landet mit dem bereits genehmigten AEWV in Christchurch – der Vertrag läuft über drei Jahre, womit die Familie die Zwei-Jahres-Schwelle für das öffentliche Gesundheitssystem von Anfang an erfüllt. Trotzdem dauert die formale Anmeldung einige Tage, weshalb Petra für die ersten zwei Wochen sicherheitshalber die deutsche Auslandskrankenversicherung der Familie verlängert. Als Finn sich in der zweiten Woche beim Klettern am Spielplatz den Arm verstaucht, übernimmt ACC die Behandlung im Krankenhaus, unabhängig vom Versicherungsstatus – eine Rechnung, die in Deutschland vermutlich zuerst bei der eigenen Kasse gelandet wäre.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Neuseeland in aller Regel kein EU-Roaming, und wer das erst am Gepäckband 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Neuseeland-Datenpaket, eingerichtet schon vor dem Abflug, oder eine physische Prepaid-SIM direkt nach der Landung – erhältlich an Kiosken im Ankunftsbereich, in Supermärkten oder bei den Netzbetreibern selbst. Die drei großen Netze sind Spark, One NZ (früher Vodafone New Zealand) und 2degrees; alle drei betreiben eigene Mobilfunknetze mit guter Abdeckung in den Städten, während abgelegenere Regionen der Südinsel stellenweise dünner versorgt sind. Wer besonders auf den Preis schaut, findet bei Skinny – der Billigmarke von Spark – günstige Prepaid-Tarife ganz ohne Bonitätsprüfung. Behalte deine deutsche Nummer als Zweit-SIM, solange dort noch Bestätigungscodes von Bank oder deutschen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neuseeländische Adresse ist selten die endgültige – und genau so solltest du sie auch buchen: mit kostenloser Stornierung, ohne Langzeitvertrag. Ein möbliertes Apartment auf Zeit, ein Airbnb oder ein Motel mit Wochenpreisen überbrücken die ersten Tage bis Wochen, in denen du ohnehin erst IRD-Nummer, Bankverbindung und einen ersten Gehaltsnachweis vorweisen können solltest, bevor du dich um einen regulären Mietvertrag bemühst.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rFonts w:eastAsia="Cambria" w:cs="Cambria"/>
          <w:b w:val="false"/>
          <w:bCs w:val="false"/>
          <w:i/>
          <w:iCs/>
          <w:sz w:val="22"/>
          <w:szCs w:val="22"/>
        </w:rPr>
        <w:t>Bond</w:t>
      </w:r>
      <w:r>
        <w:rPr>
          <w:rFonts w:eastAsia="Cambria" w:cs="Cambria"/>
          <w:b w:val="false"/>
          <w:bCs w:val="false"/>
          <w:i w:val="false"/>
          <w:iCs w:val="false"/>
          <w:sz w:val="22"/>
          <w:szCs w:val="22"/>
        </w:rPr>
        <w:t xml:space="preserve">), die gesetzlich höchstens vier Wochenmieten betragen darf und treuhänderisch bei </w:t>
      </w:r>
      <w:r>
        <w:rPr>
          <w:rFonts w:eastAsia="Cambria" w:cs="Cambria"/>
          <w:b w:val="false"/>
          <w:bCs w:val="false"/>
          <w:i/>
          <w:iCs/>
          <w:sz w:val="22"/>
          <w:szCs w:val="22"/>
        </w:rPr>
        <w:t>Tenancy Services</w:t>
      </w:r>
      <w:r>
        <w:rPr>
          <w:rFonts w:eastAsia="Cambria" w:cs="Cambria"/>
          <w:b w:val="false"/>
          <w:bCs w:val="false"/>
          <w:i w:val="false"/>
          <w:iCs w:val="false"/>
          <w:sz w:val="22"/>
          <w:szCs w:val="22"/>
        </w:rPr>
        <w:t xml:space="preserve"> hinterlegt wird, nicht direkt beim Vermieter –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Flug und Wohnort ab.</w:t>
      </w:r>
    </w:p>
    <w:tbl>
      <w:tblPr>
        <w:tblW w:w="6480" w:type="dxa"/>
        <w:jc w:val="left"/>
        <w:tblInd w:w="0" w:type="dxa"/>
        <w:tblLayout w:type="fixed"/>
        <w:tblCellMar>
          <w:top w:w="50" w:type="dxa"/>
          <w:left w:w="80" w:type="dxa"/>
          <w:bottom w:w="50" w:type="dxa"/>
          <w:right w:w="80" w:type="dxa"/>
        </w:tblCellMar>
      </w:tblPr>
      <w:tblGrid>
        <w:gridCol w:w="1218"/>
        <w:gridCol w:w="2938"/>
        <w:gridCol w:w="2324"/>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mit NZTD, Übergangsunterkunft beziehen, SIM aktivieren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2–5</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über myIR beantragen; Bankkonto eröffnen oder vor Ort verifizieren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ausreichend langem Visum: Anmeldung beim öffentlichen Gesundheitssystem; sonst private Übergangsversicherung prüfen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Bewerbungsunterlagen vorbereiten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KiwiSaver-Berechtigung mit dem Arbeitgeber klären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seinem bereits genehmigten Skilled Migrant Category Resident Visa nach Auckland, zunächst für zwei Wochen in ein möbliertes Apartment mit Wochenpreis gebucht. Am zweiten Tag holt er seine vorab online bestellte eSIM ab, am dritten Tag beantragt er über myIR seine IRD-Nummer – bestätigt zwei Tage später. Da er als Resident-Visum-Inhaber sofortigen Zugang zum öffentlichen Gesundheitssystem hat, meldet er sich noch in derselben Woche an. Die Wohnungssuche beginnt er bewusst erst, nachdem Bankkonto und erster Gehaltsnachweis stehen – eine Reihenfolge, die ihm bei der Bewerbung um eine WG-Wohnung in Ponsonby merklich hilft.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85"/>
        <w:gridCol w:w="3694"/>
      </w:tblGrid>
      <w:tr>
        <w:trPr>
          <w:tblHeader w:val="true"/>
          <w:cantSplit w:val="true"/>
        </w:trPr>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 bündelt Zoll, Einreise und Biosecurity in einem digitalen Formular</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streng, Deklarationspflicht auch für Kleinigkeiten</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oft innerhalb weniger Tage bestätigt</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bis zur Filial-Identifizierung nur im Einzahlungsmodus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ab der ersten Minute bei Unfällen ab</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Gesundheitssystem erst ab zweijährigem Visum oder Residency</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ohne Bonitätsprüfung</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in Auckland und Wellington spürbar kompetitiv</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 Zealand Traveller Declaration spätestens vor der Passkontrolle ausgefüllt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IRD-Antrag über myIR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Berechtigung fürs öffentliche Gesundheitssystem anhand der Visumdauer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fehlender Berechtigung: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Bewerbungsunterlagen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Customs Service — New Zealand Traveller Declaration: </w:t>
      </w:r>
      <w:hyperlink r:id="rId681">
        <w:r>
          <w:rPr>
            <w:rStyle w:val="ListLabel113"/>
            <w:rFonts w:eastAsia="Cambria" w:cs="Cambria"/>
            <w:b w:val="false"/>
            <w:bCs w:val="false"/>
            <w:i w:val="false"/>
            <w:iCs w:val="false"/>
            <w:color w:val="0563C1"/>
            <w:sz w:val="22"/>
            <w:szCs w:val="22"/>
            <w:u w:val="single"/>
          </w:rPr>
          <w:t>travellerdeclaration.govt.nz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Ministry for Primary Industries — Biosecurity bei der Einreise: </w:t>
      </w:r>
      <w:hyperlink r:id="rId682">
        <w:r>
          <w:rPr>
            <w:rStyle w:val="ListLabel113"/>
            <w:rFonts w:eastAsia="Cambria" w:cs="Cambria"/>
            <w:b w:val="false"/>
            <w:bCs w:val="false"/>
            <w:i w:val="false"/>
            <w:iCs w:val="false"/>
            <w:color w:val="0563C1"/>
            <w:sz w:val="22"/>
            <w:szCs w:val="22"/>
            <w:u w:val="single"/>
          </w:rPr>
          <w:t>mpi.govt.nz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Inland Revenue Department — IRD-Nummer für Neuankömmlinge: </w:t>
      </w:r>
      <w:hyperlink r:id="rId683">
        <w:r>
          <w:rPr>
            <w:rStyle w:val="ListLabel113"/>
            <w:rFonts w:eastAsia="Cambria" w:cs="Cambria"/>
            <w:b w:val="false"/>
            <w:bCs w:val="false"/>
            <w:i w:val="false"/>
            <w:iCs w:val="false"/>
            <w:color w:val="0563C1"/>
            <w:sz w:val="22"/>
            <w:szCs w:val="22"/>
            <w:u w:val="single"/>
          </w:rPr>
          <w:t>ird.govt.nz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Zugang zum Gesundheitssystem: </w:t>
      </w:r>
      <w:hyperlink r:id="rId68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Tenancy Services — Kaution und Mietrecht: </w:t>
      </w:r>
      <w:hyperlink r:id="rId685">
        <w:r>
          <w:rPr>
            <w:rStyle w:val="ListLabel113"/>
            <w:rFonts w:eastAsia="Cambria" w:cs="Cambria"/>
            <w:b w:val="false"/>
            <w:bCs w:val="false"/>
            <w:i w:val="false"/>
            <w:iCs w:val="false"/>
            <w:color w:val="0563C1"/>
            <w:sz w:val="22"/>
            <w:szCs w:val="22"/>
            <w:u w:val="single"/>
          </w:rPr>
          <w:t>tenancy.govt.nz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86">
        <w:r>
          <w:rPr>
            <w:rStyle w:val="ListLabel113"/>
            <w:rFonts w:eastAsia="Cambria" w:cs="Cambria"/>
            <w:b w:val="false"/>
            <w:bCs w:val="false"/>
            <w:i w:val="false"/>
            <w:iCs w:val="false"/>
            <w:color w:val="0563C1"/>
            <w:sz w:val="22"/>
            <w:szCs w:val="22"/>
            <w:u w:val="single"/>
          </w:rPr>
          <w:t>wellington.diplo.de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Bedingungen der NZTD, Bankkonditionen für Neuankömmlinge, die Höhe des „No-notification“-Steuersatzes ohne IRD-Nummer sowie die Zwei-Jahres-Schwelle beim öffentlichen Gesundheitssystem. Prüfe vor der Einreise die aktuellen Seiten des New Zealand Customs Service, des Inland Revenue Department und von Immigration New Zealand.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2" w:name="__RefHeading___Toc56612_3457424410"/>
      <w:bookmarkStart w:id="183" w:name="tnz07"/>
      <w:bookmarkEnd w:id="182"/>
      <w:r>
        <w:rPr>
          <w:rFonts w:eastAsia="Amazon Ember" w:cs="Amazon Ember" w:ascii="Amazon Ember" w:hAnsi="Amazon Ember"/>
          <w:b/>
          <w:bCs/>
          <w:color w:val="0000FF"/>
          <w:sz w:val="36"/>
          <w:szCs w:val="36"/>
        </w:rPr>
        <w:t>Neuseeland: IRD-Nummer, Steuern, Bank und Kredit aufbauen</w:t>
      </w:r>
      <w:bookmarkEnd w:id="183"/>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hat sein Bankkonto in Auckland schon aus Frankfurt heraus online beantragt – ein Klick, ein hochgeladener Reisepass, fertig, dachte er. Am ersten Arbeitstag als IT-Berater erklärt ihm die Personalabteilung freundlich, dass ohne eine bestimmte achtstellige Nummer weder sein Gehalt richtig ankommt noch sein neues Konto aus dem „nur Einzahlungen“-Modus herauskommt. Die Nummer heißt IRD-Nummer, sie ist kostenlos, und sie ist – so viel vorweg – die eine Bürokratie-Hürde in Neuseeland, die sich wirklich lohnt, sofort zu nehmen. Dieses Kapitel zeigt, wie du sie beantragst, was das neuseeländische Steuersystem von dir verlangt, wie KiwiSaver funktioniert, wie du ein Bankkonto eröffnest – und wie du dir, ganz ohne mitgebrachte Schufa-Historie, eine neuseeländische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über das „New Arrival to New Zealand“-Verfahren so früh wie möglich – kostenlos, meist in 2 Tagen nach erfolgreicher Visa-Verifizierung.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IRD-Nummer bzw. ohne ausgefülltes Formular IR330 beim Arbeitgeber greift der „No-notification rate“ von 45 % auf dein Gehalt – der höchste PAYE-Satz, den es gibt.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besteuert progressiv in fünf Stufen ohne Grundfreibetrag, für 2026/27 (Steuerjahr 1. April bis 31. März) unverändert gegenüber dem Vorjahr.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GST</w:t>
            </w:r>
            <w:r>
              <w:rPr>
                <w:rFonts w:eastAsia="Cambria" w:cs="Cambria"/>
                <w:b w:val="false"/>
                <w:bCs w:val="false"/>
                <w:i w:val="false"/>
                <w:iCs w:val="false"/>
                <w:sz w:val="20"/>
                <w:szCs w:val="20"/>
              </w:rPr>
              <w:t xml:space="preserve"> (Goods and Services Tax, die neuseeländische Verbrauchsteuer) liegt bei 15 % und steckt – anders als die US-Sales-Tax – bereits im ausgezeichneten Preis.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Steuerinländer (183-Tage-Regel) versteuern ihr Weltjahreseinkommen; Neuankömmlinge sind meist 48 Monate lang von der Steuer auf die meisten ausländischen Kapitalerträge befreit.</w:t>
            </w:r>
          </w:p>
          <w:p>
            <w:pPr>
              <w:pStyle w:val="ListParagraph"/>
              <w:numPr>
                <w:ilvl w:val="0"/>
                <w:numId w:val="1"/>
              </w:numPr>
              <w:spacing w:lineRule="exact" w:line="264" w:before="0" w:after="50"/>
              <w:rPr/>
            </w:pPr>
            <w:r>
              <w:rPr>
                <w:rFonts w:eastAsia="Cambria" w:cs="Cambria"/>
                <w:b w:val="false"/>
                <w:bCs w:val="false"/>
                <w:i/>
                <w:iCs/>
                <w:sz w:val="20"/>
                <w:szCs w:val="20"/>
              </w:rPr>
              <w:t>KiwiSaver</w:t>
            </w:r>
            <w:r>
              <w:rPr>
                <w:rFonts w:eastAsia="Cambria" w:cs="Cambria"/>
                <w:b w:val="false"/>
                <w:bCs w:val="false"/>
                <w:i w:val="false"/>
                <w:iCs w:val="false"/>
                <w:sz w:val="20"/>
                <w:szCs w:val="20"/>
              </w:rPr>
              <w:t xml:space="preserve"> (das freiwillige, staatlich geförderte Rentensparsystem) steht nur Personen mit unbefristetem Aufenthaltsrecht offen – ein befristetes Arbeitsvisum reicht dafür in aller Regel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deine Eintrittskarte ins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IRD-Nummer ist lebenslang gültig, kostenlos und Voraussetzung für so ziemlich alles, was mit Geld zu tun hat: legale Erwerbstätigkeit zum korrekten Steuersatz, ein voll funktionsfähiges Bankkonto, KiwiSaver-Mitgliedschaft und diverse staatliche Leistungen. Wer frisch mit einem Visum einreist, beantragt sie über das Verfahren „New Arrival to New Zealand“: online,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(das digitale Steuerkonto beim IRD), wobei das System deine Identität automatisch mit den Visadaten von Immigration New Zealand abgleicht. Resident-Visa-Inhaber wie Paul Lindner geben dafür im Wesentlichen Passdaten und ihre INZ-Antragsnummer an; Inhaber von Arbeits- oder Studienvisa ergänzen nach Möglichkeit ihre bisherige ausländische Steuernummer.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die Verifizierung glatt, kommt die IRD-Nummer meist innerhalb von 2 Tagen per SMS oder E-Mail. Wichtig ist die Frist: Wer kein australisches Passdokument hat (für das eigene, großzügigere Regeln gelten), sollte den Antrag noch vor Ablauf des ersten möglichen Einreisezeitraums seines Visums stellen – sonst greift das reguläre, deutlich langsamere Verfahren „Living in New Zealand“ mit 10 Werktagen Bearbeitung online beziehungsweise 12 Werktagen in Papierform.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schon vor dem Abflug planen möchte, kann alternativ das Verfahren „Living overseas – IRD number application“ nutzen, solange noch kein neuseeländischer Wohnsitz besteht. Das IRD strebt hier eine Bearbeitung innerhalb von rund 20 Tagen an; der postalische Versand der Bestätigung kann zusätzlich bis zu 20 Tage dauern. Für die meisten Neuankömmlinge mit bereits bewilligtem Visum ist der „New Arrival“-Weg nach der Landung trotzdem der schnellere – die Vorab-Variante lohnt sich vor allem, wenn du schon Monate vor der Einreise Kapitalerträge in Neuseeland erwartest.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IRD-Nummer und ohne ausgefülltes Formular IR330 (die Steuercode-Erklärung für Arbeitnehmer) ist dein Arbeitgeber gesetzlich verpflichtet, den sogenannten „No-notification rate“ einzubehalten – 45 % deines Bruttolohns, der höchste PAYE-Satz überhaupt, erheblich mehr als selbst der Spitzensteuersatz für sehr hohe Einkommen. Dasselbe gilt für Zinserträge ohne hinterlegte IRD-Nummer bei deiner Bank. Zu viel gezahlte Steuer bekommst du zwar über die Steuererklärung zurück, aber das dauert – in der Zwischenzeit fehlt dir das Geld für Miete und Lebenshaltung. Reiche die IRD-Nummer deshalb bei Arbeitgeber und Bank ein, bevor die erste Gehaltsabrechnung überhaupt läuft, nicht erst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fünf Stufen, kein Freibetrag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kennt kein Finanzamt, das dir einen Grundfreibetrag schenkt – jeder verdiente Dollar wird ab dem ersten Cent besteuert, nur eben progressiv gestaffelt. Das Steuerjahr läuft, anders als in Deutschland, vom 1. April bis zum 31. März; für 2026/27 (01.04.2026–31.03.2027) gelten dieselben Stufen wie im Vorjahr:</w:t>
      </w:r>
    </w:p>
    <w:tbl>
      <w:tblPr>
        <w:tblW w:w="6480" w:type="dxa"/>
        <w:jc w:val="left"/>
        <w:tblInd w:w="0" w:type="dxa"/>
        <w:tblLayout w:type="fixed"/>
        <w:tblCellMar>
          <w:top w:w="50" w:type="dxa"/>
          <w:left w:w="80" w:type="dxa"/>
          <w:bottom w:w="50" w:type="dxa"/>
          <w:right w:w="80" w:type="dxa"/>
        </w:tblCellMar>
      </w:tblPr>
      <w:tblGrid>
        <w:gridCol w:w="3541"/>
        <w:gridCol w:w="2938"/>
      </w:tblGrid>
      <w:tr>
        <w:trPr>
          <w:tblHeader w:val="true"/>
          <w:cantSplit w:val="true"/>
        </w:trPr>
        <w:tc>
          <w:tcPr>
            <w:tcW w:w="3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Einkommensstufe (NZD)</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Grenzsteuersatz</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15.600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15.601 – 53.500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53.501 – 78.100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78.101 – 180.000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180.001</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Lohnsteuerabzug) wendet diese Stufen automatisch auf jede Gehaltsabrechnung an; wer ausschließlich als Angestellter arbeitet, kommt in vielen Fällen ganz ohne eigene Steuererklärung aus. Selbstständige, Vermieter oder Personen mit mehreren Einkommensquellen – etwa Paul Lindner, sobald er neben seiner Festanstellung IT-Beratungsprojekte annimmt – müssen dagegen aktiv eine Erklärung abgeben.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Sprung von 17,5 % auf 30 % bei nur 53.500 NZD Jahreseinkommen ist steiler, als viele erwarten, die aus dem deutschen Stufentarif kommen. Rechne bei einer Gehaltsverhandlung lieber einmal zu genau nach, was netto tatsächlich ankommt, als dich von der Bruttozahl blenden zu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GST: 15 % – aber schon im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liegt bei einheitlich 15 % und ist, anders als die separat ausgewiesene US-Sales-Tax, bereits in praktisch jedem angezeigten Verkaufspreis enthalten. Was auf dem Preisschild steht, zahlst du an der Kasse – keine Überraschung, kein Kopfrechnen im Supermarktgang. Für 2026/27 ist keine Satzänderung angekündigt.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Relevant wird GST vor allem für Selbstständige und Freiberufler: Wer als Einzelunternehmer in einem rollierenden 12-Monats-Fenster mehr als 60.000 NZD Umsatz erzielt oder das absehbar tun wird, muss sich innerhalb von 21 Tagen nach Überschreiten der Schwelle beim IRD für GST registrieren – unabhängig davon, ob am Ende ein Gewinn übrig bleibt. Unterhalb der Schwelle ist die Registrierung freiwillig, kann sich aber lohnen, weil dann auch auf Geschäftsausgaben gezahlte GST erstattet wird. Wer wie Paul Lindner neben einer Festanstellung freiberufliche IT-Projekte annimmt, sollte die eigenen Rechnungssummen deshalb im Blick behalten, statt von der Schwelle überrascht zu werden – die Nachmeldung selbst ist unkompliziert, die verpasste Frist dagegen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die 183-Tage-Regel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Pr>
            <w:rStyle w:val="ListLabel113"/>
            <w:rFonts w:eastAsia="Cambria" w:cs="Cambria"/>
            <w:b w:val="false"/>
            <w:bCs w:val="false"/>
            <w:i w:val="false"/>
            <w:iCs w:val="false"/>
            <w:color w:val="0563C1"/>
            <w:sz w:val="22"/>
            <w:szCs w:val="22"/>
            <w:u w:val="single"/>
          </w:rPr>
          <w:t>Kapitel zu Staatsbürgerschaft und Steuerresidenz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Steuerinländer versteuern ihr </w:t>
      </w:r>
      <w:r>
        <w:rPr>
          <w:rFonts w:eastAsia="Cambria" w:cs="Cambria"/>
          <w:b/>
          <w:bCs/>
          <w:i w:val="false"/>
          <w:iCs w:val="false"/>
          <w:sz w:val="22"/>
          <w:szCs w:val="22"/>
        </w:rPr>
        <w:t>weltweites</w:t>
      </w:r>
      <w:r>
        <w:rPr>
          <w:rFonts w:eastAsia="Cambria" w:cs="Cambria"/>
          <w:b w:val="false"/>
          <w:bCs w:val="false"/>
          <w:i w:val="false"/>
          <w:iCs w:val="false"/>
          <w:sz w:val="22"/>
          <w:szCs w:val="22"/>
        </w:rPr>
        <w:t xml:space="preserve"> Einkommen in Neuseeland; Nicht-Steuerinländer nur das, was tatsächlich aus neuseeländischen Quellen stammt. Für Deutsche mit Mieteinnahmen, Kapitalerträgen oder einer Betriebsrente in Deutschland ist das der entscheidende Punkt – und genau hier hilft die folgende Sonderregel für frisch Zugewanderte.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Steuerresidenz endet übrigens nicht automatisch mit dem Rückflug: Diese fällt erst weg, wenn du keinen festen Wohnsitz mehr in Neuseeland hast </w:t>
      </w:r>
      <w:r>
        <w:rPr>
          <w:rFonts w:eastAsia="Cambria" w:cs="Cambria"/>
          <w:b/>
          <w:bCs/>
          <w:i w:val="false"/>
          <w:iCs w:val="false"/>
          <w:sz w:val="22"/>
          <w:szCs w:val="22"/>
        </w:rPr>
        <w:t>und</w:t>
      </w:r>
      <w:r>
        <w:rPr>
          <w:rFonts w:eastAsia="Cambria" w:cs="Cambria"/>
          <w:b w:val="false"/>
          <w:bCs w:val="false"/>
          <w:i w:val="false"/>
          <w:iCs w:val="false"/>
          <w:sz w:val="22"/>
          <w:szCs w:val="22"/>
        </w:rPr>
        <w:t xml:space="preserve"> dich in einem rollierenden 12-Monats-Fenster an mehr als 325 Tagen außerhalb Neuseelands aufhältst. Wer also nach ein paar Jahren zurück nach Deutschland zieht, aber noch eine neuseeländische Wohnung oder ein Haus behält, bleibt unter Umständen länger steuerpflichtig, als er denkt.</w:t>
      </w:r>
    </w:p>
    <w:p>
      <w:pPr>
        <w:pStyle w:val="Normal"/>
        <w:keepNext w:val="false"/>
        <w:keepLines w:val="false"/>
        <w:spacing w:lineRule="exact" w:line="288" w:before="0" w:after="140"/>
        <w:jc w:val="left"/>
        <w:rPr/>
      </w:pPr>
      <w:r>
        <w:rPr>
          <w:rFonts w:eastAsia="Cambria" w:cs="Cambria"/>
          <w:b/>
          <w:bCs/>
          <w:i w:val="false"/>
          <w:iCs w:val="false"/>
          <w:sz w:val="22"/>
          <w:szCs w:val="22"/>
        </w:rPr>
        <w:t>Transitional-Resident-Befreiung:</w:t>
      </w:r>
      <w:r>
        <w:rPr>
          <w:rFonts w:eastAsia="Cambria" w:cs="Cambria"/>
          <w:b w:val="false"/>
          <w:bCs w:val="false"/>
          <w:i w:val="false"/>
          <w:iCs w:val="false"/>
          <w:sz w:val="22"/>
          <w:szCs w:val="22"/>
        </w:rP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rFonts w:eastAsia="Cambria" w:cs="Cambria"/>
          <w:b/>
          <w:bCs/>
          <w:i w:val="false"/>
          <w:iCs w:val="false"/>
          <w:sz w:val="22"/>
          <w:szCs w:val="22"/>
        </w:rPr>
        <w:t>Nicht</w:t>
      </w:r>
      <w:r>
        <w:rPr>
          <w:rFonts w:eastAsia="Cambria" w:cs="Cambria"/>
          <w:b w:val="false"/>
          <w:bCs w:val="false"/>
          <w:i w:val="false"/>
          <w:iCs w:val="false"/>
          <w:sz w:val="22"/>
          <w:szCs w:val="22"/>
        </w:rPr>
        <w:t xml:space="preserve"> befreit ist Erwerbs- oder Dienstleistungseinkommen aus dem Ausland – wer also weiterhin remote für einen deutschen Arbeitgeber tätig ist, versteuert dieses Einkommen ganz regulär in Neuseeland.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vermietet ihr Reihenhaus bei Rostock weiter, nachdem Sebastian und Petra mit dem AEWV nach Christchurch gezogen sind. In den ersten vier Jahren fällt auf die deutschen Mieteinnahmen dank der Transitional-Resident-Befreiung keine neuseeländische Steuer an – ein Umstand, den ihre Steuerberaterin in Christchurch ausdrücklich lobt, bevor sie im selben Satz darauf hinweist, dass die Befreiung nach 48 Monaten automatisch endet und die Familie sich rechtzeitig auf die dann volle Steuerpflicht einstellen sollte.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Altersvorsorge, aber nicht für jeden</w:t>
      </w:r>
    </w:p>
    <w:p>
      <w:pPr>
        <w:pStyle w:val="Normal"/>
        <w:keepNext w:val="false"/>
        <w:keepLines w:val="false"/>
        <w:spacing w:lineRule="exact" w:line="288" w:before="0" w:after="140"/>
        <w:jc w:val="left"/>
        <w:rPr/>
      </w:pPr>
      <w:r>
        <w:rPr>
          <w:rFonts w:eastAsia="Cambria" w:cs="Cambria"/>
          <w:b w:val="false"/>
          <w:bCs w:val="false"/>
          <w:i/>
          <w:iCs/>
          <w:sz w:val="22"/>
          <w:szCs w:val="22"/>
        </w:rPr>
        <w:t>KiwiSaver</w:t>
      </w:r>
      <w:r>
        <w:rPr>
          <w:rFonts w:eastAsia="Cambria" w:cs="Cambria"/>
          <w:b w:val="false"/>
          <w:bCs w:val="false"/>
          <w:i w:val="false"/>
          <w:iCs w:val="false"/>
          <w:sz w:val="22"/>
          <w:szCs w:val="22"/>
        </w:rPr>
        <w:t xml:space="preserve"> ist Neuseelands freiwilliges, staatlich gefördertes Rentensparsystem – und ausgerechnet hier trennt sich der Weg vieler Neuankömmlinge in zwei Klassen. Beitreten können nur Personen zwischen 18 und 65 Jahren, die in Neuseeland wohnen und entweder neuseeländische Staatsangehörige sind oder ein </w:t>
      </w:r>
      <w:r>
        <w:rPr>
          <w:rFonts w:eastAsia="Cambria" w:cs="Cambria"/>
          <w:b/>
          <w:bCs/>
          <w:i w:val="false"/>
          <w:iCs w:val="false"/>
          <w:sz w:val="22"/>
          <w:szCs w:val="22"/>
        </w:rPr>
        <w:t>unbefristetes Aufenthaltsrecht</w:t>
      </w:r>
      <w:r>
        <w:rPr>
          <w:rFonts w:eastAsia="Cambria" w:cs="Cambria"/>
          <w:b w:val="false"/>
          <w:bCs w:val="false"/>
          <w:i w:val="false"/>
          <w:iCs w:val="false"/>
          <w:sz w:val="22"/>
          <w:szCs w:val="22"/>
        </w:rPr>
        <w:t xml:space="preserve"> haben. Ein befristetes Arbeits-, Studien- oder Besuchervisum reicht dafür grundsätzlich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beiden Hauptfiguren dieses Buchteils bedeutet das zwei völlig unterschiedliche Startpunkte: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einem bereits bewilligten Skilled Migrant Category Resident Visa direkt aus Frankfurt an. Da er damit ein unbefristetes Aufenthaltsrecht besitzt, kann er noch in seiner ersten Woche in Auckland KiwiSaver beitreten und wählt einen wachstumsorientierten Fonds – ohne Wartezeit, ohne Zwischenschritt. Familie Krüger dagegen reist mit einem Accredited Employer Work Visa ein: Sebastian und Petra sind damit vorerst schlicht nicht beitrittsberechtigt, so gerne ihr neuer Arbeitgeber in Christchurch sie auch fürs betriebliche Sparen begeistern würde. Erst mit einem eigenen Daueraufenthaltstitel – meist über die Skilled Migrant Category, sobald die Green-List-Beschäftigung die nötige Zeit erreicht hat – öffnet sich KiwiSaver auch für sie.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berechtigte Mitglieder ist der Arbeitgeberbeitrag verpflichtend, sobald man einmal beigetreten ist: mindestens 3 % bisher, ab dem 1. April 2026 mindestens </w:t>
      </w:r>
      <w:r>
        <w:rPr>
          <w:rFonts w:eastAsia="Cambria" w:cs="Cambria"/>
          <w:b/>
          <w:bCs/>
          <w:i w:val="false"/>
          <w:iCs w:val="false"/>
          <w:sz w:val="22"/>
          <w:szCs w:val="22"/>
        </w:rPr>
        <w:t>3,5 %</w:t>
      </w:r>
      <w:r>
        <w:rPr>
          <w:rFonts w:eastAsia="Cambria" w:cs="Cambria"/>
          <w:b w:val="false"/>
          <w:bCs w:val="false"/>
          <w:i w:val="false"/>
          <w:iCs w:val="false"/>
          <w:sz w:val="22"/>
          <w:szCs w:val="22"/>
        </w:rPr>
        <w:t xml:space="preserve"> des Lohns, mit einer weiteren geplanten Stufe auf 4 % ab dem 1. April 2028. Seit demselben Stichtag gelten Pflichtbeiträge erstmals auch für 16- und 17-Jährige, zuvor erst ab 18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zunächst nur ein befristetes Visum hat, verliert durch die fehlende KiwiSaver-Berechtigung keine automatische Ersparnis – man kann eben noch nicht beitreten. Sobald ein Daueraufenthaltstitel vorliegt, lohnt sich der Beitritt aber meist zügig: Der verpflichtende Arbeitgeberbeitrag ist im Kern geschenktes Geld, das ohne eigene Mitgliedschaft ungenutzt bliebe.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ANZ, ASB, Westpac und BNZ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Neuseelands größte Privatkundenbanken – ANZ, ASB, Westpac und BNZ – bieten alle eine Form der Kontoeröffnung aus dem Ausland an, allerdings mit spürbaren Unterschieden im Detail. ANZ ermöglicht die Voranmeldung bis zu 90 Tage vor der Einreise für die meisten Visakategorien; ASB wirbt mit einer App-basierten Beantragung, bei der die Kontonummer oft innerhalb weniger Tage vorliegt. Bei Westpac und BNZ ist nach mehreren übereinstimmenden Quellen häufiger ein persönlicher Filialbesuch nötig – die genauen Bedingungen ändern sich jedoch öfter, als man sich das für eine Bank wünschen würde, und lohnen einen aktuellen Check direkt auf der jeweiligen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Erwartungshaltung: Ein aus dem Ausland eröffnetes Konto bleibt bis zur persönlichen Identitätsprüfung in einer Filiale – mit neuseeländischem Adressnachweis – im „Nur-Einzahlung“-Modus. Geld kommt rein, aber nicht wieder raus, keine Kartenzahlung, keine Überweisung. Genau das musste Paul Lindner am ersten Arbeitstag lernen: Sein online eröffnetes Konto konnte zwar sein erstes Gehalt entgegennehmen, für die eigentliche Nutzung brauchte es trotzdem noch einen Filialtermin mit Pass und Adressnachweis.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Zur Filialprüfung bringst du üblicherweise Reisepass, den Nachweis über dein Visum sowie einen frischen Adressnachweis mit – ein Mietvertrag, eine Rechnung oder notfalls eine Buchungsbestätigung der ersten Unterkunft. Erst danach schaltet die Bank Debitkarte und Online-Banking vollständig frei. Im Alltag zahlst du in Neuseeland fast überall mit </w:t>
      </w:r>
      <w:r>
        <w:rPr>
          <w:rFonts w:eastAsia="Cambria" w:cs="Cambria"/>
          <w:b w:val="false"/>
          <w:bCs w:val="false"/>
          <w:i/>
          <w:iCs/>
          <w:sz w:val="22"/>
          <w:szCs w:val="22"/>
        </w:rPr>
        <w:t>EFTPOS</w:t>
      </w:r>
      <w:r>
        <w:rPr>
          <w:rFonts w:eastAsia="Cambria" w:cs="Cambria"/>
          <w:b w:val="false"/>
          <w:bCs w:val="false"/>
          <w:i w:val="false"/>
          <w:iCs w:val="false"/>
          <w:sz w:val="22"/>
          <w:szCs w:val="22"/>
        </w:rPr>
        <w:t xml:space="preserve"> (der landesweit verbreiteten Debitkarten-Zahlung direkt vom Girokonto) – Bargeld ist selbst für kleine Beträge längst zur Ausnahme geworden, was die erste Woche ohne freigeschaltetes Konto besonders unpraktisch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EFTPOS-Konto ohne echte Kreditkarte hilft dir beim Kreditaufbau kaum weiter – reine Debit-Zahlungen vom eigenen Guthaben melden die Auskunfteien in der Regel nicht. Für den Aufbau einer Kredithistorie brauchst du tatsächlich ein Produkt, bei dem du geliehenes Geld pünktlich zurückzahlst, nicht nur dein eigenes ausgibst.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IRD-Nummer und Bankkonto parallel, idealerweise schon aus Deutschland. Sobald du die IRD-Nummer bei deiner Bank hinterlegst, entfällt der hohe „No-notification“-Steuerabzug auf Zinserträge – ein Detail, das sich bei einem größeren Startkapital durchaus bemerkbar macht.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Centrix, Equifax und illion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makellose Schufa-Akte ist in Neuseeland ungefähr so nützlich wie ein Regenschirm in der Sahara: Drei Kreditauskunfteien – </w:t>
      </w:r>
      <w:r>
        <w:rPr>
          <w:rFonts w:eastAsia="Cambria" w:cs="Cambria"/>
          <w:b w:val="false"/>
          <w:bCs w:val="false"/>
          <w:i/>
          <w:iCs/>
          <w:sz w:val="22"/>
          <w:szCs w:val="22"/>
        </w:rPr>
        <w:t>Centrix</w:t>
      </w:r>
      <w:r>
        <w:rPr>
          <w:rFonts w:eastAsia="Cambria" w:cs="Cambria"/>
          <w:b w:val="false"/>
          <w:bCs w:val="false"/>
          <w:i w:val="false"/>
          <w:iCs w:val="false"/>
          <w:sz w:val="22"/>
          <w:szCs w:val="22"/>
        </w:rPr>
        <w:t xml:space="preserve"> (der einzige neuseeländische Anbieter in lokalem Besitz, mit nach eigenen Angaben rund 95 % aller kreditaktiven Neuseeländer in der Datenbank), </w:t>
      </w:r>
      <w:r>
        <w:rPr>
          <w:rFonts w:eastAsia="Cambria" w:cs="Cambria"/>
          <w:b w:val="false"/>
          <w:bCs w:val="false"/>
          <w:i/>
          <w:iCs/>
          <w:sz w:val="22"/>
          <w:szCs w:val="22"/>
        </w:rPr>
        <w:t>Equifax New Zealand</w:t>
      </w:r>
      <w:r>
        <w:rPr>
          <w:rFonts w:eastAsia="Cambria" w:cs="Cambria"/>
          <w:b w:val="false"/>
          <w:bCs w:val="false"/>
          <w:i w:val="false"/>
          <w:iCs w:val="false"/>
          <w:sz w:val="22"/>
          <w:szCs w:val="22"/>
        </w:rPr>
        <w:t xml:space="preserve"> (Referenzagentur fast aller großen Banken) und </w:t>
      </w:r>
      <w:r>
        <w:rPr>
          <w:rFonts w:eastAsia="Cambria" w:cs="Cambria"/>
          <w:b w:val="false"/>
          <w:bCs w:val="false"/>
          <w:i/>
          <w:iCs/>
          <w:sz w:val="22"/>
          <w:szCs w:val="22"/>
        </w:rPr>
        <w:t>illion</w:t>
      </w:r>
      <w:r>
        <w:rPr>
          <w:rFonts w:eastAsia="Cambria" w:cs="Cambria"/>
          <w:b w:val="false"/>
          <w:bCs w:val="false"/>
          <w:i w:val="false"/>
          <w:iCs w:val="false"/>
          <w:sz w:val="22"/>
          <w:szCs w:val="22"/>
        </w:rPr>
        <w:t xml:space="preserve"> – führen jeweils eigene Scores zwischen 0 und 1.000 (Centrix, Equifax) beziehungsweise 0 und 1.200 (illion). Keine davon kennt dich, deine deutsche Bonität oder deine jahrelange pünktliche Kontoführung zu Hause. Du startest bei null – und null ist in diesem System ausdrücklich kein Makel, sondern schlicht: noch nicht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 eine verpasste Rate schadet dort also genauso wie bei einer klassischen Kreditkarte.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ist in Neuseeland ein eigenständiges System, komplett getrennt von der deutschen Schufa. Niemand importiert deine Geschichte – du beginnst neu, und Strom-, Internet- und Kreditkartenrechnungen zählen von Anfang an mit, wenn du sie pünktlich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hast bei allen drei Auskunfteien Anspruch auf einen kostenlosen Kreditreport. Prüfe ihn nach den ersten Monaten in Neuseeland bewusst – so erkennst du Fehler früh und siehst, welche deiner Rechnungen tatsächlich schon als positive Historie zählen.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nicht mehrere Kreditkartenanträge gleichzeitig, nur um den Aufbau zu beschleunigen. Jede Anfrage hinterlässt eine eigene Spur in der Akte und kann einen gerade erst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was Angestellte wissen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ausschließlich Lohn oder Gehalt bezieht und dessen PAYE korrekt abgeführt wurde, muss oft überhaupt keine eigene Erklärung abgeben – das IRD gleicht viele Fälle automatisch ab und meldet sich von sich aus, falls eine Nachzahlung oder Erstattung ansteht. Wer zusätzliche Einkünfte hat – Vermietung, Selbstständigkeit, ausländische Kapitalerträge außerhalb der Transitional-Resident-Befreiung –, muss dagegen aktiv über myIR eine Erklärung einreichen. Bewahre dafür von Anfang an Gehaltsabrechnungen, den Jahresabschluss deines Arbeitgebers und Belege für berufsbezogene Ausgaben sorgfältig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komplexeren Fällen – etwa deutschem Immobilienbesitz, mehreren Einkommensquellen oder Unsicherheit über die eigene Steuerresidenz – lohnt sich ein registrierter Steuerberater (</w:t>
      </w:r>
      <w:r>
        <w:rPr>
          <w:rFonts w:eastAsia="Cambria" w:cs="Cambria"/>
          <w:b w:val="false"/>
          <w:bCs w:val="false"/>
          <w:i/>
          <w:iCs/>
          <w:sz w:val="22"/>
          <w:szCs w:val="22"/>
        </w:rPr>
        <w:t>tax agent</w:t>
      </w:r>
      <w:r>
        <w:rPr>
          <w:rFonts w:eastAsia="Cambria" w:cs="Cambria"/>
          <w:b w:val="false"/>
          <w:bCs w:val="false"/>
          <w:i w:val="false"/>
          <w:iCs w:val="false"/>
          <w:sz w:val="22"/>
          <w:szCs w:val="22"/>
        </w:rPr>
        <w:t>, ein bei IRD registrierter Steuerberatungsdienst). Er kennt nicht nur die aktuellen Fristen in myIR, sondern kann bei komplizierten Fällen auch mit dem IRD über Zahlungsvereinbarungen oder Fristverlängerungen verhandeln – ein Aufwand, der sich gerade im ersten neuseeländischen Steuerjahr auszahlt, wenn ohnehin schon vieles neu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ist kostenlos und meist binnen 2 Tagen bestätigt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IRD-Nummer bzw. IR330 droht der 45-%-No-notification-Satz</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steckt bereits im Preis – keine Überraschung an der Kasse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Grundfreibetrag: jeder Dollar wird ab dem ersten Cent versteuert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schont 48 Monate lang viele ausländische Kapitalerträge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Ausländisches Erwerbseinkommen bleibt von der Befreiung ausgenommen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Resident-Visa-Inhaber wie Paul Lindner können KiwiSaver sofort nutzen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Arbeitsvisa (z. B. AEWV) schließen KiwiSaver zunächst aus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lässt sich oft schon aus Deutschland vorbereiten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Kontofunktion erst nach persönlicher Identitätsprüfung vor Ort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Kreditreport bei allen drei Auskunfteien einsehbar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neuseeländische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IRD-Nummer über myIR, sobald dein Visum verifizierbar ist, und reiche sie zusammen mit dem Formular IR330 bei deinem Arbeitgeber ein, bevor die erste Gehaltsabrechnung läuft. Eröffne parallel ein Bankkonto bei einer der vier großen Banken, plane aber einen Filialtermin für die vollständige Identitätsprüfung nach der Einreise ein. Kläre deine KiwiSaver-Berechtigung anhand deines Aufenthaltsstatus, und beginne unabhängig davon früh mit dem Aufbau deiner neuseeländischen Kreditwürdigkeit – über pünktliche Rechnungen, eine erste Kreditkarte und einen frühen Blick in deinen kostenlosen Kreditreport.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über myIR beantragt („New Arrival to New Zealand“), Visa-Verifizierung abgewartet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IR330 beim Arbeitgeber eingereicht, bevor die erste Gehaltsabrechnung lief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auch bei der Bank hinterlegt, um den hohen Steuerabzug auf Zinsen zu vermeiden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Einkommensteuerstufen 2026/27 und das Steuerjahr (1. April–31. März) im Kopf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Steuerresidenz-Status (183-Tage-Regel)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Transitional-Resident-Befreiung mit Steuerberatung auf deutsche Kapitalerträge/Mieteinnahmen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KiwiSaver-Berechtigung anhand des Aufenthaltsstatus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bei ANZ, ASB, Westpac oder BNZ vorab online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Filialtermin für die persönliche Identitätsprüfung nach der Einreise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oder pünktlich gezahlte Rechnungen zum Kreditaufbau genutzt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Kostenlosen Kreditreport bei Centrix, Equifax NZ oder illion nach den ersten Monaten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8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 xml:space="preserve"> – IRD-Nummer, Einkommensteuersätze, GST, Steuerresidenz, KiwiSaver, No-notification-Satz</w:t>
      </w:r>
    </w:p>
    <w:p>
      <w:pPr>
        <w:pStyle w:val="ListParagraph"/>
        <w:numPr>
          <w:ilvl w:val="0"/>
          <w:numId w:val="1"/>
        </w:numPr>
        <w:spacing w:lineRule="exact" w:line="288" w:before="0" w:after="60"/>
        <w:rPr/>
      </w:pPr>
      <w:hyperlink r:id="rId68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Visa-Kategorien und Aufenthaltsrecht als Grundlage der KiwiSaver-Berechtigung</w:t>
      </w:r>
    </w:p>
    <w:p>
      <w:pPr>
        <w:pStyle w:val="ListParagraph"/>
        <w:numPr>
          <w:ilvl w:val="0"/>
          <w:numId w:val="1"/>
        </w:numPr>
        <w:spacing w:lineRule="exact" w:line="288" w:before="0" w:after="60"/>
        <w:rPr/>
      </w:pPr>
      <w:hyperlink r:id="rId689">
        <w:r>
          <w:rPr>
            <w:rStyle w:val="ListLabel113"/>
            <w:rFonts w:eastAsia="Cambria" w:cs="Cambria"/>
            <w:b w:val="false"/>
            <w:bCs w:val="false"/>
            <w:i w:val="false"/>
            <w:iCs w:val="false"/>
            <w:color w:val="0563C1"/>
            <w:sz w:val="22"/>
            <w:szCs w:val="22"/>
            <w:u w:val="single"/>
          </w:rPr>
          <w:t>centrix.co.nz</w:t>
        </w:r>
      </w:hyperlink>
      <w:r>
        <w:rPr>
          <w:rFonts w:eastAsia="Cambria" w:cs="Cambria"/>
          <w:b w:val="false"/>
          <w:bCs w:val="false"/>
          <w:i w:val="false"/>
          <w:iCs w:val="false"/>
          <w:sz w:val="22"/>
          <w:szCs w:val="22"/>
        </w:rPr>
        <w:t xml:space="preserve"> / </w:t>
      </w:r>
      <w:hyperlink r:id="rId690">
        <w:r>
          <w:rPr>
            <w:rStyle w:val="ListLabel113"/>
            <w:rFonts w:eastAsia="Cambria" w:cs="Cambria"/>
            <w:b w:val="false"/>
            <w:bCs w:val="false"/>
            <w:i w:val="false"/>
            <w:iCs w:val="false"/>
            <w:color w:val="0563C1"/>
            <w:sz w:val="22"/>
            <w:szCs w:val="22"/>
            <w:u w:val="single"/>
          </w:rPr>
          <w:t>equifax.co.nz/nz</w:t>
        </w:r>
      </w:hyperlink>
      <w:r>
        <w:rPr>
          <w:rFonts w:eastAsia="Cambria" w:cs="Cambria"/>
          <w:b w:val="false"/>
          <w:bCs w:val="false"/>
          <w:i w:val="false"/>
          <w:iCs w:val="false"/>
          <w:sz w:val="22"/>
          <w:szCs w:val="22"/>
        </w:rPr>
        <w:t xml:space="preserve"> / </w:t>
      </w:r>
      <w:hyperlink r:id="rId691">
        <w:r>
          <w:rPr>
            <w:rStyle w:val="ListLabel113"/>
            <w:rFonts w:eastAsia="Cambria" w:cs="Cambria"/>
            <w:b w:val="false"/>
            <w:bCs w:val="false"/>
            <w:i w:val="false"/>
            <w:iCs w:val="false"/>
            <w:color w:val="0563C1"/>
            <w:sz w:val="22"/>
            <w:szCs w:val="22"/>
            <w:u w:val="single"/>
          </w:rPr>
          <w:t>illion.co.nz</w:t>
        </w:r>
      </w:hyperlink>
      <w:r>
        <w:rPr>
          <w:rFonts w:eastAsia="Cambria" w:cs="Cambria"/>
          <w:b w:val="false"/>
          <w:bCs w:val="false"/>
          <w:i w:val="false"/>
          <w:iCs w:val="false"/>
          <w:sz w:val="22"/>
          <w:szCs w:val="22"/>
        </w:rPr>
        <w:t xml:space="preserve"> – kostenlose Kreditauskunft und Score-Aufbau</w:t>
      </w:r>
    </w:p>
    <w:p>
      <w:pPr>
        <w:pStyle w:val="ListParagraph"/>
        <w:numPr>
          <w:ilvl w:val="0"/>
          <w:numId w:val="1"/>
        </w:numPr>
        <w:spacing w:lineRule="exact" w:line="288" w:before="0" w:after="60"/>
        <w:rPr/>
      </w:pPr>
      <w:hyperlink r:id="rId692">
        <w:r>
          <w:rPr>
            <w:rStyle w:val="ListLabel113"/>
            <w:rFonts w:eastAsia="Cambria" w:cs="Cambria"/>
            <w:b w:val="false"/>
            <w:bCs w:val="false"/>
            <w:i w:val="false"/>
            <w:iCs w:val="false"/>
            <w:color w:val="0563C1"/>
            <w:sz w:val="22"/>
            <w:szCs w:val="22"/>
            <w:u w:val="single"/>
          </w:rPr>
          <w:t>anz.co.nz</w:t>
        </w:r>
      </w:hyperlink>
      <w:r>
        <w:rPr>
          <w:rFonts w:eastAsia="Cambria" w:cs="Cambria"/>
          <w:b w:val="false"/>
          <w:bCs w:val="false"/>
          <w:i w:val="false"/>
          <w:iCs w:val="false"/>
          <w:sz w:val="22"/>
          <w:szCs w:val="22"/>
        </w:rPr>
        <w:t xml:space="preserve"> / </w:t>
      </w:r>
      <w:hyperlink r:id="rId693">
        <w:r>
          <w:rPr>
            <w:rStyle w:val="ListLabel113"/>
            <w:rFonts w:eastAsia="Cambria" w:cs="Cambria"/>
            <w:b w:val="false"/>
            <w:bCs w:val="false"/>
            <w:i w:val="false"/>
            <w:iCs w:val="false"/>
            <w:color w:val="0563C1"/>
            <w:sz w:val="22"/>
            <w:szCs w:val="22"/>
            <w:u w:val="single"/>
          </w:rPr>
          <w:t>asb.co.nz</w:t>
        </w:r>
      </w:hyperlink>
      <w:r>
        <w:rPr>
          <w:rFonts w:eastAsia="Cambria" w:cs="Cambria"/>
          <w:b w:val="false"/>
          <w:bCs w:val="false"/>
          <w:i w:val="false"/>
          <w:iCs w:val="false"/>
          <w:sz w:val="22"/>
          <w:szCs w:val="22"/>
        </w:rPr>
        <w:t xml:space="preserve"> / </w:t>
      </w:r>
      <w:hyperlink r:id="rId694">
        <w:r>
          <w:rPr>
            <w:rStyle w:val="ListLabel113"/>
            <w:rFonts w:eastAsia="Cambria" w:cs="Cambria"/>
            <w:b w:val="false"/>
            <w:bCs w:val="false"/>
            <w:i w:val="false"/>
            <w:iCs w:val="false"/>
            <w:color w:val="0563C1"/>
            <w:sz w:val="22"/>
            <w:szCs w:val="22"/>
            <w:u w:val="single"/>
          </w:rPr>
          <w:t>westpac.co.nz</w:t>
        </w:r>
      </w:hyperlink>
      <w:r>
        <w:rPr>
          <w:rFonts w:eastAsia="Cambria" w:cs="Cambria"/>
          <w:b w:val="false"/>
          <w:bCs w:val="false"/>
          <w:i w:val="false"/>
          <w:iCs w:val="false"/>
          <w:sz w:val="22"/>
          <w:szCs w:val="22"/>
        </w:rPr>
        <w:t xml:space="preserve"> / </w:t>
      </w:r>
      <w:hyperlink r:id="rId695">
        <w:r>
          <w:rPr>
            <w:rStyle w:val="ListLabel113"/>
            <w:rFonts w:eastAsia="Cambria" w:cs="Cambria"/>
            <w:b w:val="false"/>
            <w:bCs w:val="false"/>
            <w:i w:val="false"/>
            <w:iCs w:val="false"/>
            <w:color w:val="0563C1"/>
            <w:sz w:val="22"/>
            <w:szCs w:val="22"/>
            <w:u w:val="single"/>
          </w:rPr>
          <w:t>bnz.co.nz</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696">
        <w:r>
          <w:rPr>
            <w:rStyle w:val="ListLabel113"/>
            <w:rFonts w:eastAsia="Cambria" w:cs="Cambria"/>
            <w:b w:val="false"/>
            <w:bCs w:val="false"/>
            <w:i w:val="false"/>
            <w:iCs w:val="false"/>
            <w:color w:val="0563C1"/>
            <w:sz w:val="22"/>
            <w:szCs w:val="22"/>
            <w:u w:val="single"/>
          </w:rPr>
          <w:t>govt.nz</w:t>
        </w:r>
      </w:hyperlink>
      <w:r>
        <w:rPr>
          <w:rFonts w:eastAsia="Cambria" w:cs="Cambria"/>
          <w:b w:val="false"/>
          <w:bCs w:val="false"/>
          <w:i w:val="false"/>
          <w:iCs w:val="false"/>
          <w:sz w:val="22"/>
          <w:szCs w:val="22"/>
        </w:rPr>
        <w:t xml:space="preserve"> – unabhängige Verbraucherinformation zu Kreditreports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Rechtsgrundlage und Detailregeln der Transitional-Resident-Befreiung, jährliche Anpassungen der Einkommensteuerstufen, die nächste KiwiSaver-Stufe (4 % ab 01.04.2028) sowie Kontokonditionen und Kreditscoring-Modelle der genannten Anbieter. Prüfe vor jeder Entscheidung die aktuellen Werte auf ird.govt.nz und den Websites deiner gewählten Bank oder Auskunftei.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4" w:name="__RefHeading___Toc56614_3457424410"/>
      <w:bookmarkStart w:id="185" w:name="tnz08"/>
      <w:bookmarkEnd w:id="184"/>
      <w:r>
        <w:rPr>
          <w:rFonts w:eastAsia="Amazon Ember" w:cs="Amazon Ember" w:ascii="Amazon Ember" w:hAnsi="Amazon Ember"/>
          <w:b/>
          <w:bCs/>
          <w:color w:val="0000FF"/>
          <w:sz w:val="36"/>
          <w:szCs w:val="36"/>
        </w:rPr>
        <w:t>Neuseeland: Das Gesundheitssystem</w:t>
      </w:r>
      <w:bookmarkEnd w:id="185"/>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Sebastian und Petra Krüger hatten sich in Rostock vorsichtshalber auf eine lange Durststrecke ohne Versicherungsschutz eingestellt – so, wie es Bekannte aus Kanada und Australien geschildert hatten, die jeweils Wartefristen oder fehlende Abkommen mit Deutschland beklagten. Beim ersten Termin bei einer Hausarztpraxis in Christchurch stellt sich heraus, dass diese Sorge unbegründet war: Mit ihrem Accredited Employer Work Visa für eine Tätigkeit auf der Green List sind sie ab dem ersten Tag im öffentlichen System versichert, ganz ohne Wartezeit. Der Haken liegt nur woanders, nämlich in einer Zahl, die auf den ersten Blick simpel wirkt und trotzdem regelmäßig übersehen wird. Dieses Kapitel erklärt, wer in Neuseeland Zugang zur öffentlichen Gesundheitsversorgung hat, wie du die Übergangszeit privat absicherst – und wie das neuseeländische Unfallversicherungssystem ACC funktioniert, das in dieser Form in Deutschland kein Vorbild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zur öffentlichen Gesundheitsversorgung hängt nicht von deiner Staatsangehörigkeit ab, sondern von der Laufzeit deines Visums: Ab </w:t>
            </w:r>
            <w:r>
              <w:rPr>
                <w:rFonts w:eastAsia="Cambria" w:cs="Cambria"/>
                <w:b/>
                <w:bCs/>
                <w:i w:val="false"/>
                <w:iCs w:val="false"/>
                <w:sz w:val="20"/>
                <w:szCs w:val="20"/>
              </w:rPr>
              <w:t>2 Jahren oder länger</w:t>
            </w:r>
            <w:r>
              <w:rPr>
                <w:rFonts w:eastAsia="Cambria" w:cs="Cambria"/>
                <w:b w:val="false"/>
                <w:bCs w:val="false"/>
                <w:i w:val="false"/>
                <w:iCs w:val="false"/>
                <w:sz w:val="20"/>
                <w:szCs w:val="20"/>
              </w:rPr>
              <w:t xml:space="preserve"> giltst du ab dem ersten Tag als berechtigt.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Kürzere Visa – Working Holiday, die meisten Studienvisa, ein AEWV unter 2 Jahren – geben </w:t>
            </w:r>
            <w:r>
              <w:rPr>
                <w:rFonts w:eastAsia="Cambria" w:cs="Cambria"/>
                <w:b/>
                <w:bCs/>
                <w:i w:val="false"/>
                <w:iCs w:val="false"/>
                <w:sz w:val="20"/>
                <w:szCs w:val="20"/>
              </w:rPr>
              <w:t>keinen</w:t>
            </w:r>
            <w:r>
              <w:rPr>
                <w:rFonts w:eastAsia="Cambria" w:cs="Cambria"/>
                <w:b w:val="false"/>
                <w:bCs w:val="false"/>
                <w:i w:val="false"/>
                <w:iCs w:val="false"/>
                <w:sz w:val="20"/>
                <w:szCs w:val="20"/>
              </w:rPr>
              <w:t xml:space="preserve"> automatischen Zugang; du brauchst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Anbieter wie Southern Cross und nib bieten entsprechende Policen; grobe Richtwerte liegen bei 50 bis 120 NZD im Monat, je nach Deckungsumfang, plus Wartezeiten für nicht-akute Behandlungen.</w:t>
            </w:r>
          </w:p>
          <w:p>
            <w:pPr>
              <w:pStyle w:val="ListParagraph"/>
              <w:numPr>
                <w:ilvl w:val="0"/>
                <w:numId w:val="1"/>
              </w:numPr>
              <w:spacing w:lineRule="exact" w:line="264" w:before="0" w:after="50"/>
              <w:rPr/>
            </w:pPr>
            <w:r>
              <w:rPr>
                <w:rFonts w:eastAsia="Cambria" w:cs="Cambria"/>
                <w:b w:val="false"/>
                <w:bCs w:val="false"/>
                <w:i/>
                <w:iCs/>
                <w:sz w:val="20"/>
                <w:szCs w:val="20"/>
              </w:rPr>
              <w:t>ACC</w:t>
            </w:r>
            <w:r>
              <w:rPr>
                <w:rFonts w:eastAsia="Cambria" w:cs="Cambria"/>
                <w:b w:val="false"/>
                <w:bCs w:val="false"/>
                <w:i w:val="false"/>
                <w:iCs w:val="false"/>
                <w:sz w:val="20"/>
                <w:szCs w:val="20"/>
              </w:rPr>
              <w:t xml:space="preserve"> (Accident Compensation Corporation, die staatliche Unfallversicherungsanstalt) deckt Unfallverletzungen für </w:t>
            </w:r>
            <w:r>
              <w:rPr>
                <w:rFonts w:eastAsia="Cambria" w:cs="Cambria"/>
                <w:b/>
                <w:bCs/>
                <w:i w:val="false"/>
                <w:iCs w:val="false"/>
                <w:sz w:val="20"/>
                <w:szCs w:val="20"/>
              </w:rPr>
              <w:t>jeden</w:t>
            </w:r>
            <w:r>
              <w:rPr>
                <w:rFonts w:eastAsia="Cambria" w:cs="Cambria"/>
                <w:b w:val="false"/>
                <w:bCs w:val="false"/>
                <w:i w:val="false"/>
                <w:iCs w:val="false"/>
                <w:sz w:val="20"/>
                <w:szCs w:val="20"/>
              </w:rPr>
              <w:t xml:space="preserve"> in Neuseeland ab – unabhängig vom Aufenthaltsstatus, sogar für Touristen.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Im Gegenzug für die ACC-Deckung gibt es grundsätzlich </w:t>
            </w:r>
            <w:r>
              <w:rPr>
                <w:rFonts w:eastAsia="Cambria" w:cs="Cambria"/>
                <w:b/>
                <w:bCs/>
                <w:i w:val="false"/>
                <w:iCs w:val="false"/>
                <w:sz w:val="20"/>
                <w:szCs w:val="20"/>
              </w:rPr>
              <w:t>kein Klagerecht</w:t>
            </w:r>
            <w:r>
              <w:rPr>
                <w:rFonts w:eastAsia="Cambria" w:cs="Cambria"/>
                <w:b w:val="false"/>
                <w:bCs w:val="false"/>
                <w:i w:val="false"/>
                <w:iCs w:val="false"/>
                <w:sz w:val="20"/>
                <w:szCs w:val="20"/>
              </w:rPr>
              <w:t xml:space="preserve"> auf Schadensersatz bei Personenschäden – ein Systemunterschied, der viele Deutsche überrascht.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Finanziert wird ACC unter anderem über die </w:t>
            </w:r>
            <w:r>
              <w:rPr>
                <w:rFonts w:eastAsia="Cambria" w:cs="Cambria"/>
                <w:b w:val="false"/>
                <w:bCs w:val="false"/>
                <w:i/>
                <w:iCs/>
                <w:sz w:val="20"/>
                <w:szCs w:val="20"/>
              </w:rPr>
              <w:t>Earner’s Levy</w:t>
            </w:r>
            <w:r>
              <w:rPr>
                <w:rFonts w:eastAsia="Cambria" w:cs="Cambria"/>
                <w:b w:val="false"/>
                <w:bCs w:val="false"/>
                <w:i w:val="false"/>
                <w:iCs w:val="false"/>
                <w:sz w:val="20"/>
                <w:szCs w:val="20"/>
              </w:rPr>
              <w:t xml:space="preserve"> (Arbeitnehmerbeitrag), ab dem 1. April 2026 </w:t>
            </w:r>
            <w:r>
              <w:rPr>
                <w:rFonts w:eastAsia="Cambria" w:cs="Cambria"/>
                <w:b/>
                <w:bCs/>
                <w:i w:val="false"/>
                <w:iCs w:val="false"/>
                <w:sz w:val="20"/>
                <w:szCs w:val="20"/>
              </w:rPr>
              <w:t>1,75 %</w:t>
            </w:r>
            <w:r>
              <w:rPr>
                <w:rFonts w:eastAsia="Cambria" w:cs="Cambria"/>
                <w:b w:val="false"/>
                <w:bCs w:val="false"/>
                <w:i w:val="false"/>
                <w:iCs w:val="false"/>
                <w:sz w:val="20"/>
                <w:szCs w:val="20"/>
              </w:rPr>
              <w:t xml:space="preserve"> deines Einkommens, gedeckelt bei 156.641 NZD im Jahr.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Zwei-Jahres-Test statt eines Abkommens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denkt beim Wort „öffentliches Gesundheitssystem“ schnell an etwas, das einfach da ist, sobald man gemeldet und krankenversichert ist. Neuseeland tickt anders, und die entscheidende Stellschraube ist nicht deine Herkunft, sondern die Laufzeit deines Visums. Wer ein Visum für 2 Jahre oder länger hat – gerechnet ab dem ersten Tag in Neuseeland, wobei bereits vor Ort verbrachte Zeit mitzählt –, ist ab diesem ersten Tag für subventionierte öffentliche Gesundheitsleistungen berechtigt. Wer darunterliegt, ist es in aller Regel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 ein Kriterium, das sich leicht selbst nachrechnen lässt, bevor man sich auf Erzählungen von Bekannten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nicht „Wie lange bin ich schon hier?“, sondern „Wie lange gilt mein Visum insgesamt?“. Für den Zugang zum öffentlichen System zählt die bewilligte Gesamtlaufzeit, nicht deine tatsächliche Aufenthaltsdauer bis zu einem bestimmten Stichtag.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sofort abgesichert ist – und wer nicht</w:t>
      </w:r>
    </w:p>
    <w:tbl>
      <w:tblPr>
        <w:tblW w:w="6480" w:type="dxa"/>
        <w:jc w:val="left"/>
        <w:tblInd w:w="0" w:type="dxa"/>
        <w:tblLayout w:type="fixed"/>
        <w:tblCellMar>
          <w:top w:w="50" w:type="dxa"/>
          <w:left w:w="80" w:type="dxa"/>
          <w:bottom w:w="50" w:type="dxa"/>
          <w:right w:w="80" w:type="dxa"/>
        </w:tblCellMar>
      </w:tblPr>
      <w:tblGrid>
        <w:gridCol w:w="1513"/>
        <w:gridCol w:w="1850"/>
        <w:gridCol w:w="3117"/>
      </w:tblGrid>
      <w:tr>
        <w:trPr>
          <w:tblHeader w:val="true"/>
          <w:cantSplit w:val="true"/>
        </w:trPr>
        <w:tc>
          <w:tcPr>
            <w:tcW w:w="15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Öffentlicher Zugang</w:t>
            </w:r>
          </w:p>
        </w:tc>
        <w:tc>
          <w:tcPr>
            <w:tcW w:w="3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 (z. B. Skilled Migrant Category)</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 der Praxis/Klinik</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mit 2 Jahren Laufzeit oder mehr</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dem ersten Tag</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Visumsnachweis, ggf. bereits in NZ verbrachte Zeit anrechnen lassen</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unter 2 Jahren</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private Krankenversicherung, oft ohnehin Visumsvoraussetzung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 Paying Student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 für die Studiendauer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reist mit einem Accredited Employer Work Visa für Sebastians Tätigkeit als Agraringenieur ein – ein Green-List-Beruf, für den Arbeitgeber in der Praxis meist eine mehrjährige Laufzeit beantragen. Da ihr Visum von Anfang an auf eine Laufzeit von deutlich über 2 Jahren ausgestellt ist, sind Sebastian, Petra sowie Lotta und Finn ab dem Tag der Einreise berechtigt, das öffentliche Gesundheitssystem zu nutzen. Bei der ersten Anmeldung in einer Hausarztpraxis in Christchurch reicht der Visumsnachweis aus der INZ-Bewilligung, um das zu belegen – kein separates Formular, keine Wartefrist, kein Kleingedrucktes. Petra, von Beruf Tierärztin, kommentiert trocken, dass ausgerechnet die Bürokratie hier einmal schneller war als ihre eigenen Erwartungen.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lohnt sich für alle, die zunächst mit einem kürzeren Visum eingereist sind und später verlängern oder wechseln: Für die Zwei-Jahres-Schwelle zählt nicht nur die Laufzeit des aktuellen Visums allein, sondern die bereits in Neuseeland verbrachte Zeit plus die verbleibende Visumdauer zusammengerechnet. Wer beispielsweise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dieser Berechnung nicht auf eigene Näherungen. Schon wenige fehlende Wochen können darüber entscheiden, ob eine Behandlung öffentlich abgerechnet wird oder du die volle private Rechnung trägst – im Zweifel lohnt sich ein kurzer Anruf beim Praxisteam oder bei Immigration New Zealand, bevor ein größerer Eingriff ansteht.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Zusatzversicherung für die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unter der Zwei-Jahres-Schwelle bleibt, braucht durchgehend eine private Krankenversicherung – bei einem Working-Holiday-Visum ist eine umfassende Police ohnehin meist Voraussetzung für die Visumerteilung selbst (mehr dazu im </w:t>
      </w:r>
      <w:hyperlink w:anchor="tnz05">
        <w:r>
          <w:rPr>
            <w:rStyle w:val="ListLabel113"/>
            <w:rFonts w:eastAsia="Cambria" w:cs="Cambria"/>
            <w:b w:val="false"/>
            <w:bCs w:val="false"/>
            <w:i w:val="false"/>
            <w:iCs w:val="false"/>
            <w:color w:val="0563C1"/>
            <w:sz w:val="22"/>
            <w:szCs w:val="22"/>
            <w:u w:val="single"/>
          </w:rPr>
          <w:t>Kapitel zu Antrag, Botschaft und Kosten in diesem Teil</w:t>
        </w:r>
      </w:hyperlink>
      <w:r>
        <w:rPr>
          <w:rFonts w:eastAsia="Cambria" w:cs="Cambria"/>
          <w:b w:val="false"/>
          <w:bCs w:val="false"/>
          <w:i w:val="false"/>
          <w:iCs w:val="false"/>
          <w:sz w:val="22"/>
          <w:szCs w:val="22"/>
        </w:rP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grobe Richtwerte für eine gesunde Einzelperson kursieren in Vergleichsportalen und bei mehreren unabhängig recherchierten Anbietern: rund 50 bis 80 NZD im Monat für eine Basis-Operationspolice, 80 bis 120 NZD für einen umfassenderen Krankenhausplan mit rund 500 NZD Selbstbehalt, und 150 bis 250 NZD für ein Rundum-Paket mit Hausarzt- und Zahnarztleistungen. Diese Zahlen schwanken je nach Alter, Anbieter und Deckungsumfang spürbar und sollten vor Vertragsabschluss über einen aktuellen Tarifrechner der Versicherer selbst bestätigt werden – Gesundheitsprämien sind in Neuseeland in den vergangenen Jahren merklich gestiegen.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nicht-akute Behandlungen gelten bei privaten Policen typischerweise Wartezeiten von 2 bis 6 Monaten, bei Vorerkrankungen sind Ausschlüsse von 3 bis 5 Jahren keine Seltenheit. Vergleiche vor dem Abschluss im Detail, was ab wann tatsächlich gedeckt ist – ein Vertrag, der erst nach deinem geplanten Eingriff greift, hilft dir wenig.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 doppelte Deckung kostet doppelt, ohne doppelten Nutzen zu 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 die Unfallversicherung, die für alle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wird es für deutsche Leser ungewohnt: </w:t>
      </w:r>
      <w:r>
        <w:rPr>
          <w:rFonts w:eastAsia="Cambria" w:cs="Cambria"/>
          <w:b w:val="false"/>
          <w:bCs w:val="false"/>
          <w:i/>
          <w:iCs/>
          <w:sz w:val="22"/>
          <w:szCs w:val="22"/>
        </w:rPr>
        <w:t>ACC</w:t>
      </w:r>
      <w:r>
        <w:rPr>
          <w:rFonts w:eastAsia="Cambria" w:cs="Cambria"/>
          <w:b w:val="false"/>
          <w:bCs w:val="false"/>
          <w:i w:val="false"/>
          <w:iCs w:val="false"/>
          <w:sz w:val="22"/>
          <w:szCs w:val="22"/>
        </w:rPr>
        <w:t xml:space="preserve"> ist Neuseelands alleiniger, staatlicher, verpflichtender Unfallversicherer – und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 unabhängig davon, wer den Unfall verschuldet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 dieses No-Fault-Prinzip ist die Kehrseite der Medaille: Im Gegenzug für die verschuldensunabhängige Deckung ist eine zivilrechtliche Klage auf Schadensersatz bei Personenschäden in Neuseeland grundsätzlich ausgeschlossen. Es gibt enge Ausnahmen, etwa „exemplary damages“ bei besonders vorwerfbarem Verhalten, aber der große Regelfall – „ich verklage den Unfallverursacher auf Schmerzensgeld“ – existiert in dieser Form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ersetzt private Haftpflicht- und Unfallklagen bei Personenschäden vollständig. Was in Deutschland selbstverständlich über eine private Haftpflichtversicherung oder eine Klage läuft, läuft in Neuseeland ausschließlich über ACC – dafür meist unbürokratischer und ohne jahrelangen Rechtsstreit, aber eben auch ohne die Möglichkeit, auf zusätzlichen Schadensersatz zu klagen.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stürzt mit dem Fahrrad auf dem Weg zur Arbeit in Auckland, als ein Kurierfahrer unachtsam eine Autotür öffnet. Die Behandlung der Platzwunde und des geprellten Handgelenks in der Notaufnahme übernimmt ACC vollständig, unabhängig davon, dass der Kurierfahrer den Unfall eindeutig verursacht hat. Ein erster Impuls, den Fahrer oder dessen Arbeitgeber auf Schmerzensgeld zu verklagen, verläuft im Sand, sobald ihm ein Arbeitskollege erklärt, dass ausgerechnet das in Neuseeland so nicht vorgesehen ist. Paul gewöhnt sich schneller an dieses System, als er erwartet hatte – vor allem, weil die Rechnung der Notaufnahme trotzdem bei null blieb.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Finanziert wird ACC über mehrere Abgaben, von denen für Arbeitnehmer vor allem die </w:t>
      </w:r>
      <w:r>
        <w:rPr>
          <w:rFonts w:eastAsia="Cambria" w:cs="Cambria"/>
          <w:b w:val="false"/>
          <w:bCs w:val="false"/>
          <w:i/>
          <w:iCs/>
          <w:sz w:val="22"/>
          <w:szCs w:val="22"/>
        </w:rPr>
        <w:t>Earner’s Levy</w:t>
      </w:r>
      <w:r>
        <w:rPr>
          <w:rFonts w:eastAsia="Cambria" w:cs="Cambria"/>
          <w:b w:val="false"/>
          <w:bCs w:val="false"/>
          <w:i w:val="false"/>
          <w:iCs w:val="false"/>
          <w:sz w:val="22"/>
          <w:szCs w:val="22"/>
        </w:rPr>
        <w:t xml:space="preserve"> (der Arbeitnehmerbeitrag zur Unfallversicherung) zählt. Sie beträgt ab dem 1. April 2026 </w:t>
      </w:r>
      <w:r>
        <w:rPr>
          <w:rFonts w:eastAsia="Cambria" w:cs="Cambria"/>
          <w:b/>
          <w:bCs/>
          <w:i w:val="false"/>
          <w:iCs w:val="false"/>
          <w:sz w:val="22"/>
          <w:szCs w:val="22"/>
        </w:rPr>
        <w:t>1,75 %</w:t>
      </w:r>
      <w:r>
        <w:rPr>
          <w:rFonts w:eastAsia="Cambria" w:cs="Cambria"/>
          <w:b w:val="false"/>
          <w:bCs w:val="false"/>
          <w:i w:val="false"/>
          <w:iCs w:val="false"/>
          <w:sz w:val="22"/>
          <w:szCs w:val="22"/>
        </w:rPr>
        <w:t xml:space="preserve"> deines beitragspflichtigen Einkommens (zuvor 1,67 %), automatisch über die Lohnabrechnung einbehalten, gedeckelt bei einem Jahreseinkommen von 156.641 NZD (zuvor 152.790 NZD). Weitere Abgaben – etwa eine Work Levy für Arbeitgeber oder eine Levy auf Kfz-Zulassungen – kommen hinzu, sind für den einzelnen Arbeitnehmer aber nicht unmittelbar auf der eigenen Gehaltsabrechnung sichtbar.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deckt Unfälle und Verletzungen, nicht aber gewöhnliche Krankheiten. Eine Grippe, eine chronische Erkrankung oder eine notwendige Operation ohne Unfallursache läuft weiterhin über das öffentliche Gesundheitssystem oder deine private Krankenversicherung – ACC ist eine wichtige Ergänzung, aber kein Ersatz für Krankenversicherungsschutz.</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musst du einen ACC-Antrag selten selbst aufsetzen: Die behandelnde Hausarztpraxis, Notaufnahme oder Physiotherapie meldet eine Unfallverletzung in aller Regel direkt bei ACC an, sobald du den Unfallhergang schilderst. Für dich bleibt vor allem, den 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beim Arzt: Hausarzt, Notaufnahme, Notruf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mit öffentlichem Zugang ist ein Arztbesuch in Neuseeland nicht automatisch kostenlos. Ein Hausarzt (</w:t>
      </w:r>
      <w:r>
        <w:rPr>
          <w:rFonts w:eastAsia="Cambria" w:cs="Cambria"/>
          <w:b w:val="false"/>
          <w:bCs w:val="false"/>
          <w:i/>
          <w:iCs/>
          <w:sz w:val="22"/>
          <w:szCs w:val="22"/>
        </w:rPr>
        <w:t>General Practitioner</w:t>
      </w:r>
      <w:r>
        <w:rPr>
          <w:rFonts w:eastAsia="Cambria" w:cs="Cambria"/>
          <w:b w:val="false"/>
          <w:bCs w:val="false"/>
          <w:i w:val="false"/>
          <w:iCs w:val="false"/>
          <w:sz w:val="22"/>
          <w:szCs w:val="22"/>
        </w:rPr>
        <w:t xml:space="preserve">, GP) ist meist über eine </w:t>
      </w:r>
      <w:r>
        <w:rPr>
          <w:rFonts w:eastAsia="Cambria" w:cs="Cambria"/>
          <w:b w:val="false"/>
          <w:bCs w:val="false"/>
          <w:i/>
          <w:iCs/>
          <w:sz w:val="22"/>
          <w:szCs w:val="22"/>
        </w:rPr>
        <w:t>Primary Health Organisation</w:t>
      </w:r>
      <w:r>
        <w:rPr>
          <w:rFonts w:eastAsia="Cambria" w:cs="Cambria"/>
          <w:b w:val="false"/>
          <w:bCs w:val="false"/>
          <w:i w:val="false"/>
          <w:iCs w:val="false"/>
          <w:sz w:val="22"/>
          <w:szCs w:val="22"/>
        </w:rPr>
        <w:t xml:space="preserve">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gegebenenfalls einer </w:t>
      </w:r>
      <w:r>
        <w:rPr>
          <w:rFonts w:eastAsia="Cambria" w:cs="Cambria"/>
          <w:b w:val="false"/>
          <w:bCs w:val="false"/>
          <w:i/>
          <w:iCs/>
          <w:sz w:val="22"/>
          <w:szCs w:val="22"/>
        </w:rPr>
        <w:t>Community Services Card</w:t>
      </w:r>
      <w:r>
        <w:rPr>
          <w:rFonts w:eastAsia="Cambria" w:cs="Cambria"/>
          <w:b w:val="false"/>
          <w:bCs w:val="false"/>
          <w:i w:val="false"/>
          <w:iCs w:val="false"/>
          <w:sz w:val="22"/>
          <w:szCs w:val="22"/>
        </w:rPr>
        <w:t xml:space="preserve"> (einer Ermäßigungskarte für Menschen mit niedrigem Einkommen) ab – verlässliche, bundesweit einheitliche Zahlen gibt es dafür nicht, frage am besten direkt bei der Praxis nach der aktuellen 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bei einer Hausarztpraxis läuft über ein einfaches Enrolment-Formular der Praxis selbst; du brauchst dafür in der Regel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bei echten Notfällen jeden, unabhängig vom Versicherungsstatus; wer nicht öffentlich berechtigt oder privat versichert ist, bekommt die Rechnung im Nachgang gestellt. Für planbare, nicht dringende Eingriffe existieren wie in vielen öffentlichen Systemen Wartelisten, deren Länge stark nach Region und Fachrichtung schwankt und sich laufend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echte Notfälle gilt landesweit der Notruf </w:t>
      </w:r>
      <w:r>
        <w:rPr>
          <w:rFonts w:eastAsia="Cambria" w:cs="Cambria"/>
          <w:b/>
          <w:bCs/>
          <w:i w:val="false"/>
          <w:iCs w:val="false"/>
          <w:sz w:val="22"/>
          <w:szCs w:val="22"/>
        </w:rPr>
        <w:t>111</w:t>
      </w:r>
      <w:r>
        <w:rPr>
          <w:rFonts w:eastAsia="Cambria" w:cs="Cambria"/>
          <w:b w:val="false"/>
          <w:bCs w:val="false"/>
          <w:i w:val="false"/>
          <w:iCs w:val="false"/>
          <w:sz w:val="22"/>
          <w:szCs w:val="22"/>
        </w:rPr>
        <w:t>, der Feuerwehr, Polizei und Rettungsdienst gleichermaßen erreicht. Für dringende, aber nicht lebensbedrohliche Fragen bieten manche Regionen zusätzlich eine telefonische Gesundheitsberatung an – erkundige dich nach der Ankunft, welches Angebot in deiner Region existiert.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das neuseeländische System</w:t>
      </w:r>
    </w:p>
    <w:tbl>
      <w:tblPr>
        <w:tblW w:w="6480" w:type="dxa"/>
        <w:jc w:val="left"/>
        <w:tblInd w:w="0" w:type="dxa"/>
        <w:tblLayout w:type="fixed"/>
        <w:tblCellMar>
          <w:top w:w="50" w:type="dxa"/>
          <w:left w:w="80" w:type="dxa"/>
          <w:bottom w:w="50" w:type="dxa"/>
          <w:right w:w="80" w:type="dxa"/>
        </w:tblCellMar>
      </w:tblPr>
      <w:tblGrid>
        <w:gridCol w:w="2503"/>
        <w:gridCol w:w="2274"/>
        <w:gridCol w:w="1703"/>
      </w:tblGrid>
      <w:tr>
        <w:trPr>
          <w:tblHeader w:val="true"/>
          <w:cantSplit w:val="true"/>
        </w:trPr>
        <w:tc>
          <w:tcPr>
            <w:tcW w:w="25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1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Neuseeland</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Zugangsvoraussetzung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Wohnsitz/Beschäftigung, praktisch ab Tag eins</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Visumlaufzeit von 2 Jahren oder mehr</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Arbeitnehmer/Arbeitgeber</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ACC ergänzend über eigene Levies</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Unfallschutz</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Unfallversicherung nur für Arbeitsunfälle, sonst private Haftpflicht/Klage</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so gut wie jeden Unfall, jede Person, dafür kein Klagerecht</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Zuzahlungen beim Hausarzt</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keine bei Kassenpatienten</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wichtige Arztbriefe möglichst mit englischer Übersetzung mit –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 Jahren Visumlaufzeit: öffentlicher Zugang ab Tag eins, ohne Wartefrist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2 Jahren Visumlaufzeit: kein automatischer Zugang, private Police Pflicht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Unfälle für buchstäblich jeden in Neuseeland</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Klagerecht auf Schadensersatz bei Personenschäden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lässt sich schon aus Deutschland abschließen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Wartezeiten und Vorerkrankungsausschlüsse bei privaten Policen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Praxisgebühren beim Hausarzt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 er gilt ohnehin automatisch, du musst nur wissen, was er abdeckt und was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Laufzeit des eigenen Visums geprüft: 2 Jahre oder mehr für automatischen öffentlichen Zugang?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 2 Jahren: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Tarife bei Southern Cross oder nib direkt verglichen, nicht nur Richtwerte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Visumsnachweis für den ersten Arztbesuch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öffentlichem Zugang: bei einer Hausarztpraxis (PHO)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ACC-Grundprinzip verstanden: Unfälle ja, gewöhnliche Krankheit nein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111 und nächstgelegene Notaufnahme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9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Zugangsvoraussetzungen zur öffentlichen Gesundheitsversorgung nach Visumtyp</w:t>
      </w:r>
    </w:p>
    <w:p>
      <w:pPr>
        <w:pStyle w:val="ListParagraph"/>
        <w:numPr>
          <w:ilvl w:val="0"/>
          <w:numId w:val="1"/>
        </w:numPr>
        <w:spacing w:lineRule="exact" w:line="288" w:before="0" w:after="60"/>
        <w:rPr/>
      </w:pPr>
      <w:hyperlink r:id="rId698">
        <w:r>
          <w:rPr>
            <w:rStyle w:val="ListLabel113"/>
            <w:rFonts w:eastAsia="Cambria" w:cs="Cambria"/>
            <w:b w:val="false"/>
            <w:bCs w:val="false"/>
            <w:i w:val="false"/>
            <w:iCs w:val="false"/>
            <w:color w:val="0563C1"/>
            <w:sz w:val="22"/>
            <w:szCs w:val="22"/>
            <w:u w:val="single"/>
          </w:rPr>
          <w:t>health.govt.nz</w:t>
        </w:r>
      </w:hyperlink>
      <w:r>
        <w:rPr>
          <w:rFonts w:eastAsia="Cambria" w:cs="Cambria"/>
          <w:b w:val="false"/>
          <w:bCs w:val="false"/>
          <w:i w:val="false"/>
          <w:iCs w:val="false"/>
          <w:sz w:val="22"/>
          <w:szCs w:val="22"/>
        </w:rPr>
        <w:t xml:space="preserve"> – Ministry of Health, Aufbau des öffentlichen Gesundheitssystems</w:t>
      </w:r>
    </w:p>
    <w:p>
      <w:pPr>
        <w:pStyle w:val="ListParagraph"/>
        <w:numPr>
          <w:ilvl w:val="0"/>
          <w:numId w:val="1"/>
        </w:numPr>
        <w:spacing w:lineRule="exact" w:line="288" w:before="0" w:after="60"/>
        <w:rPr/>
      </w:pPr>
      <w:hyperlink r:id="rId699">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 xml:space="preserve"> – ACC-Deckung, Earner’s Levy, Leistungen im Unfallfall</w:t>
      </w:r>
    </w:p>
    <w:p>
      <w:pPr>
        <w:pStyle w:val="ListParagraph"/>
        <w:numPr>
          <w:ilvl w:val="0"/>
          <w:numId w:val="1"/>
        </w:numPr>
        <w:spacing w:lineRule="exact" w:line="288" w:before="0" w:after="60"/>
        <w:rPr/>
      </w:pPr>
      <w:hyperlink r:id="rId700">
        <w:r>
          <w:rPr>
            <w:rStyle w:val="ListLabel113"/>
            <w:rFonts w:eastAsia="Cambria" w:cs="Cambria"/>
            <w:b w:val="false"/>
            <w:bCs w:val="false"/>
            <w:i w:val="false"/>
            <w:iCs w:val="false"/>
            <w:color w:val="0563C1"/>
            <w:sz w:val="22"/>
            <w:szCs w:val="22"/>
            <w:u w:val="single"/>
          </w:rPr>
          <w:t>southerncross.co.nz</w:t>
        </w:r>
      </w:hyperlink>
      <w:r>
        <w:rPr>
          <w:rFonts w:eastAsia="Cambria" w:cs="Cambria"/>
          <w:b w:val="false"/>
          <w:bCs w:val="false"/>
          <w:i w:val="false"/>
          <w:iCs w:val="false"/>
          <w:sz w:val="22"/>
          <w:szCs w:val="22"/>
        </w:rPr>
        <w:t xml:space="preserve"> / </w:t>
      </w:r>
      <w:hyperlink r:id="rId701">
        <w:r>
          <w:rPr>
            <w:rStyle w:val="ListLabel113"/>
            <w:rFonts w:eastAsia="Cambria" w:cs="Cambria"/>
            <w:b w:val="false"/>
            <w:bCs w:val="false"/>
            <w:i w:val="false"/>
            <w:iCs w:val="false"/>
            <w:color w:val="0563C1"/>
            <w:sz w:val="22"/>
            <w:szCs w:val="22"/>
            <w:u w:val="single"/>
          </w:rPr>
          <w:t>nib.co.nz</w:t>
        </w:r>
      </w:hyperlink>
      <w:r>
        <w:rPr>
          <w:rFonts w:eastAsia="Cambria" w:cs="Cambria"/>
          <w:b w:val="false"/>
          <w:bCs w:val="false"/>
          <w:i w:val="false"/>
          <w:iCs w:val="false"/>
          <w:sz w:val="22"/>
          <w:szCs w:val="22"/>
        </w:rPr>
        <w:t xml:space="preserve"> – private Krankenversicherungstarife für Neuankömmlinge</w:t>
      </w:r>
    </w:p>
    <w:p>
      <w:pPr>
        <w:pStyle w:val="ListParagraph"/>
        <w:numPr>
          <w:ilvl w:val="0"/>
          <w:numId w:val="1"/>
        </w:numPr>
        <w:spacing w:lineRule="exact" w:line="288" w:before="0" w:after="60"/>
        <w:rPr/>
      </w:pPr>
      <w:hyperlink r:id="rId702">
        <w:r>
          <w:rPr>
            <w:rStyle w:val="ListLabel113"/>
            <w:rFonts w:eastAsia="Cambria" w:cs="Cambria"/>
            <w:b w:val="false"/>
            <w:bCs w:val="false"/>
            <w:i w:val="false"/>
            <w:iCs w:val="false"/>
            <w:color w:val="0563C1"/>
            <w:sz w:val="22"/>
            <w:szCs w:val="22"/>
            <w:u w:val="single"/>
          </w:rPr>
          <w:t>healthpoint.co.nz</w:t>
        </w:r>
      </w:hyperlink>
      <w:r>
        <w:rPr>
          <w:rFonts w:eastAsia="Cambria" w:cs="Cambria"/>
          <w:b w:val="false"/>
          <w:bCs w:val="false"/>
          <w:i w:val="false"/>
          <w:iCs w:val="false"/>
          <w:sz w:val="22"/>
          <w:szCs w:val="22"/>
        </w:rPr>
        <w:t xml:space="preserve"> – Verzeichnis von Hausarztpraxen und Gesundheitsdiensten nach Region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Handhabung der Zwei-Jahres-Schwelle in Grenzfällen, ACC-Levy-Sätze und -Deckelung (jährlich zum 1. April angepasst), Prämien und Wartezeiten privater Versicherer sowie Praxisgebühren einzelner Hausarztpraxen. Prüfe vor jeder Entscheidung die aktuellen Werte auf immigration.govt.nz, acc.co.nz und bei deinem gewählten Versicherer.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6" w:name="__RefHeading___Toc56616_3457424410"/>
      <w:bookmarkStart w:id="187" w:name="tnz09"/>
      <w:bookmarkEnd w:id="186"/>
      <w:r>
        <w:rPr>
          <w:rFonts w:eastAsia="Amazon Ember" w:cs="Amazon Ember" w:ascii="Amazon Ember" w:hAnsi="Amazon Ember"/>
          <w:b/>
          <w:bCs/>
          <w:color w:val="0000FF"/>
          <w:sz w:val="36"/>
          <w:szCs w:val="36"/>
        </w:rPr>
        <w:t>Neuseeland: Wohnen und die besten Orte zum Leben</w:t>
      </w:r>
      <w:bookmarkEnd w:id="187"/>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Wellington genügt mitunter ein kräftiger Windstoß, damit im Flur eines frisch besichtigten Reihenhauses die losen Teppichfliesen leise klappern – der Makler nennt das nicht Baumangel, sondern schlicht „typisch Wellington“. Wer aus Deutschland kommt, wo ein Haus im Idealfall vor allem eines sein soll – solide und für die Ewigkeit gebaut –, gewöhnt sich hier an eine andere Kategorie: Häuser, die mit Erdstößen, Sturmböen und gelegentlichem Vulkanstaub rechnen, nicht nur mit Regen. Beim Wohnort in Neuseeland entscheiden am Ende nicht nur Job und Budget, sondern auch, wie gelassen du einer wackelnden Teppichfliese – oder einer echten Bodenwelle – gegenüberstehst.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Mietmarkt läuft über Online-Portale wie Trade Me Property; die Kaution (</w:t>
            </w:r>
            <w:r>
              <w:rPr>
                <w:rFonts w:eastAsia="Cambria" w:cs="Cambria"/>
                <w:b w:val="false"/>
                <w:bCs w:val="false"/>
                <w:i/>
                <w:iCs/>
                <w:sz w:val="20"/>
                <w:szCs w:val="20"/>
              </w:rPr>
              <w:t>Bond</w:t>
            </w:r>
            <w:r>
              <w:rPr>
                <w:rFonts w:eastAsia="Cambria" w:cs="Cambria"/>
                <w:b w:val="false"/>
                <w:bCs w:val="false"/>
                <w:i w:val="false"/>
                <w:iCs w:val="false"/>
                <w:sz w:val="20"/>
                <w:szCs w:val="20"/>
              </w:rPr>
              <w:t>) ist gesetzlich auf höchstens vier Wochenmieten gedeckelt und wird treuhänderisch bei der staatlichen Stelle Tenancy Services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Ausländer dürfen nach dem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2005 grundsätzlich keine bestehende Wohnimmobilie kaufen; die Ausnahme greift erst, wenn du als „</w:t>
            </w:r>
            <w:r>
              <w:rPr>
                <w:rFonts w:eastAsia="Cambria" w:cs="Cambria"/>
                <w:b w:val="false"/>
                <w:bCs w:val="false"/>
                <w:i/>
                <w:iCs/>
                <w:sz w:val="20"/>
                <w:szCs w:val="20"/>
              </w:rPr>
              <w:t>ordinarily resident</w:t>
            </w:r>
            <w:r>
              <w:rPr>
                <w:rFonts w:eastAsia="Cambria" w:cs="Cambria"/>
                <w:b w:val="false"/>
                <w:bCs w:val="false"/>
                <w:i w:val="false"/>
                <w:iCs w:val="false"/>
                <w:sz w:val="20"/>
                <w:szCs w:val="20"/>
              </w:rPr>
              <w:t>“ (gewöhnlich ansässig) giltst – vier Kriterien, die alle gleichzeitig erfüllt sein müssen.</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und singapurische Staatsangehörige sind von dieser Regel ausgenommen; für Deutsche gilt keine Erleichterung.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ist am teuersten und bietet den breitesten Jobmarkt, Christchurch ist spürbar günstiger und wirbt aktiv um Fachkräfte, Wellington liegt preislich dazwischen, Queenstown/Otago ist trotz kleiner Einwohnerzahl ein eigener teurer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Jede Region trägt ihr eigenes Naturgefahren-Risiko – Erdbeben, Überschwemmung, Vulkan oder Lawine –, das in Versicherungsprämie und Kaufentscheidung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Tenancy Services und der Alltag der Besichtigung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praktisch vollständig online, allen voran über das Portal Trade Me Property – funktional vergleichbar mit deutschen Immobilienportalen, nur mit deutlich mehr Fotos vom Garten. Besichtigungen (</w:t>
      </w:r>
      <w:r>
        <w:rPr>
          <w:rFonts w:eastAsia="Cambria" w:cs="Cambria"/>
          <w:b w:val="false"/>
          <w:bCs w:val="false"/>
          <w:i/>
          <w:iCs/>
          <w:sz w:val="22"/>
          <w:szCs w:val="22"/>
        </w:rPr>
        <w:t>Open Homes</w:t>
      </w:r>
      <w:r>
        <w:rPr>
          <w:rFonts w:eastAsia="Cambria" w:cs="Cambria"/>
          <w:b w:val="false"/>
          <w:bCs w:val="false"/>
          <w:i w:val="false"/>
          <w:iCs w:val="false"/>
          <w:sz w:val="22"/>
          <w:szCs w:val="22"/>
        </w:rPr>
        <w:t xml:space="preserve">) laufen meist offen, oft samstags im Halbstundentakt: Ein Dutzend Interessenten zieht in Straßenschuhen durch dieselbe Wohnung, während der </w:t>
      </w:r>
      <w:r>
        <w:rPr>
          <w:rFonts w:eastAsia="Cambria" w:cs="Cambria"/>
          <w:b w:val="false"/>
          <w:bCs w:val="false"/>
          <w:i/>
          <w:iCs/>
          <w:sz w:val="22"/>
          <w:szCs w:val="22"/>
        </w:rPr>
        <w:t>Property Manager</w:t>
      </w:r>
      <w:r>
        <w:rPr>
          <w:rFonts w:eastAsia="Cambria" w:cs="Cambria"/>
          <w:b w:val="false"/>
          <w:bCs w:val="false"/>
          <w:i w:val="false"/>
          <w:iCs w:val="false"/>
          <w:sz w:val="22"/>
          <w:szCs w:val="22"/>
        </w:rPr>
        <w:t xml:space="preserve"> (die Hausverwaltung, die für den Eigentümer vermietet) beiläufig Namen auf einer Liste abhakt. Wer die Wohnung will, bewirbt sich meist noch am selben Tag online, mit Einkommensnachweis und Referenzen früherer Vermieter.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w:t>
      </w:r>
      <w:r>
        <w:rPr>
          <w:rFonts w:eastAsia="Cambria" w:cs="Cambria"/>
          <w:b w:val="false"/>
          <w:bCs w:val="false"/>
          <w:i/>
          <w:iCs/>
          <w:sz w:val="22"/>
          <w:szCs w:val="22"/>
        </w:rPr>
        <w:t>Bond</w:t>
      </w:r>
      <w:r>
        <w:rPr>
          <w:rFonts w:eastAsia="Cambria" w:cs="Cambria"/>
          <w:b w:val="false"/>
          <w:bCs w:val="false"/>
          <w:i w:val="false"/>
          <w:iCs w:val="false"/>
          <w:sz w:val="22"/>
          <w:szCs w:val="22"/>
        </w:rPr>
        <w:t>, vergleichbar mit der deutschen Mietkaution) hast du es als Neuankömmling leichter, als du vielleicht erwartest: Die Kaution ist gesetzlich auf höchstens vier Wochenmieten gedeckelt – merklich weniger als die in Deutschland üblichen zwei bis drei Monatsmieten. Zusätzlich darf der Vermieter höchstens zwei Wochen Miete im Voraus verlangen. Die Besonderheit gegenüber Deutschland: Die Kaution geht nicht an den Vermieter, sondern wird treuhänderisch bei Tenancy Services hinterlegt, einer Stelle des neuseeländischen Ministeriums für Wirtschaft, Innovation und Beschäftigung (</w:t>
      </w:r>
      <w:r>
        <w:rPr>
          <w:rFonts w:eastAsia="Cambria" w:cs="Cambria"/>
          <w:b w:val="false"/>
          <w:bCs w:val="false"/>
          <w:i/>
          <w:iCs/>
          <w:sz w:val="22"/>
          <w:szCs w:val="22"/>
        </w:rPr>
        <w:t>Ministry of Business, Innovation and Employment</w:t>
      </w:r>
      <w:r>
        <w:rPr>
          <w:rFonts w:eastAsia="Cambria" w:cs="Cambria"/>
          <w:b w:val="false"/>
          <w:bCs w:val="false"/>
          <w:i w:val="false"/>
          <w:iCs w:val="false"/>
          <w:sz w:val="22"/>
          <w:szCs w:val="22"/>
        </w:rPr>
        <w:t>, MBIE). Ein Streit über die Rückzahlung – üblicherweise fünf bis zehn Werktage nach Mietende – landet damit vor einer Behörde, nicht in einer stillen Absprache zwischen den Parteien. Seit dem 12. Dezember 2018 sind zusätzliche Vermittlungsgebühren (</w:t>
      </w:r>
      <w:r>
        <w:rPr>
          <w:rFonts w:eastAsia="Cambria" w:cs="Cambria"/>
          <w:b w:val="false"/>
          <w:bCs w:val="false"/>
          <w:i/>
          <w:iCs/>
          <w:sz w:val="22"/>
          <w:szCs w:val="22"/>
        </w:rPr>
        <w:t>Letting Fees</w:t>
      </w:r>
      <w:r>
        <w:rPr>
          <w:rFonts w:eastAsia="Cambria" w:cs="Cambria"/>
          <w:b w:val="false"/>
          <w:bCs w:val="false"/>
          <w:i w:val="false"/>
          <w:iCs w:val="false"/>
          <w:sz w:val="22"/>
          <w:szCs w:val="22"/>
        </w:rPr>
        <w:t>) an den Mieter verboten; ab dem 29. Juni 2026 soll die gesamte Kautionsabwicklung zudem über ein neues, durchgängig digitales System namens „Bond Hub“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Christchurch ist unter den drei großen Städten die günstigste Option – rund 1.800 NZD Lebenshaltungskosten pro Person und Monat, nahe am Landesdurchschnitt, während allein ein Einzimmerapartment im Zentrum Aucklands 2.170 bis 2.820 NZD monatlich kostet. Wellington liegt bei der Miete rund 20 bis 25 % unter Auckland und gilt unter Auswanderern als bestes Verhältnis von Lebensqualität zu Kosten. Wer beim Jobmarkt flexibel ist, sollte diesen Unterschied ernsthaft in die Rechnung einbeziehen, statt automatisch auf Auckland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(fiktives Beispiel) kommt mit dem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nach Christchurch, weil Sebastians Beruf als Agraringenieur auf der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vier Wochenmieten überweisen sie nicht an die Vermieterin, sondern über das Online-Formular direkt an Tenancy Services. Für Lotta (12) und Finn (8) ist die Schulplatzsuche der eigentliche Zeitdruck, für die Eltern die Frage, wie robust das Haus im Ernstfall auf einen weiteren Erdstoß reagiert.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Der Foreign-Buyer-Test „ordinarily resident“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Immobilienkauf selbst läuft ähnlich unkompliziert wie in Deutschland ab – kein Notartermin, sondern ein auf Immobilienrecht spezialisierter Anwalt (</w:t>
      </w:r>
      <w:r>
        <w:rPr>
          <w:rFonts w:eastAsia="Cambria" w:cs="Cambria"/>
          <w:b w:val="false"/>
          <w:bCs w:val="false"/>
          <w:i/>
          <w:iCs/>
          <w:sz w:val="22"/>
          <w:szCs w:val="22"/>
        </w:rPr>
        <w:t>Solicitor</w:t>
      </w:r>
      <w:r>
        <w:rPr>
          <w:rFonts w:eastAsia="Cambria" w:cs="Cambria"/>
          <w:b w:val="false"/>
          <w:bCs w:val="false"/>
          <w:i w:val="false"/>
          <w:iCs w:val="false"/>
          <w:sz w:val="22"/>
          <w:szCs w:val="22"/>
        </w:rPr>
        <w:t>) prüft Vertrag und Grundbuch. Bevor du aber überhaupt ein Gebot abgeben kannst, entscheidet eine ganz andere Frage: Giltst du nach neuseeländischem Recht als „</w:t>
      </w:r>
      <w:r>
        <w:rPr>
          <w:rFonts w:eastAsia="Cambria" w:cs="Cambria"/>
          <w:b w:val="false"/>
          <w:bCs w:val="false"/>
          <w:i/>
          <w:iCs/>
          <w:sz w:val="22"/>
          <w:szCs w:val="22"/>
        </w:rPr>
        <w:t>Overseas Person</w:t>
      </w:r>
      <w:r>
        <w:rPr>
          <w:rFonts w:eastAsia="Cambria" w:cs="Cambria"/>
          <w:b w:val="false"/>
          <w:bCs w:val="false"/>
          <w:i w:val="false"/>
          <w:iCs w:val="false"/>
          <w:sz w:val="22"/>
          <w:szCs w:val="22"/>
        </w:rPr>
        <w:t>“ oder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Overseas Investment Act</w:t>
      </w:r>
      <w:r>
        <w:rPr>
          <w:rFonts w:eastAsia="Cambria" w:cs="Cambria"/>
          <w:b w:val="false"/>
          <w:bCs w:val="false"/>
          <w:i w:val="false"/>
          <w:iCs w:val="false"/>
          <w:sz w:val="22"/>
          <w:szCs w:val="22"/>
        </w:rPr>
        <w:t xml:space="preserve"> 2005 regelt es so: Wer als „Overseas Person“ eingestuft wird, darf grundsätzlich keine bestehende Wohnimmobilie (</w:t>
      </w:r>
      <w:r>
        <w:rPr>
          <w:rFonts w:eastAsia="Cambria" w:cs="Cambria"/>
          <w:b w:val="false"/>
          <w:bCs w:val="false"/>
          <w:i/>
          <w:iCs/>
          <w:sz w:val="22"/>
          <w:szCs w:val="22"/>
        </w:rPr>
        <w:t>Established Dwelling</w:t>
      </w:r>
      <w:r>
        <w:rPr>
          <w:rFonts w:eastAsia="Cambria" w:cs="Cambria"/>
          <w:b w:val="false"/>
          <w:bCs w:val="false"/>
          <w:i w:val="false"/>
          <w:iCs w:val="false"/>
          <w:sz w:val="22"/>
          <w:szCs w:val="22"/>
        </w:rPr>
        <w:t>) in Neuseeland kaufen. Die Ausnahme greift erst, wenn du als „</w:t>
      </w:r>
      <w:r>
        <w:rPr>
          <w:rFonts w:eastAsia="Cambria" w:cs="Cambria"/>
          <w:b w:val="false"/>
          <w:bCs w:val="false"/>
          <w:i/>
          <w:iCs/>
          <w:sz w:val="22"/>
          <w:szCs w:val="22"/>
        </w:rPr>
        <w:t>ordinarily resident</w:t>
      </w:r>
      <w:r>
        <w:rPr>
          <w:rFonts w:eastAsia="Cambria" w:cs="Cambria"/>
          <w:b w:val="false"/>
          <w:bCs w:val="false"/>
          <w:i w:val="false"/>
          <w:iCs w:val="false"/>
          <w:sz w:val="22"/>
          <w:szCs w:val="22"/>
        </w:rPr>
        <w:t xml:space="preserve">“ giltst – und dafür müssen laut der zuständigen Behörde </w:t>
      </w:r>
      <w:r>
        <w:rPr>
          <w:rFonts w:eastAsia="Cambria" w:cs="Cambria"/>
          <w:b w:val="false"/>
          <w:bCs w:val="false"/>
          <w:i/>
          <w:iCs/>
          <w:sz w:val="22"/>
          <w:szCs w:val="22"/>
        </w:rPr>
        <w:t>Land Information New Zealand</w:t>
      </w:r>
      <w:r>
        <w:rPr>
          <w:rFonts w:eastAsia="Cambria" w:cs="Cambria"/>
          <w:b w:val="false"/>
          <w:bCs w:val="false"/>
          <w:i w:val="false"/>
          <w:iCs w:val="false"/>
          <w:sz w:val="22"/>
          <w:szCs w:val="22"/>
        </w:rPr>
        <w:t xml:space="preserve"> (LINZ) vier Kriterien gleichzeitig erfüllt sein: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mindestens zwölf Monate tatsächlicher Aufenthalt in Neuseeland, mindestens 183 Tage physische Anwesenheit in den letzten zwölf Monaten, und neuseeländische Steuerresidenz (die genauen Kriterien dafür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Fehlt auch nur eines dieser vier Kriterien, bleibst du „Overseas Person“ – unabhängig davon, wie viel Kapital du mitbringst oder wie lange du schon in Neuseeland arbeitest.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kleine Ausnahme von der Ausnahme gibt es: Australische und singapurische Staatsangehörige sind aufgrund bilateraler Freihandelsabkommen ganz von der Regel befreit, unabhängig vom „ordinarily resident“-Status. Für deutsche Staatsangehörige gilt diese Erleichterung nicht. Seit dem 6. März 2026 gibt es zusätzlich eine neue Ausnahme für eine kleine, sehr spezifische Gruppe: Inhaber der Investor-Visa Active Investor Plus, Investor 1 oder Investor 2 dürfen ein Wohnhaus über 5 Mio. NZD kaufen oder bauen, auch ohne „ordinarily resident“ zu sein. Für den typischen Fachkräfte-Einwanderer wie Familie Krüger oder Paul Lindner ist das ohne Bedeutung.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bedeutet das etwas anderes als für Paul Lindner: Mit dem AEWV halten Sebastian und Petra zunächst gar kein Resident Class Visa – die vier „ordinarily resident“-Kriterien beginnen für sie erst zu laufen, wenn der Übergang zur Residenz über die Green List oder die Skilled Migrant Category gelungen ist. Bis dahin bleibt für die Familie ohnehin nur die Miete eine realistische Option, unabhängig davon, wie lange sie schon in Neuseeland leben oder arbeiten. Auch bei der Finanzierung selbst lohnt sich Geduld: Ohne neuseeländische Kredithistorie prüfen Banken Einkommen und Bonität in der Regel strenger, und nicht jedes Institut finanziert Käufer ohne längere lokale Kontobeziehung. Frage frühzeitig bei mehreren Banken oder einem Hypothekenmakler nach den konkreten Bedingungen für deine Situation, bevor du überhaupt ein Gebot in Erwägung ziehst.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Resident-Visum allein reicht nicht. Erst die Kombination aus Visum, Aufenthaltsdauer, physischer Anwesenheit und Steuerresidenz entscheidet, ob das Kaufverbot für dich gilt – nicht dein Pass, nicht dein Kontostand, und auch nicht allein die Tatsache, dass du bereits in Neuseeland arbeitest.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Verstoß gegen den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ist kein Kavaliersdelikt und wird von der zuständigen </w:t>
            </w:r>
            <w:r>
              <w:rPr>
                <w:rFonts w:eastAsia="Cambria" w:cs="Cambria"/>
                <w:b w:val="false"/>
                <w:bCs w:val="false"/>
                <w:i/>
                <w:iCs/>
                <w:sz w:val="20"/>
                <w:szCs w:val="20"/>
              </w:rPr>
              <w:t>Overseas Investment Office</w:t>
            </w:r>
            <w:r>
              <w:rPr>
                <w:rFonts w:eastAsia="Cambria" w:cs="Cambria"/>
                <w:b w:val="false"/>
                <w:bCs w:val="false"/>
                <w:i w:val="false"/>
                <w:iCs w:val="false"/>
                <w:sz w:val="20"/>
                <w:szCs w:val="20"/>
              </w:rPr>
              <w:t xml:space="preserve"> verfolgt. Kläre deinen „ordinarily resident“-Status vor jedem Gebot mit einem darauf spezialisierten Solicitor – nicht erst, wenn ein Verkäufer dein Angebot schon angenommen hat.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Paul Lindner (fiktives Beispiel) zieht mit einem </w:t>
            </w:r>
            <w:r>
              <w:rPr>
                <w:rFonts w:eastAsia="Cambria" w:cs="Cambria"/>
                <w:b w:val="false"/>
                <w:bCs w:val="false"/>
                <w:i/>
                <w:iCs/>
                <w:sz w:val="20"/>
                <w:szCs w:val="20"/>
              </w:rPr>
              <w:t>Skilled Migrant Category Resident Visa</w:t>
            </w:r>
            <w:r>
              <w:rPr>
                <w:rFonts w:eastAsia="Cambria" w:cs="Cambria"/>
                <w:b w:val="false"/>
                <w:bCs w:val="false"/>
                <w:i w:val="false"/>
                <w:iCs w:val="false"/>
                <w:sz w:val="20"/>
                <w:szCs w:val="20"/>
              </w:rPr>
              <w:t xml:space="preserve"> direkt aus Deutschland nach Auckland – ein Resident Class Visa hält er damit vom ersten Tag an. Als er nach zehn Monaten eine Eigentumswohnung im Stadtteil Kingsland besichtigen will und dem Makler bereits gedanklich die Möbel einräumt, erklärt dieser ihm höflich, dass ihm noch zwei der vier „ordinarily resident“-Kriterien fehlen: Die vollen zwölf Monate tatsächlichen Aufenthalts sind noch nicht erreicht, und seine Steuerresidenz muss erst noch offiziell bestätigt werden. Paul mietet deshalb weitere anderthalb Jahre in derselben Straße weiter, bevor er den Kauf ernsthaft angeht – nicht, weil ihm das Geld fehlt, sondern weil ihm das Gesetz schlicht noch keine Erlaubnis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Erdbeben seien vor allem ein Wellington-Thema, weil die Stadt direkt auf einer bekannten Verwerfung sitzt. Tatsächlich zeigte die Erdbebenserie in Christchurch 2010/2011, dass auch vermeintlich ruhige Regionen betroffen sein können – die Verwerfung unter der Canterbury-Ebene war vor der ersten Erschütterung nicht einmal bekannt. Wo du am Ende landest, sollte deshalb nicht davon abhängen, ob eine Stadt „bekannt“ für eine bestimmte Naturgefahr ist, sondern von einem realistischen Blick auf Klima, Naturgefahren-Profil, Kosten und Jobmarkt gemeinsam. Rechne über Miete oder Kaufpreis hinaus auch mit den üblichen Fixkosten für Auto, Strom und Kinderbetreuung; sie gehören ebenso in deine Budgetrechnung. Landesweit lag der Kaufpreis-Median im August 2026 bei 750.000 NZD, ein Rückgang von 1,3 % gegenüber dem Vorjahr; Ende 2025 wuchsen die Preise in Auckland noch um 6,0 %, in Wellington nur um 1,4 % – ein Hinweis darauf, wie unterschiedlich sich die Regionen selbst innerhalb eines Jahres entwickeln. Zur groben, bundesweiten Einordnung, die sich zwischen den Regionen kaum unterscheidet: Pflegekräfte verdienen zum Einstieg rund 60.000 bis 65.000 NZD, mit fünf Jahren Erfahrung 75.000 bis 85.000 NZD, als </w:t>
      </w:r>
      <w:r>
        <w:rPr>
          <w:rFonts w:eastAsia="Cambria" w:cs="Cambria"/>
          <w:b w:val="false"/>
          <w:bCs w:val="false"/>
          <w:i/>
          <w:iCs/>
          <w:sz w:val="22"/>
          <w:szCs w:val="22"/>
        </w:rPr>
        <w:t>Nurse Practitioner</w:t>
      </w:r>
      <w:r>
        <w:rPr>
          <w:rFonts w:eastAsia="Cambria" w:cs="Cambria"/>
          <w:b w:val="false"/>
          <w:bCs w:val="false"/>
          <w:i w:val="false"/>
          <w:iCs w:val="false"/>
          <w:sz w:val="22"/>
          <w:szCs w:val="22"/>
        </w:rPr>
        <w:t xml:space="preserve"> (Pflegekraft mit erweiterten klinischen Befugnissen) 95.000 bis 135.000 NZD.</w:t>
      </w:r>
    </w:p>
    <w:p>
      <w:pPr>
        <w:pStyle w:val="Normal"/>
        <w:keepNext w:val="false"/>
        <w:keepLines w:val="false"/>
        <w:spacing w:lineRule="exact" w:line="288" w:before="0" w:after="140"/>
        <w:jc w:val="left"/>
        <w:rPr/>
      </w:pPr>
      <w:r>
        <w:rPr>
          <w:rFonts w:eastAsia="Cambria" w:cs="Cambria"/>
          <w:b/>
          <w:bCs/>
          <w:i w:val="false"/>
          <w:iCs w:val="false"/>
          <w:sz w:val="22"/>
          <w:szCs w:val="22"/>
        </w:rPr>
        <w:t>Auckland</w:t>
      </w:r>
      <w:r>
        <w:rPr>
          <w:rFonts w:eastAsia="Cambria" w:cs="Cambria"/>
          <w:b w:val="false"/>
          <w:bCs w:val="false"/>
          <w:i w:val="false"/>
          <w:iCs w:val="false"/>
          <w:sz w:val="22"/>
          <w:szCs w:val="22"/>
        </w:rPr>
        <w:t xml:space="preserve"> liegt subtropisch-feucht auf einer schmalen Landenge zwischen zwei warmen Ozeanen: rund 132 Regentage im Jahr bei 1.119 bis 1.167 Millimetern Jahresniederschlag, dazu eine Anfälligkeit für kurze, extreme Starkregenereignisse. Was Deutsche besonders überrascht: Die „Auckland Anniversary Weekend“-Flut vom 27. Januar 2023 war laut dem Wetterforschungsinstitut NIWA ein statistisches Ereignis, wie es im Schnitt nur alle 200 Jahre vorkommt – an einem einzigen Tag fiel eine ganze durchschnittliche Sommer-Niederschlagsmenge, mit einem Sachschaden von rund 2,2 Mrd. NZD und vier Todesopfern. Hinzu kommt ein Vulkanrisiko, das im Alltag kaum auffällt: Auckland liegt auf einem aktiven Vulkanfeld mit 53 Einzelvulkanen; der letzte Ausbruch (Rangitoto) liegt rund 600 Jahre zurück, Geologen schätzen die jährliche Ausbruchswahrscheinlichkeit auf etwa 1:1.000. Beim Wohnen ist Auckland die teuerste der vier Regionen: Miete rund 635 NZD pro Woche, Kaufmedian 950.000 NZD, ein Einzimmerapartment im Zentrum kostet 2.170 bis 2.820 NZD im Monat. Der Jobmarkt ist dafür der breiteste des Landes – Finanz- und Versicherungsdienstleistungen sowie Informationsmedien und Telekommunikation zählen zu den produktivsten Branchen der Stadt, 12 % der Beschäftigten arbeiten in wissenschaftlich-technischen Dienstleistungen, und die Innenstadt erreicht landesweit die höchste Arbeitsproduktivität. Softwareentwickler verdienen bundesweit im Schnitt 78.955 NZD im Jahr, Berufseinsteiger mit unter einem Jahr Erfahrung rund 56.018 NZD; erfahrene Senior-Ingenieure in etablierten Firmen in Auckland oder Wellington kommen auf 140.000 bis 170.000 NZD, in Spezialrollen auf 180.000 bis 220.000 NZD. Für die deutsche Community sorgt ein Honorarkonsul (HSBC Tower, Quay Street); eine eigene deutsche Auslandsschule gibt es nicht, nur eine deutsche Spielgruppe, das Goethe-Institut ist von Wellington aus zuständig.</w:t>
      </w:r>
    </w:p>
    <w:p>
      <w:pPr>
        <w:pStyle w:val="Normal"/>
        <w:keepNext w:val="false"/>
        <w:keepLines w:val="false"/>
        <w:spacing w:lineRule="exact" w:line="288" w:before="0" w:after="140"/>
        <w:jc w:val="left"/>
        <w:rPr/>
      </w:pPr>
      <w:r>
        <w:rPr>
          <w:rFonts w:eastAsia="Cambria" w:cs="Cambria"/>
          <w:b/>
          <w:bCs/>
          <w:i w:val="false"/>
          <w:iCs w:val="false"/>
          <w:sz w:val="22"/>
          <w:szCs w:val="22"/>
        </w:rPr>
        <w:t>Wellington</w:t>
      </w:r>
      <w:r>
        <w:rPr>
          <w:rFonts w:eastAsia="Cambria" w:cs="Cambria"/>
          <w:b w:val="false"/>
          <w:bCs w:val="false"/>
          <w:i w:val="false"/>
          <w:iCs w:val="false"/>
          <w:sz w:val="22"/>
          <w:szCs w:val="22"/>
        </w:rPr>
        <w:t xml:space="preserve"> ist mild-gemäßigt und maritim geprägt, mit vergleichsweise geringen Temperaturschwankungen – dafür aber ein Wetterphänomen, das kaum ein Neuankömmling erwartet: Wellington gilt als windigste Hauptstadt der Welt, mit im Schnitt über 26 km/h Durchschnittswindgeschwindigkeit und an rund 160 Tagen im Jahr Böen ab 63 km/h, verursacht durch den Trichtereffekt der Cook Strait zwischen Nord- und Südinsel. Sommer sind mild (19 bis 24 °C, nur selten über 30 °C), Winter (Juni bis August) nass und unbeständig. Das eigentliche Naturgefahren-Risiko liegt aber unter der Erde: Wellington sitzt direkt auf der Kollisionszone zweier tektonischer Platten, die Wellington-Verwerfung (170 Kilometer lang, Stärke bis Mw 8, Wiederkehrintervall 500 bis 1.120 Jahre) gilt als eine der größten Naturgefahren des Landes, dazu kommen die Ohariu-Verwerfung und die vorgelagerte Hikurangi-Subduktionszone – Neuseelands größte und aktivste Verwerfung mit Erdbeben- und Tsunamirisiko. Beim Wohnen ist Wellington rund 20 bis 25 % günstiger als Auckland: Miete rund 600 NZD pro Woche, ein stadtspezifischer Kaufpreis ist nicht gesondert ermittelt, das Jahreswachstum lag Ende 2025 bei nur 1,4 %. Der Jobmarkt wird vom öffentlichen Dienst geprägt – 2026 unter Spardruck mit Einstellungsstopps –, daneben wächst eine Tech- und Startup-Szene mit Schwerpunkt auf Governance- und „Responsible AI“-Rahmenwerken, die Anfang 2026 deutliche Erholungssignale zeigte, auch wenn erfahrene Fachkräfte gleichzeitig ins Ausland abwandern und den lokalen Talentpool verengen. Wellington ist Sitz der deutschen Botschaft, hat ein Goethe-Institut sowie die German School Wellington (Newtown, Ergänzungsschule) und eine deutsche Spielgruppe.</w:t>
      </w:r>
    </w:p>
    <w:p>
      <w:pPr>
        <w:pStyle w:val="Normal"/>
        <w:keepNext w:val="false"/>
        <w:keepLines w:val="false"/>
        <w:spacing w:lineRule="exact" w:line="288" w:before="0" w:after="140"/>
        <w:jc w:val="left"/>
        <w:rPr/>
      </w:pPr>
      <w:r>
        <w:rPr>
          <w:rFonts w:eastAsia="Cambria" w:cs="Cambria"/>
          <w:b/>
          <w:bCs/>
          <w:i w:val="false"/>
          <w:iCs w:val="false"/>
          <w:sz w:val="22"/>
          <w:szCs w:val="22"/>
        </w:rPr>
        <w:t>Christchurch</w:t>
      </w:r>
      <w:r>
        <w:rPr>
          <w:rFonts w:eastAsia="Cambria" w:cs="Cambria"/>
          <w:b w:val="false"/>
          <w:bCs w:val="false"/>
          <w:i w:val="false"/>
          <w:iCs w:val="false"/>
          <w:sz w:val="22"/>
          <w:szCs w:val="22"/>
        </w:rPr>
        <w:t xml:space="preserve"> ist kühl-gemäßigt, mit deutlicheren jahreszeitlichen Unterschieden als in Auckland oder Wellington. Das Naturgefahren-Profil ist durch die Erdbebenserie von 2010/2011 geprägt: Das Beben vom 4. September 2010 (Stärke 7,1) und vor allem das vom 22. Februar 2011 (Stärke 6,3, nur 4 Kilometer Tiefe) gelten inflationsbereinigt mit rund 54,8 Mrd. NZD Schaden als teuerste Naturkatastrophe der neuseeländischen Geschichte – 185 Todesopfer, 10.000 Häuser mussten wiederaufgebaut, 3.500 abgerissen werden. Vor 2010 war die Verwerfung unter der Canterbury-Ebene den Geologen nicht einmal bekannt – ein Warnsignal, dass auch scheinbar ruhige Regionen Neuseelands Erdbebenrisiko tragen. Beim Wohnen ist Christchurch die günstigste der drei großen Städte: Miete rund 660 NZD pro Woche für 3- bis 4-Zimmer-Häuser (ein anderer Wohnungszuschnitt als bei den Auckland- und Wellington-Werten, daher nur bedingt vergleichbar), Kaufmedian 735.000 NZD; die Lebenshaltungskosten liegen mit rund 1.800 NZD pro Monat und Person nahe am Landesdurchschnitt, ein Einzimmerapartment im Zentrum kostet 1.300 bis 1.950 NZD im Monat. Der Jobmarkt lebt vom Nachwirken des Wiederaufbaus: Ingenieurwesen, Bauwirtschaft und Fertigung sind Kernstärken, zunehmend auch Agrartechnologie und luftfahrtnahe Industrie; die Kampagne „Christchurch is Hiring“ wirbt branchenübergreifend, und Prognosen rechnen mit zusätzlich rund 70.000 benötigten Arbeitskräften in den nächsten 15 Jahren, allein um das derzeitige Wirtschaftswachstum bei alternder Bevölkerung zu halten. Ingenieure verdienen bundesweit im Schnitt 92.035 NZD im Jahr, Cloud- und Infrastruktur-Ingenieure als IT-nahe Spezialrolle 95.000 bis 140.000 NZD. Vor Ort vertritt ein Honorarkonsul die deutschen Interessen; ein eigenes Goethe-Institut oder eine deutsche Schule sind vor Ort nicht bekannt.</w:t>
      </w:r>
    </w:p>
    <w:p>
      <w:pPr>
        <w:pStyle w:val="Normal"/>
        <w:keepNext w:val="false"/>
        <w:keepLines w:val="false"/>
        <w:spacing w:lineRule="exact" w:line="288" w:before="0" w:after="140"/>
        <w:jc w:val="left"/>
        <w:rPr/>
      </w:pPr>
      <w:r>
        <w:rPr>
          <w:rFonts w:eastAsia="Cambria" w:cs="Cambria"/>
          <w:b/>
          <w:bCs/>
          <w:i w:val="false"/>
          <w:iCs w:val="false"/>
          <w:sz w:val="22"/>
          <w:szCs w:val="22"/>
        </w:rPr>
        <w:t>Queenstown und die Region Otago</w:t>
      </w:r>
      <w:r>
        <w:rPr>
          <w:rFonts w:eastAsia="Cambria" w:cs="Cambria"/>
          <w:b w:val="false"/>
          <w:bCs w:val="false"/>
          <w:i w:val="false"/>
          <w:iCs w:val="false"/>
          <w:sz w:val="22"/>
          <w:szCs w:val="22"/>
        </w:rPr>
        <w:t xml:space="preserve"> liegen alpin-kontinental im ausgeprägten Regenschatten der Southern Alps: Während die Westseite der Alpen 6.000 bis 10.000 Millimeter Niederschlag im Jahr abbekommt, fallen in Queenstown selbst nur rund 860 Millimeter. Was Deutsche überrascht, sind die für neuseeländische Verhältnisse extremen Temperaturspannen – Wintertiefstwerte bis −10 °C, Sommerhöchstwerte über 33 °C, beides selten, aber möglich. Naturgefahren sind hier eher alpin als tektonisch: Das Mountain Safety Council warnt bei starkem Schneefall regelmäßig vor natürlich und menschlich ausgelösten Lawinen in den Southern Alps, dazu kommt ein moderates Hochwasserrisiko – 1999 etwa überflutete ein Hochwasser die Innenstadt von Queenstown und die Straßeninfrastruktur, Schaden rund 50 Mio. NZD. Eigene REINZ- oder MBIE-Werte für die Stadt selbst gibt es nicht; die weitere Region Otago verzeichnete beim Kaufpreis zuletzt mit 755.000 NZD (+13,2 %) den stärksten Anstieg im ganzen Land, die Wochenmiete liegt lokal bei 730 NZD und mehr – die höchste der vier Regionen. Der Jobmarkt ist stark saisongeprägt und vom Tourismus abhängig: Skigebiete wie The Remarkables, Cardrona und Coronet Peak im Winter, Wander- und Wassersporttourismus im Sommer, dazu ein Wechselspiel mit der Obsternte im nahen Central Otago; zunehmend diversifiziert sich die Region auch in Tech-Startups, Filmproduktion und eine wachsende Weinindustrie. Konsularisch ist hier das Honorarkonsulat Christchurch beziehungsweise die Botschaft Wellington zuständig; eine eigene deutsche Institution vor Ort ist nicht bekannt.</w:t>
      </w:r>
    </w:p>
    <w:tbl>
      <w:tblPr>
        <w:tblW w:w="6480" w:type="dxa"/>
        <w:jc w:val="left"/>
        <w:tblInd w:w="0" w:type="dxa"/>
        <w:tblLayout w:type="fixed"/>
        <w:tblCellMar>
          <w:top w:w="50" w:type="dxa"/>
          <w:left w:w="80" w:type="dxa"/>
          <w:bottom w:w="50" w:type="dxa"/>
          <w:right w:w="80" w:type="dxa"/>
        </w:tblCellMar>
      </w:tblPr>
      <w:tblGrid>
        <w:gridCol w:w="1257"/>
        <w:gridCol w:w="1892"/>
        <w:gridCol w:w="1348"/>
        <w:gridCol w:w="1982"/>
      </w:tblGrid>
      <w:tr>
        <w:trPr>
          <w:tblHeader w:val="true"/>
          <w:cantSplit w:val="true"/>
        </w:trPr>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8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3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NZD/Woche · Kaufmedian)</w:t>
            </w:r>
          </w:p>
        </w:tc>
        <w:tc>
          <w:tcPr>
            <w:tcW w:w="19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8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subtropisch-feucht, Starkregen- und Vulkanrisiko</w:t>
            </w:r>
          </w:p>
        </w:tc>
        <w:tc>
          <w:tcPr>
            <w:tcW w:w="13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635 · 950.000</w:t>
            </w:r>
          </w:p>
        </w:tc>
        <w:tc>
          <w:tcPr>
            <w:tcW w:w="19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Medien/Telekom, breiter Dienstleistungsmarkt</w:t>
            </w:r>
          </w:p>
        </w:tc>
      </w:tr>
      <w:tr>
        <w:trPr>
          <w:cantSplit w:val="true"/>
        </w:trPr>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8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windig, mild-maritim, Erdbebenrisiko</w:t>
            </w:r>
          </w:p>
        </w:tc>
        <w:tc>
          <w:tcPr>
            <w:tcW w:w="13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n. e.</w:t>
            </w:r>
          </w:p>
        </w:tc>
        <w:tc>
          <w:tcPr>
            <w:tcW w:w="19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Regierung/Verwaltung, Tech/Governance</w:t>
            </w:r>
          </w:p>
        </w:tc>
      </w:tr>
      <w:tr>
        <w:trPr>
          <w:cantSplit w:val="true"/>
        </w:trPr>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8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kühl-gemäßigt, Erdbebenrisiko (2010/11)</w:t>
            </w:r>
          </w:p>
        </w:tc>
        <w:tc>
          <w:tcPr>
            <w:tcW w:w="13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(3–4-Zi-Haus) · 735.000</w:t>
            </w:r>
          </w:p>
        </w:tc>
        <w:tc>
          <w:tcPr>
            <w:tcW w:w="19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Ingenieurwesen, Bau, Agritech</w:t>
            </w:r>
          </w:p>
        </w:tc>
      </w:tr>
      <w:tr>
        <w:trPr>
          <w:cantSplit w:val="true"/>
        </w:trPr>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w:t>
            </w:r>
          </w:p>
        </w:tc>
        <w:tc>
          <w:tcPr>
            <w:tcW w:w="18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alpin, Regenschatten, Lawinenrisiko</w:t>
            </w:r>
          </w:p>
        </w:tc>
        <w:tc>
          <w:tcPr>
            <w:tcW w:w="13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730+ · 755.000 (Region Otago)</w:t>
            </w:r>
          </w:p>
        </w:tc>
        <w:tc>
          <w:tcPr>
            <w:tcW w:w="19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Tourismus, zunehmend Tech/Wein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Naturgefahren sind in Neuseeland kein Randthema, sondern ein Versicherungsposten. Die staatliche </w:t>
            </w:r>
            <w:r>
              <w:rPr>
                <w:rFonts w:eastAsia="Cambria" w:cs="Cambria"/>
                <w:b w:val="false"/>
                <w:bCs w:val="false"/>
                <w:i/>
                <w:iCs/>
                <w:sz w:val="20"/>
                <w:szCs w:val="20"/>
              </w:rPr>
              <w:t>Natural Hazards Commission Toka Tū Ake</w:t>
            </w:r>
            <w:r>
              <w:rPr>
                <w:rFonts w:eastAsia="Cambria" w:cs="Cambria"/>
                <w:b w:val="false"/>
                <w:bCs w:val="false"/>
                <w:i w:val="false"/>
                <w:iCs w:val="false"/>
                <w:sz w:val="20"/>
                <w:szCs w:val="20"/>
              </w:rPr>
              <w:t xml:space="preserve"> (früher EQC) übernimmt bei einem anerkannten Erdbebenschaden am Wohnhaus die ersten 300.000 NZD – vorausgesetzt, eine private Wohngebäudeversicherung mit Feuerschutz besteht bereits. Das staatliche System ergänzt die private Versicherung, ersetzt sie aber nicht. Die Umlage dafür ist über die Hausversicherung gedeckelt bei 480 NZD zzgl. Mehrwertsteuer pro Jahr. Hol dir vor jedem Kauf ein konkretes Angebot für genau dieses Grundstück ein, nicht erst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Miete oder Kaufpreis unterscheiden sich die vier Regionen bei Auto, Kinderbetreuung und alltäglichen Lebenshaltungskosten spürbar weniger stark als beim Wohnen selbst. Wer aus einer deutschen Großstadt ohne eigenes Auto kommt, sollte trotzdem außerhalb der jeweiligen Innenstadt in praktisch allen vier Regionen ein eigenes Fahrzeug einplanen – Details zu Führerschein-Umtausch, Autokauf und Kfz-Versicherung erklärt das </w:t>
      </w:r>
      <w:hyperlink w:anchor="tnz10">
        <w:r>
          <w:rPr>
            <w:rStyle w:val="ListLabel113"/>
            <w:rFonts w:eastAsia="Cambria" w:cs="Cambria"/>
            <w:b w:val="false"/>
            <w:bCs w:val="false"/>
            <w:i w:val="false"/>
            <w:iCs w:val="false"/>
            <w:color w:val="0563C1"/>
            <w:sz w:val="22"/>
            <w:szCs w:val="22"/>
            <w:u w:val="single"/>
          </w:rPr>
          <w:t>Kapitel zu Führerschein, Auto und Verkehrsregeln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gesetzlich auf vier Wochenmieten gedeckelt, treuhänderisch bei Tenancy Services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mit hohem Wettbewerb um gute Mietwohnungen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Vermittlungsgebühren für Mieter seit 2018 verboten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Bestandsimmobilien-Kauf für die meisten Einwanderer erst nach Erfüllung aller vier „ordinarily resident“-Kriterien möglich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 bietet klar günstigeren Wohnraum und aktive Fachkräfte-Werbung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Überschwemmungs- und Vulkanrisiko unterscheiden sich stark von Region zu Region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Toka-Tū-Ake-Deckung ergänzt die private Erdbebenversicherung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Deckung von 300.000 NZD ersetzt keine ausreichende private Wohngebäudeversicherung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und singapurische Staatsangehörige haben eine Sonderregel beim Hauskauf</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gilt keine der Ausnahmeregeln vom Kaufverbot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Region hat ein gut dokumentiertes Naturgefahren-Profil, das sich recherchieren lässt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 ohne eigene isolierte Miet- oder Kaufstatistik, nur über die Gesamtregion abschätzbar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Zielregion. Kläre früh, ob und wann du die vier „ordinarily resident“-Kriterien erfüllst – das entscheidet, ob und wann ein Hauskauf überhaupt infrage kommt, unabhängig vom verfügbaren Kapital. Miete zunächst, auch wenn dich ein Kauf reizt: Du lernst Viertel, Schule und Erdbebensicherheit des Hauses aus eigener Erfahrung kennen, statt dich unter Zeitdruck auf eine Entscheidung einzulassen, die dir das Gesetz ohnehin noch nicht erlaubt. Sprich außerdem frühzeitig mit einem Versicherungsmakler über die Kombination aus privater Wohngebäudeversicherung und der staatlichen Toka-Tū-Ake-Deckung – gerade in Wellington und Christchurch ist das keine Formsache, sondern ein Posten, der die monatliche Kalkulation spürbar verändern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„Ordinarily resident“-Status geprüft: Visum, 12 Monate Aufenthalt, 183-Tage-Regel und Steuerresidenz alle vier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Arbeitsvertrag, Referenzen früherer Vermieter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Kautionshöhe (max. vier Wochenmieten) und Hinterlegung bei Tenancy Services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Regionen im eigenen Berufsfeld verglichen, nicht nur Auckland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Zielregion recherchiert (Erdbeben, Überschwemmung, Vulkan, Lawine)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und Toka-Tū-Ake-Deckung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auf Immobilienrecht spezialisierten Solicitor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ein bis zwei Jahre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Tenancy Services — Kaution, Mietrecht, Bond Hub (</w:t>
      </w:r>
      <w:hyperlink r:id="rId703">
        <w:r>
          <w:rPr>
            <w:rStyle w:val="ListLabel113"/>
            <w:rFonts w:eastAsia="Cambria" w:cs="Cambria"/>
            <w:b w:val="false"/>
            <w:bCs w:val="false"/>
            <w:i w:val="false"/>
            <w:iCs w:val="false"/>
            <w:color w:val="0563C1"/>
            <w:sz w:val="22"/>
            <w:szCs w:val="22"/>
            <w:u w:val="single"/>
          </w:rPr>
          <w:t>tenancy.govt.nz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Land Information New Zealand (LINZ) — Overseas Investment Act, „ordinarily resident“-Kriterien (</w:t>
      </w:r>
      <w:hyperlink r:id="rId704">
        <w:r>
          <w:rPr>
            <w:rStyle w:val="ListLabel113"/>
            <w:rFonts w:eastAsia="Cambria" w:cs="Cambria"/>
            <w:b w:val="false"/>
            <w:bCs w:val="false"/>
            <w:i w:val="false"/>
            <w:iCs w:val="false"/>
            <w:color w:val="0563C1"/>
            <w:sz w:val="22"/>
            <w:szCs w:val="22"/>
            <w:u w:val="single"/>
          </w:rPr>
          <w:t>linz.govt.nz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REINZ — monatliche Kaufpreisberichte (</w:t>
      </w:r>
      <w:hyperlink r:id="rId705">
        <w:r>
          <w:rPr>
            <w:rStyle w:val="ListLabel113"/>
            <w:rFonts w:eastAsia="Cambria" w:cs="Cambria"/>
            <w:b w:val="false"/>
            <w:bCs w:val="false"/>
            <w:i w:val="false"/>
            <w:iCs w:val="false"/>
            <w:color w:val="0563C1"/>
            <w:sz w:val="22"/>
            <w:szCs w:val="22"/>
            <w:u w:val="single"/>
          </w:rPr>
          <w:t>reinz.co.nz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Natural Hazards Commission Toka Tū Ake — Erdbebenversicherung (</w:t>
      </w:r>
      <w:hyperlink r:id="rId706">
        <w:r>
          <w:rPr>
            <w:rStyle w:val="ListLabel113"/>
            <w:rFonts w:eastAsia="Cambria" w:cs="Cambria"/>
            <w:b w:val="false"/>
            <w:bCs w:val="false"/>
            <w:i w:val="false"/>
            <w:iCs w:val="false"/>
            <w:color w:val="0563C1"/>
            <w:sz w:val="22"/>
            <w:szCs w:val="22"/>
            <w:u w:val="single"/>
          </w:rPr>
          <w:t>naturalhazards.govt.nz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und Honorarkonsulate — Vertretungen vor Ort (</w:t>
      </w:r>
      <w:hyperlink r:id="rId70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monatlich merklich, ebenso die Kriterien und Ausnahmen des Overseas Investment Act und die Umlagehöhe der Natural Hazards Commission.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8" w:name="__RefHeading___Toc56618_3457424410"/>
      <w:bookmarkStart w:id="189" w:name="tnz10"/>
      <w:bookmarkEnd w:id="188"/>
      <w:r>
        <w:rPr>
          <w:rFonts w:eastAsia="Amazon Ember" w:cs="Amazon Ember" w:ascii="Amazon Ember" w:hAnsi="Amazon Ember"/>
          <w:b/>
          <w:bCs/>
          <w:color w:val="0000FF"/>
          <w:sz w:val="36"/>
          <w:szCs w:val="36"/>
        </w:rPr>
        <w:t>Neuseeland: Führerschein, Auto und Verkehrsregeln</w:t>
      </w:r>
      <w:bookmarkEnd w:id="1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 und genau darum geht es in diesem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Deutschland zählt zu den </w:t>
            </w:r>
            <w:r>
              <w:rPr>
                <w:rFonts w:eastAsia="Cambria" w:cs="Cambria"/>
                <w:b w:val="false"/>
                <w:bCs w:val="false"/>
                <w:i/>
                <w:iCs/>
                <w:sz w:val="20"/>
                <w:szCs w:val="20"/>
              </w:rPr>
              <w:t>exempt countries</w:t>
            </w:r>
            <w:r>
              <w:rPr>
                <w:rFonts w:eastAsia="Cambria" w:cs="Cambria"/>
                <w:b w:val="false"/>
                <w:bCs w:val="false"/>
                <w:i w:val="false"/>
                <w:iCs w:val="false"/>
                <w:sz w:val="20"/>
                <w:szCs w:val="20"/>
              </w:rPr>
              <w:t xml:space="preserve"> (den von der Prüfungspflicht befreiten Ländern): Mit einem seit mindestens 2 Jahren gültigen vollen Pkw-Führerschein tauschst du ihn ohne Theorie- oder Praxisprüfung um.</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Umtausch darfst du aktuell (Stand September 2026) bis zu 18 Monate ab deiner letzten Einreise mit dem deutschen Führerschein fahren – eine befristete Verlängerung der ursprünglichen 12-Monats-Frist, die absehbar wieder zurückgenommen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Punkt überhaupt: Neuseeland fährt auf der linken Straßenseite, wie Australien und Großbritannien. Das betrifft Kreisverkehre, Blinkerhebel und vor allem deinen Blick an der Kreuzung.</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der „Give-Way“-Reform vom 25. März 2012 hat abbiegender Verkehr nicht mehr automatisch Vorrang; die Regeln ähneln seither stärker den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Viele Straßen sind unbefestigt, viele Brücken einspurig – beides mit eigenen Vorfahrtsregeln.</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Alkoholgrenze: 0,05 % für Fahrer ab 20 Jahren, 0,00 % darunter. Handy am Steuer ist grundsätzlich verboten, auch freihändig für Fahranfänger.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Führerschein-Umtausch: Deutschland als „exempt country“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Verkehrsbehörde NZTA (</w:t>
      </w:r>
      <w:r>
        <w:rPr>
          <w:rFonts w:eastAsia="Cambria" w:cs="Cambria"/>
          <w:b w:val="false"/>
          <w:bCs w:val="false"/>
          <w:i/>
          <w:iCs/>
          <w:sz w:val="22"/>
          <w:szCs w:val="22"/>
        </w:rPr>
        <w:t>New Zealand Transport Agency Waka Kotahi</w:t>
      </w:r>
      <w:r>
        <w:rPr>
          <w:rFonts w:eastAsia="Cambria" w:cs="Cambria"/>
          <w:b w:val="false"/>
          <w:bCs w:val="false"/>
          <w:i w:val="false"/>
          <w:iCs w:val="false"/>
          <w:sz w:val="22"/>
          <w:szCs w:val="22"/>
        </w:rPr>
        <w:t xml:space="preserve">) führt eine Liste von Ländern, deren Führerscheine sie als gleichwertig anerkennt – die </w:t>
      </w:r>
      <w:r>
        <w:rPr>
          <w:rFonts w:eastAsia="Cambria" w:cs="Cambria"/>
          <w:b w:val="false"/>
          <w:bCs w:val="false"/>
          <w:i/>
          <w:iCs/>
          <w:sz w:val="22"/>
          <w:szCs w:val="22"/>
        </w:rPr>
        <w:t>exempt countries</w:t>
      </w:r>
      <w:r>
        <w:rPr>
          <w:rFonts w:eastAsia="Cambria" w:cs="Cambria"/>
          <w:b w:val="false"/>
          <w:bCs w:val="false"/>
          <w:i w:val="false"/>
          <w:iCs w:val="false"/>
          <w:sz w:val="22"/>
          <w:szCs w:val="22"/>
        </w:rPr>
        <w:t xml:space="preserve">. Deutschland gehört dazu, ebenso Österreich, die Schweiz, Frankreich, die Niederlande, Japan, Kanada, Australien, die USA, Südkorea und rund ein Dutzend weitere Staaten. Wer seinen vollen Pkw-Führerschein seit mindestens 2 Jahren besitzt, kann ihn bei einer autorisierten Umtauschstelle – unter anderem ausgewählten Standorten der </w:t>
      </w:r>
      <w:r>
        <w:rPr>
          <w:rFonts w:eastAsia="Cambria" w:cs="Cambria"/>
          <w:b w:val="false"/>
          <w:bCs w:val="false"/>
          <w:i/>
          <w:iCs/>
          <w:sz w:val="22"/>
          <w:szCs w:val="22"/>
        </w:rPr>
        <w:t>Automobile Association</w:t>
      </w:r>
      <w:r>
        <w:rPr>
          <w:rFonts w:eastAsia="Cambria" w:cs="Cambria"/>
          <w:b w:val="false"/>
          <w:bCs w:val="false"/>
          <w:i w:val="false"/>
          <w:iCs w:val="false"/>
          <w:sz w:val="22"/>
          <w:szCs w:val="22"/>
        </w:rPr>
        <w:t xml:space="preserve"> (AA) – ohne Wissens- oder Fahrprüfung in einen neuseeländischen Führerschein umtauschen.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die englische Übersetzung deines Führerscheins und, falls nötig, eine Bescheinigung des Ausstellungsdatums bereits vor dem Abflug mit deiner deutschen Führerscheinstelle. Das erspart dir in Neuseeland einen zusätzlichen Behördengang und mögliche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den Umtausch nicht sofort erledigt, darf laut aktueller NZTA-Regel bis zu 18 Monate ab der letzten Einreise mit dem deutschen Führerschein weiterfahren. Diese 18 Monate sind allerdings eine befristete Verlängerung der ursprünglich geltenden 12-Monats-Frist und sollen nach einer Übergangszeit von rund 2 Jahren wieder auf 12 Monate zurückgehen – eine Sekundärquelle nennt konkret den 1. November 2026 als Rückkehr-Termin, was an der NZTA-Originalseite nicht bestätigt ist. Für Motorrad- und Lkw-Führerscheine gilt unabhängig davon weiterhin die 12-Monats-Frist.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nicht auf eine feste Zahl von Monaten, ohne sie kurz vor deiner Reise auf nzta.govt.nz gegenzuprüfen. Übergangsregeln wie diese ändern sich in Neuseeland öfter, als man in Deutschland erwarten würde – und „das war letztes Jahr noch anders“ ist ein Satz, den du hier öfter hörst, als dir lieb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selbst ist überschaubar:</w:t>
      </w:r>
    </w:p>
    <w:p>
      <w:pPr>
        <w:pStyle w:val="ListParagraph"/>
        <w:numPr>
          <w:ilvl w:val="0"/>
          <w:numId w:val="243"/>
        </w:numPr>
        <w:spacing w:lineRule="exact" w:line="288" w:before="0" w:after="60"/>
        <w:rPr/>
      </w:pPr>
      <w:r>
        <w:rPr>
          <w:rFonts w:eastAsia="Cambria" w:cs="Cambria"/>
          <w:b/>
          <w:bCs/>
          <w:i w:val="false"/>
          <w:iCs w:val="false"/>
          <w:sz w:val="22"/>
          <w:szCs w:val="22"/>
        </w:rPr>
        <w:t>Termin oder Vor-Ort-Besuch</w:t>
      </w:r>
      <w:r>
        <w:rPr>
          <w:rFonts w:eastAsia="Cambria" w:cs="Cambria"/>
          <w:b w:val="false"/>
          <w:bCs w:val="false"/>
          <w:i w:val="false"/>
          <w:iCs w:val="false"/>
          <w:sz w:val="22"/>
          <w:szCs w:val="22"/>
        </w:rPr>
        <w:t xml:space="preserve"> bei einer autorisierten </w:t>
      </w:r>
      <w:r>
        <w:rPr>
          <w:rFonts w:eastAsia="Cambria" w:cs="Cambria"/>
          <w:b w:val="false"/>
          <w:bCs w:val="false"/>
          <w:i/>
          <w:iCs/>
          <w:sz w:val="22"/>
          <w:szCs w:val="22"/>
        </w:rPr>
        <w:t>Overseas Licence Conversion</w:t>
      </w:r>
      <w:r>
        <w:rPr>
          <w:rFonts w:eastAsia="Cambria" w:cs="Cambria"/>
          <w:b w:val="false"/>
          <w:bCs w:val="false"/>
          <w:i w:val="false"/>
          <w:iCs w:val="false"/>
          <w:sz w:val="22"/>
          <w:szCs w:val="22"/>
        </w:rPr>
        <w:t>-Stelle, etwa einem AA-Driver-Licensing-Standort, vereinbaren.</w:t>
      </w:r>
    </w:p>
    <w:p>
      <w:pPr>
        <w:pStyle w:val="ListParagraph"/>
        <w:numPr>
          <w:ilvl w:val="0"/>
          <w:numId w:val="244"/>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Original-Führerschein, die englische Übersetzung, ein amtlicher Nachweis deiner neuseeländischen Adresse und ein gültiger Identitätsnachweis (Reisepass).</w:t>
      </w:r>
    </w:p>
    <w:p>
      <w:pPr>
        <w:pStyle w:val="ListParagraph"/>
        <w:numPr>
          <w:ilvl w:val="0"/>
          <w:numId w:val="245"/>
        </w:numPr>
        <w:spacing w:lineRule="exact" w:line="288" w:before="0" w:after="60"/>
        <w:rPr/>
      </w:pPr>
      <w:r>
        <w:rPr>
          <w:rFonts w:eastAsia="Cambria" w:cs="Cambria"/>
          <w:b/>
          <w:bCs/>
          <w:i w:val="false"/>
          <w:iCs w:val="false"/>
          <w:sz w:val="22"/>
          <w:szCs w:val="22"/>
        </w:rPr>
        <w:t>Sehtest</w:t>
      </w:r>
      <w:r>
        <w:rPr>
          <w:rFonts w:eastAsia="Cambria" w:cs="Cambria"/>
          <w:b w:val="false"/>
          <w:bCs w:val="false"/>
          <w:i w:val="false"/>
          <w:iCs w:val="false"/>
          <w:sz w:val="22"/>
          <w:szCs w:val="22"/>
        </w:rPr>
        <w:t xml:space="preserve"> vor Ort ablegen – auch als „exempt country“-Umtauscher kommst du daran nicht vorbei.</w:t>
      </w:r>
    </w:p>
    <w:p>
      <w:pPr>
        <w:pStyle w:val="ListParagraph"/>
        <w:numPr>
          <w:ilvl w:val="0"/>
          <w:numId w:val="246"/>
        </w:numPr>
        <w:spacing w:lineRule="exact" w:line="288" w:before="0" w:after="60"/>
        <w:rPr/>
      </w:pPr>
      <w:r>
        <w:rPr>
          <w:rFonts w:eastAsia="Cambria" w:cs="Cambria"/>
          <w:b/>
          <w:bCs/>
          <w:i w:val="false"/>
          <w:iCs w:val="false"/>
          <w:sz w:val="22"/>
          <w:szCs w:val="22"/>
        </w:rPr>
        <w:t>Foto und Unterschrift</w:t>
      </w:r>
      <w:r>
        <w:rPr>
          <w:rFonts w:eastAsia="Cambria" w:cs="Cambria"/>
          <w:b w:val="false"/>
          <w:bCs w:val="false"/>
          <w:i w:val="false"/>
          <w:iCs w:val="false"/>
          <w:sz w:val="22"/>
          <w:szCs w:val="22"/>
        </w:rPr>
        <w:t xml:space="preserve"> für die neue Karte erfassen lassen.</w:t>
      </w:r>
    </w:p>
    <w:p>
      <w:pPr>
        <w:pStyle w:val="ListParagraph"/>
        <w:numPr>
          <w:ilvl w:val="0"/>
          <w:numId w:val="247"/>
        </w:numPr>
        <w:spacing w:lineRule="exact" w:line="288" w:before="0" w:after="60"/>
        <w:rPr/>
      </w:pPr>
      <w:r>
        <w:rPr>
          <w:rFonts w:eastAsia="Cambria" w:cs="Cambria"/>
          <w:b/>
          <w:bCs/>
          <w:i w:val="false"/>
          <w:iCs w:val="false"/>
          <w:sz w:val="22"/>
          <w:szCs w:val="22"/>
        </w:rPr>
        <w:t>Neuen Führerschein abwarten:</w:t>
      </w:r>
      <w:r>
        <w:rPr>
          <w:rFonts w:eastAsia="Cambria" w:cs="Cambria"/>
          <w:b w:val="false"/>
          <w:bCs w:val="false"/>
          <w:i w:val="false"/>
          <w:iCs w:val="false"/>
          <w:sz w:val="22"/>
          <w:szCs w:val="22"/>
        </w:rPr>
        <w:t xml:space="preserve"> Er wird dir zugeschickt, eine vorläufige Bestätigung dient in der Zwischenzeit als Nachweis.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anschließend meist innerhalb weniger Wochen per Post – spürbar zügiger, als man es von einer Behörde erwarten würde, und fast schon Grund genug, kurz misstrauisch zu werden, ob man nicht doch etwas übersehen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Linksverkehr: die größte Umstellung überhaupt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fährt, wie Australien, auf der linken Straßenseite mit rechtsgesteuerten Fahrzeugen –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bedeutet das:</w:t>
      </w:r>
    </w:p>
    <w:p>
      <w:pPr>
        <w:pStyle w:val="ListParagraph"/>
        <w:numPr>
          <w:ilvl w:val="0"/>
          <w:numId w:val="1"/>
        </w:numPr>
        <w:spacing w:lineRule="exact" w:line="288" w:before="0" w:after="60"/>
        <w:rPr/>
      </w:pPr>
      <w:r>
        <w:rPr>
          <w:rFonts w:eastAsia="Cambria" w:cs="Cambria"/>
          <w:b w:val="false"/>
          <w:bCs w:val="false"/>
          <w:i w:val="false"/>
          <w:iCs w:val="false"/>
          <w:sz w:val="22"/>
          <w:szCs w:val="22"/>
        </w:rPr>
        <w:t>Kreisverkehre durchfährst du im Uhrzeigersinn statt gegen ihn.</w:t>
      </w:r>
    </w:p>
    <w:p>
      <w:pPr>
        <w:pStyle w:val="ListParagraph"/>
        <w:numPr>
          <w:ilvl w:val="0"/>
          <w:numId w:val="1"/>
        </w:numPr>
        <w:spacing w:lineRule="exact" w:line="288" w:before="0" w:after="60"/>
        <w:rPr/>
      </w:pPr>
      <w:r>
        <w:rPr>
          <w:rFonts w:eastAsia="Cambria" w:cs="Cambria"/>
          <w:b w:val="false"/>
          <w:bCs w:val="false"/>
          <w:i w:val="false"/>
          <w:iCs w:val="false"/>
          <w:sz w:val="22"/>
          <w:szCs w:val="22"/>
        </w:rPr>
        <w:t>Blinker- und Scheibenwischerhebel sitzen bei vielen Fahrzeugen vertauscht, weil die Fahrerposition gespiegelt ist – der erste Griff nach dem Blinker aktiviert erfahrungsgemäß erst einmal den Wischer.</w:t>
      </w:r>
    </w:p>
    <w:p>
      <w:pPr>
        <w:pStyle w:val="ListParagraph"/>
        <w:numPr>
          <w:ilvl w:val="0"/>
          <w:numId w:val="1"/>
        </w:numPr>
        <w:spacing w:lineRule="exact" w:line="288" w:before="0" w:after="60"/>
        <w:rPr/>
      </w:pPr>
      <w:r>
        <w:rPr>
          <w:rFonts w:eastAsia="Cambria" w:cs="Cambria"/>
          <w:b w:val="false"/>
          <w:bCs w:val="false"/>
          <w:i w:val="false"/>
          <w:iCs w:val="false"/>
          <w:sz w:val="22"/>
          <w:szCs w:val="22"/>
        </w:rPr>
        <w:t>An Kreuzungen und beim Linksabbiegen musst du dich aktiv daran gewöhnen, zuerst nach rechts zu schauen; der Gegenverkehr kommt aus der für dich „falschen“ Richtung.</w:t>
      </w:r>
    </w:p>
    <w:p>
      <w:pPr>
        <w:pStyle w:val="ListParagraph"/>
        <w:numPr>
          <w:ilvl w:val="0"/>
          <w:numId w:val="1"/>
        </w:numPr>
        <w:spacing w:lineRule="exact" w:line="288" w:before="0" w:after="60"/>
        <w:rPr/>
      </w:pPr>
      <w:r>
        <w:rPr>
          <w:rFonts w:eastAsia="Cambria" w:cs="Cambria"/>
          <w:b w:val="false"/>
          <w:bCs w:val="false"/>
          <w:i w:val="false"/>
          <w:iCs w:val="false"/>
          <w:sz w:val="22"/>
          <w:szCs w:val="22"/>
        </w:rPr>
        <w:t>Auf mehrspurigen Straßen hältst du dich grundsätzlich möglichst weit links und überholst rechts.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Blick nach rechts vor jedem Linksabbiegen ist keine Formsache, sondern die wichtigste neue Bewegung, die du dir in Neuseeland antrainieren musst. Übe sie bewusst, bis sie automatisch wird – am besten zuerst auf ruhigen Straßen, nicht im Feierabendverkehr von Auckland.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Erschwerend kommt hinzu, dass viele neuseeländische Überlandstraßen schmal, kurvig und bergig sind –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reine Kilometerzahl vermuten lässt, und meide nach langen Flugreisen möglichst die ersten Fahrten in der Dämmerung.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holt ihren gebraucht gekauften Kombi am zweiten Wochenende in Christchurch ab. Auf der Rückfahrt sitzt Tochter Lotta, 12, hinten und ruft bei jeder Kreuzung „Papa, links bleiben!“ – halb Warnung, halb Spiel. Sebastian gewöhnt sich schneller an die Fahrbahnseite als erwartet, tappt aber zwei Wochen lang zuverlässig in dieselbe Falle: Der Blinker links gedacht, der Scheibenwischer rechts betätigt. Petra nennt es liebevoll das „Krüger’sche Scheibenwischer-Ballett“ und filmt es für die Großeltern in Rostock.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„Give-Way“-Reform vom 25. März 2012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pPr>
        <w:pStyle w:val="ListParagraph"/>
        <w:numPr>
          <w:ilvl w:val="0"/>
          <w:numId w:val="248"/>
        </w:numPr>
        <w:spacing w:lineRule="exact" w:line="288" w:before="0" w:after="60"/>
        <w:rPr/>
      </w:pPr>
      <w:r>
        <w:rPr>
          <w:rFonts w:eastAsia="Cambria" w:cs="Cambria"/>
          <w:b w:val="false"/>
          <w:bCs w:val="false"/>
          <w:i w:val="false"/>
          <w:iCs w:val="false"/>
          <w:sz w:val="22"/>
          <w:szCs w:val="22"/>
        </w:rPr>
        <w:t>Rechtsabbiegender Verkehr muss seitdem entgegenkommendem linksabbiegendem Verkehr Vorfahrt gewähren – an Kreuzungen, T-Kreuzungen und Einfahrten ohne Ampel- oder Schilderregelung.</w:t>
      </w:r>
    </w:p>
    <w:p>
      <w:pPr>
        <w:pStyle w:val="ListParagraph"/>
        <w:numPr>
          <w:ilvl w:val="0"/>
          <w:numId w:val="249"/>
        </w:numPr>
        <w:spacing w:lineRule="exact" w:line="288" w:before="0" w:after="60"/>
        <w:rPr/>
      </w:pPr>
      <w:r>
        <w:rPr>
          <w:rFonts w:eastAsia="Cambria" w:cs="Cambria"/>
          <w:b w:val="false"/>
          <w:bCs w:val="false"/>
          <w:i w:val="false"/>
          <w:iCs w:val="false"/>
          <w:sz w:val="22"/>
          <w:szCs w:val="22"/>
        </w:rPr>
        <w:t>An unkontrollierten T-Kreuzungen muss der Verkehr von der endenden Straße (dem „Fuß“ des T) dem durchgehenden Verkehr auf der Straße am „Balken“ des T Vorfahrt gewähren.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ist das eine gute Nachricht: Die heutige Regel ähnelt im Kern dem in Deutschland vertrauten Prinzip, dass durchgehender Verkehr Vorrang vor Abbiegern und Einmündenden hat. Die historische Sonderregel vor 2012 kannst du getrost vergessen – außer, ein älterer Nachbar erklärt sie dir mit unerschütterlicher Überzeugung als aktuell gültig. Widersprich höflich, aber bestimmt.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Tempolimits: Kilometer statt Meilen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misst Geschwindigkeit, anders als du es vielleicht aus manchen Reiseberichten über die USA kennst, durchgehend in km/h – hier gibt es also keine Umrechnung zu üben. Außerorts, auf der sogenannten </w:t>
      </w:r>
      <w:r>
        <w:rPr>
          <w:rFonts w:eastAsia="Cambria" w:cs="Cambria"/>
          <w:b w:val="false"/>
          <w:bCs w:val="false"/>
          <w:i/>
          <w:iCs/>
          <w:sz w:val="22"/>
          <w:szCs w:val="22"/>
        </w:rPr>
        <w:t>Open Road</w:t>
      </w:r>
      <w:r>
        <w:rPr>
          <w:rFonts w:eastAsia="Cambria" w:cs="Cambria"/>
          <w:b w:val="false"/>
          <w:bCs w:val="false"/>
          <w:i w:val="false"/>
          <w:iCs w:val="false"/>
          <w:sz w:val="22"/>
          <w:szCs w:val="22"/>
        </w:rPr>
        <w:t>, gilt als Standard 100 km/h, auf einzelnen Motorway-Abschnitten bis zu 110 km/h für Pkw und Motorräder ohne Anhänger. Innerorts liegt das Standardtempo bei 50 km/h.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einer neuen Regel („Setting of Speed Limits 2024“, unterzeichnet am 28. September 2024) gilt zusätzlich: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Unbefestigte Straßen und Ein-Spur-Brücken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 lies das Kleingedruckte, bevor du für einen Ausflug auf der Südinsel den vermeintlich kürzesten Weg über eine Schotterpiste wählst.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Ebenso alltäglich sind einspurige Brücken (</w:t>
      </w:r>
      <w:r>
        <w:rPr>
          <w:rFonts w:eastAsia="Cambria" w:cs="Cambria"/>
          <w:b w:val="false"/>
          <w:bCs w:val="false"/>
          <w:i/>
          <w:iCs/>
          <w:sz w:val="22"/>
          <w:szCs w:val="22"/>
        </w:rPr>
        <w:t>One-Lane Bridges</w:t>
      </w:r>
      <w:r>
        <w:rPr>
          <w:rFonts w:eastAsia="Cambria" w:cs="Cambria"/>
          <w:b w:val="false"/>
          <w:bCs w:val="false"/>
          <w:i w:val="false"/>
          <w:iCs w:val="false"/>
          <w:sz w:val="22"/>
          <w:szCs w:val="22"/>
        </w:rPr>
        <w:t>),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 du fährst erst auf, wenn die Brücke wieder frei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 ein Steinschlagschaden auf einer nicht versicherten Piste geht sonst komplett zu deinen Lasten.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fährt an einem Wochenende von Auckland aus zu einer Wanderung im Landesinneren und steht plötzlich vor einer einspurigen Brücke mit rundem, rot umrandetem Schild. Er hält an, obwohl kein Gegenverkehr zu sehen ist, wartet einen Moment zu lange und wird von einem geduldigen Ortsansässigen mit knappem Winken durchgewunken – die neuseeländische Version von „jetzt fahr doch endlich“. Auf dem Rückweg nimmt er testweise eine Schotterstraße, merkt nach 200 Metern, wie das Heck des Mietwagens leicht ausbricht, und kehrt vorsichtiger um, als er gekommen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und Handy am 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Entscheidend ist damit – anders als in Deutschland, wo die Probezeit über den Nullwert entscheidet – allein das Lebensalter, nicht die Art des Führerscheins.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Telefon ist die Regel strenger, als mancher erwartet: Verboten ist jedes Halten oder Bedienen des Mobiltelefons während der Fahrt, einschließlich Telefonieren, Schreiben, Scrollen oder Festhalten zur Navigation. Ein Verstoß kostet 150 NZD Bußgeld und 20 Demeritpunkte; wer innerhalb von 2 Jahren 100 Punkte sammelt, riskiert eine dreimonatige Führerscheinsperre. Lern- und </w:t>
      </w:r>
      <w:r>
        <w:rPr>
          <w:rFonts w:eastAsia="Cambria" w:cs="Cambria"/>
          <w:b w:val="false"/>
          <w:bCs w:val="false"/>
          <w:i/>
          <w:iCs/>
          <w:sz w:val="22"/>
          <w:szCs w:val="22"/>
        </w:rPr>
        <w:t>Restricted</w:t>
      </w:r>
      <w:r>
        <w:rPr>
          <w:rFonts w:eastAsia="Cambria" w:cs="Cambria"/>
          <w:b w:val="false"/>
          <w:bCs w:val="false"/>
          <w:i w:val="false"/>
          <w:iCs w:val="false"/>
          <w:sz w:val="22"/>
          <w:szCs w:val="22"/>
        </w:rPr>
        <w:t>-Fahrer (die neuseeländischen Zwischenstufen des Führerscheins) dürfen das Telefon während der Fahrt überhaupt nicht nutzen, auch nicht freihändig über eine Halterung.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t>
      </w:r>
      <w:r>
        <w:rPr>
          <w:rFonts w:eastAsia="Cambria" w:cs="Cambria"/>
          <w:b w:val="false"/>
          <w:bCs w:val="false"/>
          <w:i/>
          <w:iCs/>
          <w:sz w:val="22"/>
          <w:szCs w:val="22"/>
        </w:rPr>
        <w:t>Warrant of Fitness</w:t>
      </w:r>
      <w:r>
        <w:rPr>
          <w:rFonts w:eastAsia="Cambria" w:cs="Cambria"/>
          <w:b w:val="false"/>
          <w:bCs w:val="false"/>
          <w:i w:val="false"/>
          <w:iCs w:val="false"/>
          <w:sz w:val="22"/>
          <w:szCs w:val="22"/>
        </w:rPr>
        <w:t xml:space="preserve">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Versicherung lohnt sich ein bewusster Vergleich: Eine durchschnittliche Vollkaskoprämie kostete 2026 rund 1.311 NZD im Jahr (109 NZD im Monat) – ein Anstieg von 56 % seit 2022. Reine Teilkasko- oder Haftpflichtdeckung (</w:t>
      </w:r>
      <w:r>
        <w:rPr>
          <w:rFonts w:eastAsia="Cambria" w:cs="Cambria"/>
          <w:b w:val="false"/>
          <w:bCs w:val="false"/>
          <w:i/>
          <w:iCs/>
          <w:sz w:val="22"/>
          <w:szCs w:val="22"/>
        </w:rPr>
        <w:t>Third Party</w:t>
      </w:r>
      <w:r>
        <w:rPr>
          <w:rFonts w:eastAsia="Cambria" w:cs="Cambria"/>
          <w:b w:val="false"/>
          <w:bCs w:val="false"/>
          <w:i w:val="false"/>
          <w:iCs w:val="false"/>
          <w:sz w:val="22"/>
          <w:szCs w:val="22"/>
        </w:rPr>
        <w:t>) ist mit rund 200 bis 475 NZD im Jahr deutlich günstiger; laut Vergleichsportalen senkt der Wechsel von Vollkasko auf Teilkasko die Prämie um 40 bis 60 %.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Vertragsabschluss ehrlich, ob du bei einem älteren Gebrauchtwagen wirklich eine Vollkaskodeckung brauchst. Bei Fahrzeugen mit geringem Zeitwert gleicht die Ersparnis bei der Teilkasko einen Totalschaden oft schneller aus, als es die höhere Prämie je könnte.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Geschwindigkeitskameras und die Sache mit den Neuankömmlingen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Juli 2025 liegt die Verantwortung für das gesamte „Safety Camera“-Netz nicht mehr bei der Polizei, sondern bei der NZTA; aktuell sind es rund 65 feste und 34 mobile Kameras, mit geplantem Ausbau auf rund 200 Kameras bis 2027. Mobile Einheiten arbeiten unmarkiert und landesweit, ganz bewusst als generalpräventive Maßnahme nach dem Motto „könnte jederzeit, überall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 neuseeländische Fahrer selbst sind an mehr Unfällen beteiligt als Besucher. Die kursierende Meldung, wonach 97 % internationaler Fahrer einen informellen Theorietest-Quiz nicht bestanden hätten, ist eine einzelne Medienmeldung, keine amtliche Statistik – unterhaltsam, aber kein Grund zur Panik.</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ist „exempt country“: Umtausch ohne Prüfung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Übergangsfristen (12 oder 18 Monate) ändern sich und sind unklar terminiert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neue Give-Way-Regel ähnelt der deutschen Vorfahrtslogik</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ist die größte motorische Umstellung des ganzen Umzugs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Landschaftlich reizvolle Nebenstraßen und Ein-Spur-Brücken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Unbefestigte Straßen sind oft von der Mietwagenversicherung ausgeschlossen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Alkoholgrenze (0,05 %) entspricht etwa der deutschen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ist seit 2022 deutlich teurer geworden (plus 56 %)</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Eigentümerwechsel läuft unbürokratisch online über die NZTA</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Handyverbot am Steuer wird mit Kamerapräsenz konsequent verfolgt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50"/>
        </w:numPr>
        <w:spacing w:lineRule="exact" w:line="288" w:before="0" w:after="60"/>
        <w:rPr/>
      </w:pPr>
      <w:r>
        <w:rPr>
          <w:rFonts w:eastAsia="Cambria" w:cs="Cambria"/>
          <w:b w:val="false"/>
          <w:bCs w:val="false"/>
          <w:i w:val="false"/>
          <w:iCs w:val="false"/>
          <w:sz w:val="22"/>
          <w:szCs w:val="22"/>
        </w:rPr>
        <w:t>Vor dem Abflug: englische Übersetzung des Führerscheins und Nachweis des Ausstellungsdatums klären.</w:t>
      </w:r>
    </w:p>
    <w:p>
      <w:pPr>
        <w:pStyle w:val="ListParagraph"/>
        <w:numPr>
          <w:ilvl w:val="0"/>
          <w:numId w:val="251"/>
        </w:numPr>
        <w:spacing w:lineRule="exact" w:line="288" w:before="0" w:after="60"/>
        <w:rPr/>
      </w:pPr>
      <w:r>
        <w:rPr>
          <w:rFonts w:eastAsia="Cambria" w:cs="Cambria"/>
          <w:b w:val="false"/>
          <w:bCs w:val="false"/>
          <w:i w:val="false"/>
          <w:iCs w:val="false"/>
          <w:sz w:val="22"/>
          <w:szCs w:val="22"/>
        </w:rPr>
        <w:t>In den ersten Wochen: Umtauschtermin bei einer autorisierten Stelle (z. B. AA) buchen, bevor die Übergangsfrist näher rückt.</w:t>
      </w:r>
    </w:p>
    <w:p>
      <w:pPr>
        <w:pStyle w:val="ListParagraph"/>
        <w:numPr>
          <w:ilvl w:val="0"/>
          <w:numId w:val="252"/>
        </w:numPr>
        <w:spacing w:lineRule="exact" w:line="288" w:before="0" w:after="60"/>
        <w:rPr/>
      </w:pPr>
      <w:r>
        <w:rPr>
          <w:rFonts w:eastAsia="Cambria" w:cs="Cambria"/>
          <w:b w:val="false"/>
          <w:bCs w:val="false"/>
          <w:i w:val="false"/>
          <w:iCs w:val="false"/>
          <w:sz w:val="22"/>
          <w:szCs w:val="22"/>
        </w:rPr>
        <w:t>Vor dem Autokauf: WoF und Fahrzeughistorie prüfen, mehrere Versicherungsangebote (Voll- und Teilkasko) vergleichen.</w:t>
      </w:r>
    </w:p>
    <w:p>
      <w:pPr>
        <w:pStyle w:val="ListParagraph"/>
        <w:numPr>
          <w:ilvl w:val="0"/>
          <w:numId w:val="253"/>
        </w:numPr>
        <w:spacing w:lineRule="exact" w:line="288" w:before="0" w:after="60"/>
        <w:rPr/>
      </w:pPr>
      <w:r>
        <w:rPr>
          <w:rFonts w:eastAsia="Cambria" w:cs="Cambria"/>
          <w:b w:val="false"/>
          <w:bCs w:val="false"/>
          <w:i w:val="false"/>
          <w:iCs w:val="false"/>
          <w:sz w:val="22"/>
          <w:szCs w:val="22"/>
        </w:rPr>
        <w:t>Ab dem ersten Fahrversuch: bewusst den Blick nach rechts beim Abbiegen üben, am besten zuerst auf ruhigen Straßen.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deutschen Führerscheins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Ausstellungsdatum (älter als 2 Jahre) eindeutig nachweisbar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Übergangsfrist (12 oder 18 Monate) bei der NZTA gegengeprüft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Umtausch bei einer autorisierten Stelle (z. B. AA)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Mietwagen- oder Kfz-Versicherung auf Ausschluss unbefestigter Straßen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Fahrzeughistorie und WoF vor dem Autokauf kontrolliert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Versicherungsangebote (Voll- und Teilkasko)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Eigentümerwechsel nach dem Kauf sofort online bei der NZTA 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Ein-Spur-Brücken-Beschilderung (Warndreieck, Vorfahrt-, eigenes Vorfahrtsschild)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geübt: erst nach rechts schauen, dann links abbiegen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NZ Transport Agency Waka Kotahi (NZTA) — Führerschein-Umtausch, Verkehrsregeln, Geschwindigkeitskameras (</w:t>
      </w:r>
      <w:hyperlink r:id="rId708">
        <w:r>
          <w:rPr>
            <w:rStyle w:val="ListLabel113"/>
            <w:rFonts w:eastAsia="Cambria" w:cs="Cambria"/>
            <w:b w:val="false"/>
            <w:bCs w:val="false"/>
            <w:i w:val="false"/>
            <w:iCs w:val="false"/>
            <w:color w:val="0563C1"/>
            <w:sz w:val="22"/>
            <w:szCs w:val="22"/>
            <w:u w:val="single"/>
          </w:rPr>
          <w:t>nzta.govt.nz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Automobile Association (AA) — Fahrzeugkauf, -prüfung und Umtauschstellen (</w:t>
      </w:r>
      <w:hyperlink r:id="rId709">
        <w:r>
          <w:rPr>
            <w:rStyle w:val="ListLabel113"/>
            <w:rFonts w:eastAsia="Cambria" w:cs="Cambria"/>
            <w:b w:val="false"/>
            <w:bCs w:val="false"/>
            <w:i w:val="false"/>
            <w:iCs w:val="false"/>
            <w:color w:val="0563C1"/>
            <w:sz w:val="22"/>
            <w:szCs w:val="22"/>
            <w:u w:val="single"/>
          </w:rPr>
          <w:t>aa.co.nz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Transport — Alkoholgrenzwerte und Verkehrssicherheit (</w:t>
      </w:r>
      <w:hyperlink r:id="rId710">
        <w:r>
          <w:rPr>
            <w:rStyle w:val="ListLabel113"/>
            <w:rFonts w:eastAsia="Cambria" w:cs="Cambria"/>
            <w:b w:val="false"/>
            <w:bCs w:val="false"/>
            <w:i w:val="false"/>
            <w:iCs w:val="false"/>
            <w:color w:val="0563C1"/>
            <w:sz w:val="22"/>
            <w:szCs w:val="22"/>
            <w:u w:val="single"/>
          </w:rPr>
          <w:t>transport.govt.nz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Protection, MBIE — Rechte beim Fahrzeugkauf (</w:t>
      </w:r>
      <w:hyperlink r:id="rId711">
        <w:r>
          <w:rPr>
            <w:rStyle w:val="ListLabel113"/>
            <w:rFonts w:eastAsia="Cambria" w:cs="Cambria"/>
            <w:b w:val="false"/>
            <w:bCs w:val="false"/>
            <w:i w:val="false"/>
            <w:iCs w:val="false"/>
            <w:color w:val="0563C1"/>
            <w:sz w:val="22"/>
            <w:szCs w:val="22"/>
            <w:u w:val="single"/>
          </w:rPr>
          <w:t>consumerprotection.govt.nz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Police — Verkehrsregeln, Bußgelder, Demeritpunkte (</w:t>
      </w:r>
      <w:hyperlink r:id="rId712">
        <w:r>
          <w:rPr>
            <w:rStyle w:val="ListLabel113"/>
            <w:rFonts w:eastAsia="Cambria" w:cs="Cambria"/>
            <w:b w:val="false"/>
            <w:bCs w:val="false"/>
            <w:i w:val="false"/>
            <w:iCs w:val="false"/>
            <w:color w:val="0563C1"/>
            <w:sz w:val="22"/>
            <w:szCs w:val="22"/>
            <w:u w:val="single"/>
          </w:rPr>
          <w:t>police.govt.nz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0" w:name="__RefHeading___Toc56620_3457424410"/>
      <w:bookmarkStart w:id="191" w:name="tnz11"/>
      <w:bookmarkEnd w:id="190"/>
      <w:r>
        <w:rPr>
          <w:rFonts w:eastAsia="Amazon Ember" w:cs="Amazon Ember" w:ascii="Amazon Ember" w:hAnsi="Amazon Ember"/>
          <w:b/>
          <w:bCs/>
          <w:color w:val="0000FF"/>
          <w:sz w:val="36"/>
          <w:szCs w:val="36"/>
        </w:rPr>
        <w:t>Neuseeland: Alltagskultur und Umgangsformen</w:t>
      </w:r>
      <w:bookmarkEnd w:id="1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begrüßt dich die Geschäftsführerin mit einem lockeren „Kia ora – nice to meet you“ und spricht dich vom ersten Satz an mit deinem Vornamen an: keine Krawatte, kein förmlicher Nachname. Du suchst instinktiv nach der unsichtbaren Hierarchie im Raum – und findest sie erst, als dir auffällt, dass die Chefin bei Besprechungen genauso am Konferenztisch sitzt wie alle anderen und ihren Kaffee selbst holt. Willkommen in einem der informellsten Länder der westlichen Welt.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gilt als eine der informellsten westlichen Gesellschaften: Vornamen sind Standard, auch beim Chef, Kleidung im Beruf ist lockerer als in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Kommunikationsstil ist konfliktvermeidender und indirekter als die deutsche Direktheit – Kritik kommt selten geradeheraus.</w:t>
            </w:r>
          </w:p>
          <w:p>
            <w:pPr>
              <w:pStyle w:val="ListParagraph"/>
              <w:numPr>
                <w:ilvl w:val="0"/>
                <w:numId w:val="1"/>
              </w:numPr>
              <w:spacing w:lineRule="exact" w:line="264" w:before="0" w:after="50"/>
              <w:rPr/>
            </w:pPr>
            <w:r>
              <w:rPr>
                <w:rFonts w:eastAsia="Cambria" w:cs="Cambria"/>
                <w:b w:val="false"/>
                <w:bCs w:val="false"/>
                <w:i w:val="false"/>
                <w:iCs w:val="false"/>
                <w:sz w:val="20"/>
                <w:szCs w:val="20"/>
              </w:rPr>
              <w:t>Te Ao Māori (die Māori-Weltsicht) prägt zunehmend den Alltag: Begrüßungen auf Te Reo Māori, Willkommenszeremonien im Job, respektvoller Umgang mit Māori-Bräuchen.</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stehen für eine entspannte Grundhaltung gegenüber Terminen und kleinen Pannen – das ist aber nicht mit Unzuverlässigkeit zu verwechseln.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geografische Isolation (nächster großer Nachbar Australien, rund 2.000 km entfernt) prägt Mentalität, Reiseplanung und den Kontakt zur Familie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Informalität: Vornamen, lockere Kleidung, flache Hierarchien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 oft als mehrmonatige bis mehrjährige </w:t>
      </w:r>
      <w:r>
        <w:rPr>
          <w:rFonts w:eastAsia="Cambria" w:cs="Cambria"/>
          <w:b w:val="false"/>
          <w:bCs w:val="false"/>
          <w:i/>
          <w:iCs/>
          <w:sz w:val="22"/>
          <w:szCs w:val="22"/>
        </w:rPr>
        <w:t>Overseas Experience</w:t>
      </w:r>
      <w:r>
        <w:rPr>
          <w:rFonts w:eastAsia="Cambria" w:cs="Cambria"/>
          <w:b w:val="false"/>
          <w:bCs w:val="false"/>
          <w:i w:val="false"/>
          <w:iCs w:val="false"/>
          <w:sz w:val="22"/>
          <w:szCs w:val="22"/>
        </w:rPr>
        <w:t xml:space="preserve"> (OE, ein Auslandsjahr als fester Bestandteil vieler Lebensläufe), meist in Europa oder Großbritannien. Das schafft auf beiden Seiten Verständnis fürs Auswandern und macht dich als Neuankömmling schneller zum Gesprächspartner als zum Exoten.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Begrüßung und Small Talk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Standardfrage im Vorbeigehen lautet „How’s it going?“ oder schlicht „Good day“ –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Kiwi-Slang begegnet dir dabei ständig: </w:t>
      </w:r>
      <w:r>
        <w:rPr>
          <w:rFonts w:eastAsia="Cambria" w:cs="Cambria"/>
          <w:b w:val="false"/>
          <w:bCs w:val="false"/>
          <w:i/>
          <w:iCs/>
          <w:sz w:val="22"/>
          <w:szCs w:val="22"/>
        </w:rPr>
        <w:t>Sweet as</w:t>
      </w:r>
      <w:r>
        <w:rPr>
          <w:rFonts w:eastAsia="Cambria" w:cs="Cambria"/>
          <w:b w:val="false"/>
          <w:bCs w:val="false"/>
          <w:i w:val="false"/>
          <w:iCs w:val="false"/>
          <w:sz w:val="22"/>
          <w:szCs w:val="22"/>
        </w:rPr>
        <w:t xml:space="preserve"> und </w:t>
      </w:r>
      <w:r>
        <w:rPr>
          <w:rFonts w:eastAsia="Cambria" w:cs="Cambria"/>
          <w:b w:val="false"/>
          <w:bCs w:val="false"/>
          <w:i/>
          <w:iCs/>
          <w:sz w:val="22"/>
          <w:szCs w:val="22"/>
        </w:rPr>
        <w:t>good as gold</w:t>
      </w:r>
      <w:r>
        <w:rPr>
          <w:rFonts w:eastAsia="Cambria" w:cs="Cambria"/>
          <w:b w:val="false"/>
          <w:bCs w:val="false"/>
          <w:i w:val="false"/>
          <w:iCs w:val="false"/>
          <w:sz w:val="22"/>
          <w:szCs w:val="22"/>
        </w:rPr>
        <w:t xml:space="preserve"> bedeuten einfach „gut“ oder „in Ordnung“, </w:t>
      </w:r>
      <w:r>
        <w:rPr>
          <w:rFonts w:eastAsia="Cambria" w:cs="Cambria"/>
          <w:b w:val="false"/>
          <w:bCs w:val="false"/>
          <w:i/>
          <w:iCs/>
          <w:sz w:val="22"/>
          <w:szCs w:val="22"/>
        </w:rPr>
        <w:t>choice</w:t>
      </w:r>
      <w:r>
        <w:rPr>
          <w:rFonts w:eastAsia="Cambria" w:cs="Cambria"/>
          <w:b w:val="false"/>
          <w:bCs w:val="false"/>
          <w:i w:val="false"/>
          <w:iCs w:val="false"/>
          <w:sz w:val="22"/>
          <w:szCs w:val="22"/>
        </w:rPr>
        <w:t xml:space="preserve"> ist eine Bestätigung im Sinne von „klasse“, und ein knappes </w:t>
      </w:r>
      <w:r>
        <w:rPr>
          <w:rFonts w:eastAsia="Cambria" w:cs="Cambria"/>
          <w:b w:val="false"/>
          <w:bCs w:val="false"/>
          <w:i/>
          <w:iCs/>
          <w:sz w:val="22"/>
          <w:szCs w:val="22"/>
        </w:rPr>
        <w:t>ta</w:t>
      </w:r>
      <w:r>
        <w:rPr>
          <w:rFonts w:eastAsia="Cambria" w:cs="Cambria"/>
          <w:b w:val="false"/>
          <w:bCs w:val="false"/>
          <w:i w:val="false"/>
          <w:iCs w:val="false"/>
          <w:sz w:val="22"/>
          <w:szCs w:val="22"/>
        </w:rPr>
        <w:t xml:space="preserve"> ersetzt oft ein ausführlicheres „thank you“. Diese Ausdrücke wirken für deutsche Ohren zunächst wie Satzfragmente –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Gegenüber unhöflich wäre, sondern weil hier gilt: Je weniger Worte für ein zufriedenes Ergebnis nötig sind, desto besser.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Nachbarn grüßen im Vorbeigehen, auch ohne dass man sich näher kennt; ein kurzes Winken oder Nicken reicht. Spontane Besuche sind seltener als ihr Ruf – auch in Neuseeland kündigt man sich meist kurz per Nachricht an, bevor man vorbeikommt.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Kommunikationsstil: Understatement statt Konfrontation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Neuseeländische Kommunikation gilt im internationalen Vergleich als deutlich konfliktvermeidender und indirekter als die als sehr direkt wahrgenommene deutsche Art. Wo ein deutscher Kollege sagen würde: „Das funktioniert so nicht“, hörst du in Neuseeland eher ein zurückhaltendes „yeah, nah“ (wörtlich „ja, nein“ – gemeint ist meist ein höfliches Nein) oder ein knappes „interesting approach“. Verbreiteter Irrtum: Viele deutsche Neuankömmlinge lesen diese Zurückhaltung als Unverbindlichkeit oder sogar als Zustimmung. Tatsächlich ist sie oft die höflichste Form der Ablehnung, die das Land kennt – wer genau hinhört und im Zweifel nachfragt, verpasst selten eine eigentlich klare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einfaches „no worries“ auf eine Bitte hin heißt fast immer Zustimmung, ein zögerliches „we’ll see“ dagegen häufig ein sanftes Nein. Verlasse dich im Zweifel nicht auf die wörtliche Übersetzung, sondern auf den Tonfall – und frage notfalls direkt nach, ob etwas als Zusage zu verstehen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Pr>
            <w:rStyle w:val="ListLabel113"/>
            <w:rFonts w:eastAsia="Cambria" w:cs="Cambria"/>
            <w:b w:val="false"/>
            <w:bCs w:val="false"/>
            <w:i w:val="false"/>
            <w:iCs w:val="false"/>
            <w:color w:val="0563C1"/>
            <w:sz w:val="22"/>
            <w:szCs w:val="22"/>
            <w:u w:val="single"/>
          </w:rPr>
          <w:t>Kapitel zur Arbeitswelt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 Ao Māori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versteht sich zunehmend als bikulturelles Land auf Grundlage des Vertrags von Waitangi (1840), des Gründungsdokuments zwischen der britischen Krone und Māori-Stammesführern. Für deinen Alltag bedeutet das konkret: Begrüßungsfloskeln aus dem </w:t>
      </w:r>
      <w:r>
        <w:rPr>
          <w:rFonts w:eastAsia="Cambria" w:cs="Cambria"/>
          <w:b w:val="false"/>
          <w:bCs w:val="false"/>
          <w:i/>
          <w:iCs/>
          <w:sz w:val="22"/>
          <w:szCs w:val="22"/>
        </w:rPr>
        <w:t>Te Reo Māori</w:t>
      </w:r>
      <w:r>
        <w:rPr>
          <w:rFonts w:eastAsia="Cambria" w:cs="Cambria"/>
          <w:b w:val="false"/>
          <w:bCs w:val="false"/>
          <w:i w:val="false"/>
          <w:iCs w:val="false"/>
          <w:sz w:val="22"/>
          <w:szCs w:val="22"/>
        </w:rPr>
        <w:t xml:space="preserve"> (der Māori-Sprache) sind allgegenwärtig. </w:t>
      </w:r>
      <w:r>
        <w:rPr>
          <w:rFonts w:eastAsia="Cambria" w:cs="Cambria"/>
          <w:b w:val="false"/>
          <w:bCs w:val="false"/>
          <w:i/>
          <w:iCs/>
          <w:sz w:val="22"/>
          <w:szCs w:val="22"/>
        </w:rPr>
        <w:t>Kia ora</w:t>
      </w:r>
      <w:r>
        <w:rPr>
          <w:rFonts w:eastAsia="Cambria" w:cs="Cambria"/>
          <w:b w:val="false"/>
          <w:bCs w:val="false"/>
          <w:i w:val="false"/>
          <w:iCs w:val="false"/>
          <w:sz w:val="22"/>
          <w:szCs w:val="22"/>
        </w:rPr>
        <w:t xml:space="preserve"> (etwa „sei gesund“ oder schlicht „hallo“) hörst du im Supermarkt genauso wie in offiziellen E-Mails; </w:t>
      </w:r>
      <w:r>
        <w:rPr>
          <w:rFonts w:eastAsia="Cambria" w:cs="Cambria"/>
          <w:b w:val="false"/>
          <w:bCs w:val="false"/>
          <w:i/>
          <w:iCs/>
          <w:sz w:val="22"/>
          <w:szCs w:val="22"/>
        </w:rPr>
        <w:t>Ngā mihi</w:t>
      </w:r>
      <w:r>
        <w:rPr>
          <w:rFonts w:eastAsia="Cambria" w:cs="Cambria"/>
          <w:b w:val="false"/>
          <w:bCs w:val="false"/>
          <w:i w:val="false"/>
          <w:iCs w:val="false"/>
          <w:sz w:val="22"/>
          <w:szCs w:val="22"/>
        </w:rPr>
        <w:t xml:space="preserve"> oder </w:t>
      </w:r>
      <w:r>
        <w:rPr>
          <w:rFonts w:eastAsia="Cambria" w:cs="Cambria"/>
          <w:b w:val="false"/>
          <w:bCs w:val="false"/>
          <w:i/>
          <w:iCs/>
          <w:sz w:val="22"/>
          <w:szCs w:val="22"/>
        </w:rPr>
        <w:t>Ngā mihi nui</w:t>
      </w:r>
      <w:r>
        <w:rPr>
          <w:rFonts w:eastAsia="Cambria" w:cs="Cambria"/>
          <w:b w:val="false"/>
          <w:bCs w:val="false"/>
          <w:i w:val="false"/>
          <w:iCs w:val="false"/>
          <w:sz w:val="22"/>
          <w:szCs w:val="22"/>
        </w:rPr>
        <w:t xml:space="preserve"> (Dank, Grüße) ist eine gängige Grußformel am Ende einer geschäftlichen Nachricht.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vielen Organisationen – zuerst Behörden, zunehmend auch Unternehmen – wirst du als neue Mitarbeiterin oder neuer Mitarbeiter mit einem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oder dem etwas kürzeren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willkommen geheißen: einer Zeremonie mit Reden (</w:t>
      </w:r>
      <w:r>
        <w:rPr>
          <w:rFonts w:eastAsia="Cambria" w:cs="Cambria"/>
          <w:b w:val="false"/>
          <w:bCs w:val="false"/>
          <w:i/>
          <w:iCs/>
          <w:sz w:val="22"/>
          <w:szCs w:val="22"/>
        </w:rPr>
        <w:t>Kōrero</w:t>
      </w:r>
      <w:r>
        <w:rPr>
          <w:rFonts w:eastAsia="Cambria" w:cs="Cambria"/>
          <w:b w:val="false"/>
          <w:bCs w:val="false"/>
          <w:i w:val="false"/>
          <w:iCs w:val="false"/>
          <w:sz w:val="22"/>
          <w:szCs w:val="22"/>
        </w:rPr>
        <w:t>), Gesang (</w:t>
      </w:r>
      <w:r>
        <w:rPr>
          <w:rFonts w:eastAsia="Cambria" w:cs="Cambria"/>
          <w:b w:val="false"/>
          <w:bCs w:val="false"/>
          <w:i/>
          <w:iCs/>
          <w:sz w:val="22"/>
          <w:szCs w:val="22"/>
        </w:rPr>
        <w:t>Waiata</w:t>
      </w:r>
      <w:r>
        <w:rPr>
          <w:rFonts w:eastAsia="Cambria" w:cs="Cambria"/>
          <w:b w:val="false"/>
          <w:bCs w:val="false"/>
          <w:i w:val="false"/>
          <w:iCs w:val="false"/>
          <w:sz w:val="22"/>
          <w:szCs w:val="22"/>
        </w:rPr>
        <w:t>) und einem kurzen einleitenden Ritual (</w:t>
      </w:r>
      <w:r>
        <w:rPr>
          <w:rFonts w:eastAsia="Cambria" w:cs="Cambria"/>
          <w:b w:val="false"/>
          <w:bCs w:val="false"/>
          <w:i/>
          <w:iCs/>
          <w:sz w:val="22"/>
          <w:szCs w:val="22"/>
        </w:rPr>
        <w:t>Karakia</w:t>
      </w:r>
      <w:r>
        <w:rPr>
          <w:rFonts w:eastAsia="Cambria" w:cs="Cambria"/>
          <w:b w:val="false"/>
          <w:bCs w:val="false"/>
          <w:i w:val="false"/>
          <w:iCs w:val="false"/>
          <w:sz w:val="22"/>
          <w:szCs w:val="22"/>
        </w:rPr>
        <w:t>), das oft nicht länger als eine halbe Minute dauert. Auch viele Besprechungen werden mit einer Karakia eröffnet oder beendet – ein kurzer, meist ruhiger Moment, den du respektvoll mitträgst, auch wenn du die Worte nicht verstehst.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Besuchst du eine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(den traditionellen Versammlungsort eines Māori-Stammes mit Versammlungshaus, dem </w:t>
      </w:r>
      <w:r>
        <w:rPr>
          <w:rFonts w:eastAsia="Cambria" w:cs="Cambria"/>
          <w:b w:val="false"/>
          <w:bCs w:val="false"/>
          <w:i/>
          <w:iCs/>
          <w:sz w:val="22"/>
          <w:szCs w:val="22"/>
        </w:rPr>
        <w:t>Wharenui</w:t>
      </w:r>
      <w:r>
        <w:rPr>
          <w:rFonts w:eastAsia="Cambria" w:cs="Cambria"/>
          <w:b w:val="false"/>
          <w:bCs w:val="false"/>
          <w:i w:val="false"/>
          <w:iCs w:val="false"/>
          <w:sz w:val="22"/>
          <w:szCs w:val="22"/>
        </w:rPr>
        <w:t>), gelten eigene Umgangsformen: Schuhe bleiben meist vor dem Versammlungshaus, du wartest auf die formelle Begrüßung, bevor du eintrittst, und isst in der Regel nicht im Wharenui selbst. Wie der Ablauf im Einzelfall genau aussieht, erklärt dir meist jemand vom gastgebenden Stamm vor Ort – frag lieber einmal zu viel, als etwas falsch zu machen. Der Grundton ist überall derselbe: Respekt vor dem Ritual zählt mehr als perfekte Aussprache.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außerhalb von Zeremonien begegnet dir Te Ao Māori im Berufsalltag: Projekte, Rollen und ganze Behörden tragen zunehmend Māori-Namen neben oder statt der englischen Bezeichnung, und viele Besprechungen eröffnen mit einem kurzen </w:t>
      </w:r>
      <w:r>
        <w:rPr>
          <w:rFonts w:eastAsia="Cambria" w:cs="Cambria"/>
          <w:b w:val="false"/>
          <w:bCs w:val="false"/>
          <w:i/>
          <w:iCs/>
          <w:sz w:val="22"/>
          <w:szCs w:val="22"/>
        </w:rPr>
        <w:t>Whakataukī</w:t>
      </w:r>
      <w:r>
        <w:rPr>
          <w:rFonts w:eastAsia="Cambria" w:cs="Cambria"/>
          <w:b w:val="false"/>
          <w:bCs w:val="false"/>
          <w:i w:val="false"/>
          <w:iCs w:val="false"/>
          <w:sz w:val="22"/>
          <w:szCs w:val="22"/>
        </w:rPr>
        <w:t xml:space="preserve"> (einem traditionellen Sprichwort), das den Ton für das Treffen setzt. Von dir wird dabei keine eigene Übersetzung oder gar ein eigener Redebeitrag auf Te Reo Māori erwartet – aufmerksames Zuhören und die grundsätzliche Bereitschaft, sich auf diese Ebene der Organisation einzulassen, genügen.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musst kein Māori sprechen, um dich richtig zu verhalten. Es reicht, Begrüßungen wie „Kia ora“ zu übernehmen, Zeremonien aufmerksam mitzutragen und bei Unsicherheit einfach zu fragen, statt zu improvisieren.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Petra Krüger (fiktiv), Tierärztin, betreut in Canterbury auch einen Hof, der einer Māori-Genossenschaft (</w:t>
            </w:r>
            <w:r>
              <w:rPr>
                <w:rFonts w:eastAsia="Cambria" w:cs="Cambria"/>
                <w:b w:val="false"/>
                <w:bCs w:val="false"/>
                <w:i/>
                <w:iCs/>
                <w:sz w:val="20"/>
                <w:szCs w:val="20"/>
              </w:rPr>
              <w:t>Trust</w:t>
            </w:r>
            <w:r>
              <w:rPr>
                <w:rFonts w:eastAsia="Cambria" w:cs="Cambria"/>
                <w:b w:val="false"/>
                <w:bCs w:val="false"/>
                <w:i w:val="false"/>
                <w:iCs w:val="false"/>
                <w:sz w:val="20"/>
                <w:szCs w:val="20"/>
              </w:rPr>
              <w:t>) gehört. Zum Antrittsbesuch wird sie mit einem kurzen Mihi Whakatau begrüßt, bevor überhaupt über Impfpläne für die Herde gesprochen wird. Anfangs findet sie das ungewohnt förmlich für einen reinen Arbeitstermin; nach ein paar Monaten merkt sie, dass ausgerechnet dieser kurze, respektvolle Auftakt die spätere Zusammenarbeit leichter macht als jede direkte Sachfrage zum 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worries“-Lässigkeit und Termine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entspannte Grundhaltung, für die Neuseeland ähnlich wie Australien bekannt ist, zeigt sich am deutlichsten im Umgang mit kleinen Pannen und Terminen. </w:t>
      </w:r>
      <w:r>
        <w:rPr>
          <w:rFonts w:eastAsia="Cambria" w:cs="Cambria"/>
          <w:b w:val="false"/>
          <w:bCs w:val="false"/>
          <w:i/>
          <w:iCs/>
          <w:sz w:val="22"/>
          <w:szCs w:val="22"/>
        </w:rPr>
        <w:t>No worries</w:t>
      </w:r>
      <w:r>
        <w:rPr>
          <w:rFonts w:eastAsia="Cambria" w:cs="Cambria"/>
          <w:b w:val="false"/>
          <w:bCs w:val="false"/>
          <w:i w:val="false"/>
          <w:iCs w:val="false"/>
          <w:sz w:val="22"/>
          <w:szCs w:val="22"/>
        </w:rPr>
        <w:t xml:space="preserve"> ist die Standardantwort auf fast alles –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dass „about ten minutes“ auch fünfzehn oder fünfundzwanzig bedeuten kann, ohne dass irgendjemand darin ein Problem sieht.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So entspannt der Ton im Alltag ist – bei Fristen der Einwanderungsbehörde, der Steuerbehörde </w:t>
            </w:r>
            <w:r>
              <w:rPr>
                <w:rFonts w:eastAsia="Cambria" w:cs="Cambria"/>
                <w:b w:val="false"/>
                <w:bCs w:val="false"/>
                <w:i/>
                <w:iCs/>
                <w:sz w:val="20"/>
                <w:szCs w:val="20"/>
              </w:rPr>
              <w:t>Inland Revenue</w:t>
            </w:r>
            <w:r>
              <w:rPr>
                <w:rFonts w:eastAsia="Cambria" w:cs="Cambria"/>
                <w:b w:val="false"/>
                <w:bCs w:val="false"/>
                <w:i w:val="false"/>
                <w:iCs w:val="false"/>
                <w:sz w:val="20"/>
                <w:szCs w:val="20"/>
              </w:rPr>
              <w:t xml:space="preserve"> (IRD) oder im Mietvertrag zählt Pünktlichkeit wie in Deutschland. Verwechsle die lässige Sprache nicht mit lässigen Konsequenzen: Ein verspätetes Formular bleibt ein verspätetes Formular, so freundlich die Rückmeldung dazu auch klingen mag.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Arbeitsleben, Pausenkultur und Wochenende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im Berufsalltag zeigt sich die entspanntere Grundhaltung, ohne dass die Arbeit dadurch weniger ernst genommen wird. Die informelle Kaffee- oder Teepause zwischendurch trägt vielerorts noch den traditionellen Namen </w:t>
      </w:r>
      <w:r>
        <w:rPr>
          <w:rFonts w:eastAsia="Cambria" w:cs="Cambria"/>
          <w:b w:val="false"/>
          <w:bCs w:val="false"/>
          <w:i/>
          <w:iCs/>
          <w:sz w:val="22"/>
          <w:szCs w:val="22"/>
        </w:rPr>
        <w:t>Smoko</w:t>
      </w:r>
      <w:r>
        <w:rPr>
          <w:rFonts w:eastAsia="Cambria" w:cs="Cambria"/>
          <w:b w:val="false"/>
          <w:bCs w:val="false"/>
          <w:i w:val="false"/>
          <w:iCs w:val="false"/>
          <w:sz w:val="22"/>
          <w:szCs w:val="22"/>
        </w:rPr>
        <w:t xml:space="preserve"> (ursprünglich die Raucherpause, heute meist eine kurze gemeinsame Pause ohne Zigarette) und ist ein fester, akzeptierter Bestandteil des Arbeitstages, gerade in handwerklichen und landwirtschaftlichen Berufen. Nach Feierabend sind spontane </w:t>
      </w:r>
      <w:r>
        <w:rPr>
          <w:rFonts w:eastAsia="Cambria" w:cs="Cambria"/>
          <w:b w:val="false"/>
          <w:bCs w:val="false"/>
          <w:i/>
          <w:iCs/>
          <w:sz w:val="22"/>
          <w:szCs w:val="22"/>
        </w:rPr>
        <w:t>Friday Drinks</w:t>
      </w:r>
      <w:r>
        <w:rPr>
          <w:rFonts w:eastAsia="Cambria" w:cs="Cambria"/>
          <w:b w:val="false"/>
          <w:bCs w:val="false"/>
          <w:i w:val="false"/>
          <w:iCs w:val="false"/>
          <w:sz w:val="22"/>
          <w:szCs w:val="22"/>
        </w:rPr>
        <w:t xml:space="preserve"> mit dem Team verbreitet – ein informelles Getränk zum Wochenausklang, oft direkt im Büro oder in der nächsten Bar, ohne festes Protokoll oder Ansprache.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Wochenende selbst gehört in weiten Teilen des Landes der Natur: Wandern (</w:t>
      </w:r>
      <w:r>
        <w:rPr>
          <w:rFonts w:eastAsia="Cambria" w:cs="Cambria"/>
          <w:b w:val="false"/>
          <w:bCs w:val="false"/>
          <w:i/>
          <w:iCs/>
          <w:sz w:val="22"/>
          <w:szCs w:val="22"/>
        </w:rPr>
        <w:t>Tramping</w:t>
      </w:r>
      <w:r>
        <w:rPr>
          <w:rFonts w:eastAsia="Cambria" w:cs="Cambria"/>
          <w:b w:val="false"/>
          <w:bCs w:val="false"/>
          <w:i w:val="false"/>
          <w:iCs w:val="false"/>
          <w:sz w:val="22"/>
          <w:szCs w:val="22"/>
        </w:rPr>
        <w:t>), Strand, Garten und ein gemeinsames Grillen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kurz </w:t>
      </w:r>
      <w:r>
        <w:rPr>
          <w:rFonts w:eastAsia="Cambria" w:cs="Cambria"/>
          <w:b w:val="false"/>
          <w:bCs w:val="false"/>
          <w:i/>
          <w:iCs/>
          <w:sz w:val="22"/>
          <w:szCs w:val="22"/>
        </w:rPr>
        <w:t>BBQ</w:t>
      </w:r>
      <w:r>
        <w:rPr>
          <w:rFonts w:eastAsia="Cambria" w:cs="Cambria"/>
          <w:b w:val="false"/>
          <w:bCs w:val="false"/>
          <w:i w:val="false"/>
          <w:iCs w:val="false"/>
          <w:sz w:val="22"/>
          <w:szCs w:val="22"/>
        </w:rP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zum Aufbau echter Freundschaften darüber hinaus liest du im </w:t>
      </w:r>
      <w:hyperlink w:anchor="tnz12">
        <w:r>
          <w:rPr>
            <w:rStyle w:val="ListLabel113"/>
            <w:rFonts w:eastAsia="Cambria" w:cs="Cambria"/>
            <w:b w:val="false"/>
            <w:bCs w:val="false"/>
            <w:i w:val="false"/>
            <w:iCs w:val="false"/>
            <w:color w:val="0563C1"/>
            <w:sz w:val="22"/>
            <w:szCs w:val="22"/>
            <w:u w:val="single"/>
          </w:rPr>
          <w:t>Kapitel zu Freundschaften und Kulturschock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Geografische Isolation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gegenüber Nachrichten aus der übrigen Welt, die ohnehin erst mit Verzögerung ankommen.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Flüge nach Deutschland so früh wie möglich und lege, wenn der Zeitplan es zulässt, einen längeren Zwischenstopp ein statt eines reinen Umsteigezwischenstopps – etwa in Singapur, Dubai oder Hongkong. Das unterbricht die lange Reise wenigstens einmal angenehm, statt sie in einem einzigen Flugmarathon durchzustehen.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richtet nach dem Umzug nach Christchurch einen festen Videotelefonie-Termin mit den Großeltern in Rostock ein: sonntags neuseeländische Frühstückszeit, deutscher Samstagabend. Anfangs vermisst Sohn Finn, 8, vor allem den direkten Vergleich mit Freunden von zu Hause; nach ein paar Monaten erzählt er lieber von den Schafen auf dem Nachbargrundstück als von der Zeitverschiebung. Sebastian und Petra gewöhnen sich daran, dass ein schneller Rat vom Hausarzt in Deutschland künftig einen Tag Wartezeit bedeutet – nicht wegen der Entfernung an sich, sondern wegen der Uhrzeit dazwischen.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Neuseeländer an Deutschen schätzen und was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Erfahrungsberichten, keine Messwerte, und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 eine Eigenschaft, die im entspannten neuseeländischen Alltag durchaus mit Respekt beobachtet wird, solange sie nicht zur Besserwisserei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 wirkt auf Neuseeländer schnell überzogen; Humor über die eigene Verwirrung kommt fast immer besser an als eine Beschwerde.</w:t>
      </w:r>
    </w:p>
    <w:tbl>
      <w:tblPr>
        <w:tblW w:w="6480" w:type="dxa"/>
        <w:jc w:val="left"/>
        <w:tblInd w:w="0" w:type="dxa"/>
        <w:tblLayout w:type="fixed"/>
        <w:tblCellMar>
          <w:top w:w="50" w:type="dxa"/>
          <w:left w:w="80" w:type="dxa"/>
          <w:bottom w:w="50" w:type="dxa"/>
          <w:right w:w="80" w:type="dxa"/>
        </w:tblCellMar>
      </w:tblPr>
      <w:tblGrid>
        <w:gridCol w:w="1734"/>
        <w:gridCol w:w="1459"/>
        <w:gridCol w:w="1552"/>
        <w:gridCol w:w="1734"/>
      </w:tblGrid>
      <w:tr>
        <w:trPr>
          <w:tblHeader w:val="true"/>
          <w:cantSplit w:val="true"/>
        </w:trPr>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Neuseeland</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 im Beruf</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Nachname, oft mit Titel</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auch beim Chef</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anbieten, Titel meiden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äußern</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 oft als Frage verpackt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Anerkennung, dann vorsichtig fragen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Verspätung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Entschuldigung mit Grund erwartet</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„sorry“, „no worries“ reicht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überrechtfertigen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Meeting-Eröffnung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Sachlicher Einstieg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Karakia oder kurze Māori-Begrüßung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Aufmerksam mittragen, nicht kommentieren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Neuseeländisches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neuseeländische Alltagston mit seiner eigenen Sprechmelodie und Māori-Lehnwörtern (siehe oben) klingt trotzdem anfangs ungewohnt. Bücher mit einfacher, dialoggetriebener Prosa bauen Wortschatz am schnellsten auf: Stephen King, John Grisham oder Lee Child eignen sich unabhängig vom Zielland. Die „Accent Expert“-Reihe von WIRED auf YouTube (Dialektcoach Erik Singer) erklärt anschaulich, woran du neuseeländisches von australischem und amerikanischem Englisch unterscheidest – für ungeübte Ohren klingen die beiden Südhalbkugel-Akzente zunächst ähnlich, Kiwis selbst hören den Unterschied sofort.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zwei neuseeländische Filme besonders gut: „What We Do in the Shadows“ (Taika-Waititi-Klassiker, auf Amazon Prime Video Deutschland mit deutscher und englischer Tonspur) und „Hunt for the Wilderpeople“ (ebenfalls Waititi, bei Netflix oder Amazon oft im Angebot).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nz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64"/>
        <w:gridCol w:w="3315"/>
      </w:tblGrid>
      <w:tr>
        <w:trPr>
          <w:tblHeader w:val="true"/>
          <w:cantSplit w:val="true"/>
        </w:trPr>
        <w:tc>
          <w:tcPr>
            <w:tcW w:w="31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 unkomplizierte Kontakte im Alltag</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Echte Nähe braucht trotzdem Zeit (siehe das </w:t>
            </w:r>
            <w:hyperlink w:anchor="tnz12">
              <w:r>
                <w:rPr>
                  <w:rStyle w:val="ListLabel117"/>
                  <w:rFonts w:eastAsia="Cambria" w:cs="Cambria"/>
                  <w:b w:val="false"/>
                  <w:bCs w:val="false"/>
                  <w:i w:val="false"/>
                  <w:iCs w:val="false"/>
                  <w:color w:val="0563C1"/>
                  <w:sz w:val="18"/>
                  <w:szCs w:val="18"/>
                  <w:u w:val="single"/>
                </w:rPr>
                <w:t>Kapitel zu Freundschaften in diesem Teil</w:t>
              </w:r>
            </w:hyperlink>
            <w:r>
              <w:rPr>
                <w:rFonts w:eastAsia="Cambria" w:cs="Cambria"/>
                <w:b w:val="false"/>
                <w:bCs w:val="false"/>
                <w:i w:val="false"/>
                <w:iCs w:val="false"/>
                <w:sz w:val="18"/>
                <w:szCs w:val="18"/>
              </w:rPr>
              <w:t>)</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Hierarchie-Theater im Job</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richtig zu deuten braucht Übung</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Bikulturelle Rituale schaffen Zugehörigkeit</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Te Ao Māori ignoriert, wirkt schnell respektlos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Entspannter Umgang mit kleinen Pannen</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Gelassenheit kann bei echten Problemen wie Trägheit wirken</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Beeindruckende Natur direkt vor der Haustür</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Geografische Isolation erschwert spontane Deutschlandbesuche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Beobachte in den ersten Wochen bewusst, wie Kolleginnen und Nachbarn Kritik formulieren, wie Meetings eröffnet werden und wie selbstverständlich Vornamen fallen. Übernimm das Muster, statt es zu bewerten, und plane den Kontakt nach Deutschland von Anfang an mit fester Zeitverschiebung statt mit Spontaneität.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Vornamen-Anrede im neuen Job und unter Nachbarn von Anfang an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Grundbegriffe auf Te Reo Māori (Kia ora, Ngā mihi) eingeübt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Pōwhiri oder Karakia im Job vorab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Kritik bewusst indirekter formuliert, mit Frage statt Feststellung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Zurückhaltende Antworten („yeah, nah“, „we’ll see“) richtig eingeordnet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Videotelefonie-Termin mit der Familie in Deutschland unter Berücksichtigung der Zeitverschiebung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Reisebudget und Vorlaufzeit für Deutschlandbesuche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Marae-Besuchen vorab nach den geltenden Umgangsformen 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 Puni Kōkiri (Ministerium für Māori-Entwicklung) — Te Ao Māori im Alltag und am Arbeitsplatz (</w:t>
      </w:r>
      <w:hyperlink r:id="rId713">
        <w:r>
          <w:rPr>
            <w:rStyle w:val="ListLabel113"/>
            <w:rFonts w:eastAsia="Cambria" w:cs="Cambria"/>
            <w:b w:val="false"/>
            <w:bCs w:val="false"/>
            <w:i w:val="false"/>
            <w:iCs w:val="false"/>
            <w:color w:val="0563C1"/>
            <w:sz w:val="22"/>
            <w:szCs w:val="22"/>
            <w:u w:val="single"/>
          </w:rPr>
          <w:t>tpk.govt.nz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Now, Immigration New Zealand — Einleben und Alltagskultur (</w:t>
      </w:r>
      <w:hyperlink r:id="rId714">
        <w:r>
          <w:rPr>
            <w:rStyle w:val="ListLabel113"/>
            <w:rFonts w:eastAsia="Cambria" w:cs="Cambria"/>
            <w:b w:val="false"/>
            <w:bCs w:val="false"/>
            <w:i w:val="false"/>
            <w:iCs w:val="false"/>
            <w:color w:val="0563C1"/>
            <w:sz w:val="22"/>
            <w:szCs w:val="22"/>
            <w:u w:val="single"/>
          </w:rPr>
          <w:t>newzealand.govt.nz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for Culture and Heritage — Vertrag von Waitangi, Te Reo Māori (</w:t>
      </w:r>
      <w:hyperlink r:id="rId715">
        <w:r>
          <w:rPr>
            <w:rStyle w:val="ListLabel113"/>
            <w:rFonts w:eastAsia="Cambria" w:cs="Cambria"/>
            <w:b w:val="false"/>
            <w:bCs w:val="false"/>
            <w:i w:val="false"/>
            <w:iCs w:val="false"/>
            <w:color w:val="0563C1"/>
            <w:sz w:val="22"/>
            <w:szCs w:val="22"/>
            <w:u w:val="single"/>
          </w:rPr>
          <w:t>mch.govt.nz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Stats NZ — Bevölkerung, Herkunft und Lebensverhältnisse (</w:t>
      </w:r>
      <w:hyperlink r:id="rId716">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langsamer als Zahlen und Fristen, sind aber Tendenzen und keine Messwerte: Wahrnehmungen zu Kommunikationsstil und Umgangsformen schwanken je nach Region, Branche und Generation. Prüfe im Zweifel, etwa vor einem Pōwhiri, direkt bei den Beteiligten vor Ort nach.</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2" w:name="__RefHeading___Toc56622_3457424410"/>
      <w:bookmarkStart w:id="193" w:name="tnz12"/>
      <w:bookmarkEnd w:id="192"/>
      <w:r>
        <w:rPr>
          <w:rFonts w:eastAsia="Amazon Ember" w:cs="Amazon Ember" w:ascii="Amazon Ember" w:hAnsi="Amazon Ember"/>
          <w:b/>
          <w:bCs/>
          <w:color w:val="0000FF"/>
          <w:sz w:val="36"/>
          <w:szCs w:val="36"/>
        </w:rPr>
        <w:t>Neuseeland: Freunde finden und der Kulturschock der Distanz</w:t>
      </w:r>
      <w:bookmarkEnd w:id="1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Kia ora, how’s it going?“ ruft die Nachbarin über den niedrigen Gartenzaun, während sie in Jandals (den hier allgegenwärtigen Flip-Flops) zum Briefkasten schlurft. Eine ausführliche Antwort erwartet sie nicht – „Kia ora“ (der Māori-Gruß, mittlerweile fester Bestandteil des neuseeländischen Alltagsenglisch für „Hallo“) plus ein knappes „Good, thanks“ reicht vollkommen. Komplizierter wird es abends, wenn du im Kopf nachrechnest, wie spät es gerade bei den Eltern in Deutschland ist, und merkst: Neuseeland ist nicht einfach „noch etwas weiter weg als Australien“, sondern, nüchtern betrachtet, ziemlich am anderen Ende der Welt – und genau das prägt Freundschaften und Heimweh hier auf eine Weise, die kein anderes Ziel dieses Buches in dieser Deutlichkeit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 Freundlichkeit ist echt, aber zurückhaltend: Kiwis öffnen die Tür bereitwillig, laden seltener spontan ins Wohnzimmer ein, als es sich im ersten Moment anfühlt.</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(vor allem Rugby und Netball), Krabbelgruppen, Freiwilligenarbeit bei Feuerwehr oder Nachbarschaftswache und der Kontakt über die eigenen Kinder sind die verlässlichsten Wege zu festen Bekanntschaften.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Infrastruktur konzentriert sich auf Wellington; Auckland hat wenig, Christchurch fast nichts – abseits davon bist du überwiegend auf dich gestellt.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für deutsche Verhältnisse extrem weit weg: keine Direktflüge, meist 24 bis 27 Stunden Reisezeit, 10 bis 12 Stunden Zeitverschiebung – eine Distanz, die noch über der Australiens liegt.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verschärft durch ein Weihnachtsfest am Strand statt am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Bei anhaltender Erschöpfung oder Einsamkeit gibt es rund um die Uhr erreichbare, kostenlose Hilfe.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Kiwi-Freundlichkeit: höflich, zurückhaltend,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gilt als eine der informellsten westlichen Gesellschaften überhaupt: Vornamen-Anrede ist Standard, auch gegenüber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 ein deutlicher Unterschied zur als sehr direkt wahrgenommenen deutschen Gesprächskultur. Kritik wird selten offen ausgesprochen, Ablehnung selten klar formuliert; „yeah, maybe“ bedeutet in vielen Zusammenhängen ein höfliches Nein, kein vages Vielleicht.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stellen sich Neuseeländer als eine Art ruhigere Kopie der Australier vor –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 oder umgekehrt beiläufige Freundlichkeit als festen Freundschaftsantrag. Die Realität liegt dazwischen: freundlich, aber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 für diese Grundhaltung ist die Redewendung „she’ll be right“ (sinngemäß „wird schon werden“), die auf beinahe jedes Problem angewendet wird, vom verspäteten Bus bis zur undichten Wasserleitung. Verwandt damit ist die sogenannte </w:t>
      </w:r>
      <w:r>
        <w:rPr>
          <w:rFonts w:eastAsia="Cambria" w:cs="Cambria"/>
          <w:b w:val="false"/>
          <w:bCs w:val="false"/>
          <w:i/>
          <w:iCs/>
          <w:sz w:val="22"/>
          <w:szCs w:val="22"/>
        </w:rPr>
        <w:t>No.-8-wire</w:t>
      </w:r>
      <w:r>
        <w:rPr>
          <w:rFonts w:eastAsia="Cambria" w:cs="Cambria"/>
          <w:b w:val="false"/>
          <w:bCs w:val="false"/>
          <w:i w:val="false"/>
          <w:iCs w:val="false"/>
          <w:sz w:val="22"/>
          <w:szCs w:val="22"/>
        </w:rPr>
        <w:t>-Mentalität (benannt nach dem Standard-Zaundraht, mit dem findige Farmer früher praktisch alles reparierten) – ein tief verwurzelter Stolz 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entspanntes „Kia ora“ oder „How’s it going?“ ist ein Türöffner, keine Einladung ins Wohnzimmer. Nimm die erste Freundlichkeit dankbar an, erwarte die eigentliche Freundschaft aber erst nach mehreren Wiederholungen desselben Kontakts.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spezifisch neuseeländische Ebene bildet </w:t>
      </w:r>
      <w:r>
        <w:rPr>
          <w:rFonts w:eastAsia="Cambria" w:cs="Cambria"/>
          <w:b w:val="false"/>
          <w:bCs w:val="false"/>
          <w:i/>
          <w:iCs/>
          <w:sz w:val="22"/>
          <w:szCs w:val="22"/>
        </w:rPr>
        <w:t>Te Ao Māori</w:t>
      </w:r>
      <w:r>
        <w:rPr>
          <w:rFonts w:eastAsia="Cambria" w:cs="Cambria"/>
          <w:b w:val="false"/>
          <w:bCs w:val="false"/>
          <w:i w:val="false"/>
          <w:iCs w:val="false"/>
          <w:sz w:val="22"/>
          <w:szCs w:val="22"/>
        </w:rPr>
        <w:t xml:space="preserve"> (die Māori-Weltsicht), die im Alltag präsenter ist, als viele Neuankömmlinge erwarten. Neue Mitarbeitende werden in manchen Organisationen mit einem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oder einer formelleren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(Willkommenszeremonie mit Reden, Liedern und einem kurzen einleitenden Ritual, der </w:t>
      </w:r>
      <w:r>
        <w:rPr>
          <w:rFonts w:eastAsia="Cambria" w:cs="Cambria"/>
          <w:b w:val="false"/>
          <w:bCs w:val="false"/>
          <w:i/>
          <w:iCs/>
          <w:sz w:val="22"/>
          <w:szCs w:val="22"/>
        </w:rPr>
        <w:t>Karakia</w:t>
      </w:r>
      <w:r>
        <w:rPr>
          <w:rFonts w:eastAsia="Cambria" w:cs="Cambria"/>
          <w:b w:val="false"/>
          <w:bCs w:val="false"/>
          <w:i w:val="false"/>
          <w:iCs w:val="false"/>
          <w:sz w:val="22"/>
          <w:szCs w:val="22"/>
        </w:rPr>
        <w:t>) begrüßt; Meetings beginnen und enden in vielen Behörden und zunehmend auch Unternehmen mit einer kurzen Karakia. Wer diesen Ritualen mit echtem Respekt statt mit Verlegenheit begegnet, gewinnt dabei überraschend oft die ersten Sympathiepunkte im neuen Job – ein Baustein für spätere Freundschaften, der in keinem anderen Land dieses Buches eine vergleichbare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Rugby ist mehr als Sport – die </w:t>
      </w:r>
      <w:r>
        <w:rPr>
          <w:rFonts w:eastAsia="Cambria" w:cs="Cambria"/>
          <w:b w:val="false"/>
          <w:bCs w:val="false"/>
          <w:i/>
          <w:iCs/>
          <w:sz w:val="22"/>
          <w:szCs w:val="22"/>
        </w:rPr>
        <w:t>All Blacks</w:t>
      </w:r>
      <w:r>
        <w:rPr>
          <w:rFonts w:eastAsia="Cambria" w:cs="Cambria"/>
          <w:b w:val="false"/>
          <w:bCs w:val="false"/>
          <w:i w:val="false"/>
          <w:iCs w:val="false"/>
          <w:sz w:val="22"/>
          <w:szCs w:val="22"/>
        </w:rPr>
        <w:t xml:space="preserve"> sind identitätsstiftend, und ein örtlicher Rugbyclub ist fast überall im Land ein sicherer sozialer Ankerpunkt, auch für Zugezogene ohne jede Ballerfahrung. Fast ebenso präsent ist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in Neuseeland überwiegend, wenn auch nicht ausschließlich, von Frauen und Mädchen gespielt und mit eigenen Ligen bis in kleinste Orte organisiert. Wer weniger Kontaktsport sucht, findet in </w:t>
      </w:r>
      <w:r>
        <w:rPr>
          <w:rFonts w:eastAsia="Cambria" w:cs="Cambria"/>
          <w:b w:val="false"/>
          <w:bCs w:val="false"/>
          <w:i/>
          <w:iCs/>
          <w:sz w:val="22"/>
          <w:szCs w:val="22"/>
        </w:rPr>
        <w:t>Touch</w:t>
      </w:r>
      <w:r>
        <w:rPr>
          <w:rFonts w:eastAsia="Cambria" w:cs="Cambria"/>
          <w:b w:val="false"/>
          <w:bCs w:val="false"/>
          <w:i w:val="false"/>
          <w:iCs w:val="false"/>
          <w:sz w:val="22"/>
          <w:szCs w:val="22"/>
        </w:rPr>
        <w:t xml:space="preserve">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w:t>
      </w:r>
      <w:r>
        <w:rPr>
          <w:rFonts w:eastAsia="Cambria" w:cs="Cambria"/>
          <w:b w:val="false"/>
          <w:bCs w:val="false"/>
          <w:i/>
          <w:iCs/>
          <w:sz w:val="22"/>
          <w:szCs w:val="22"/>
        </w:rPr>
        <w:t>Tramping</w:t>
      </w:r>
      <w:r>
        <w:rPr>
          <w:rFonts w:eastAsia="Cambria" w:cs="Cambria"/>
          <w:b w:val="false"/>
          <w:bCs w:val="false"/>
          <w:i w:val="false"/>
          <w:iCs w:val="false"/>
          <w:sz w:val="22"/>
          <w:szCs w:val="22"/>
        </w:rPr>
        <w:t xml:space="preserve"> (Wandern über mehrere Tage, meist mit Hüttenübernachtung – ein eigenes neuseeländisches Wort, keine wörtliche Übersetzung von „trampen“) hat landesweit organisierte Clubs mit regelmäßigen Gruppentouren.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mit kleinen Kindern ist </w:t>
      </w:r>
      <w:r>
        <w:rPr>
          <w:rFonts w:eastAsia="Cambria" w:cs="Cambria"/>
          <w:b w:val="false"/>
          <w:bCs w:val="false"/>
          <w:i/>
          <w:iCs/>
          <w:sz w:val="22"/>
          <w:szCs w:val="22"/>
        </w:rPr>
        <w:t>Plunket</w:t>
      </w:r>
      <w:r>
        <w:rPr>
          <w:rFonts w:eastAsia="Cambria" w:cs="Cambria"/>
          <w:b w:val="false"/>
          <w:bCs w:val="false"/>
          <w:i w:val="false"/>
          <w:iCs w:val="false"/>
          <w:sz w:val="22"/>
          <w:szCs w:val="22"/>
        </w:rPr>
        <w:t xml:space="preserve">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w:t>
      </w:r>
      <w:r>
        <w:rPr>
          <w:rFonts w:eastAsia="Cambria" w:cs="Cambria"/>
          <w:b w:val="false"/>
          <w:bCs w:val="false"/>
          <w:i/>
          <w:iCs/>
          <w:sz w:val="22"/>
          <w:szCs w:val="22"/>
        </w:rPr>
        <w:t>Neighbourhood Support</w:t>
      </w:r>
      <w:r>
        <w:rPr>
          <w:rFonts w:eastAsia="Cambria" w:cs="Cambria"/>
          <w:b w:val="false"/>
          <w:bCs w:val="false"/>
          <w:i w:val="false"/>
          <w:iCs w:val="false"/>
          <w:sz w:val="22"/>
          <w:szCs w:val="22"/>
        </w:rPr>
        <w:t xml:space="preserve"> (ein landesweites Netzwerk aus Nachbarschaftsgruppen zur gegenseitigen Wachsamkeit und Hilfe bei Notfällen) organisiert in vielen Straßenzügen feste Treffen. Wer sich für eine dieser Gruppen entscheidet, lernt Nachbarn kennen, die im Ernstfall ohnehin zusammenhalten müssen – eine Bekanntschaft, die oft tragfähiger ist als eine, die nur am Gartenzaun begann.</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zum Kontakt</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Besonders geeignet für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Rugbyclub, Netball, Touch, Cricket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 Altersgruppen, auch ohne Vorerfahrung</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Plunket-Krabbelgruppe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mit Kleinkindern</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Feuerwehr, Neighbourhood Support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schnell feste Nachbarschaftskontakte sucht</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Tramping-Club, Rotary, Toastmasters</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Erwachsene ohne Kinder oder festen Verein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Alltag selbst bietet Gelegenheiten: Ein „bring a plate“ (wörtlich „bring einen Teller mit“) bei Schulfesten oder Nachbarschaftsfeiern erwartet ein mitgebrachtes Gericht zum Teilen, ähnlich dem deutschen Buffet-Prinzip, nur ohne Absprache, wer was mitbringt. Ganz ähnlich funktioniert die </w:t>
      </w:r>
      <w:r>
        <w:rPr>
          <w:rFonts w:eastAsia="Cambria" w:cs="Cambria"/>
          <w:b w:val="false"/>
          <w:bCs w:val="false"/>
          <w:i/>
          <w:iCs/>
          <w:sz w:val="22"/>
          <w:szCs w:val="22"/>
        </w:rPr>
        <w:t>Working Bee</w:t>
      </w:r>
      <w:r>
        <w:rPr>
          <w:rFonts w:eastAsia="Cambria" w:cs="Cambria"/>
          <w:b w:val="false"/>
          <w:bCs w:val="false"/>
          <w:i w:val="false"/>
          <w:iCs w:val="false"/>
          <w:sz w:val="22"/>
          <w:szCs w:val="22"/>
        </w:rPr>
        <w:t xml:space="preserve"> (ein gemeinsamer Arbeitseinsatz, meist samstagvormittags, etwa um den Schulgarten herzurichten oder den Marae-Vorplatz zu pflegen): Wer zwei Stunden Streichen oder Unkrautjäten investiert, bekommt danach meist Tee, Kekse und – wichtiger noch – ein halbes Dutzend neuer Gesichter, die man beim nächsten Schulfest schon wiedererkennt. Rotary, Lions und Toastmasters bieten in praktisch jeder mittelgroßen Stadt ein Netzwerk für Erwachsene ohne Kinder oder Vereinsanbindung; in Städten mit dünner deutscher Infrastruktur wie Christchurch lohnt zusätzlich ein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beruflich in Kontakt mit Māori-Institutionen kommt oder in der Nähe eines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(dem zentralen Versammlungsort einer Māori-Gemeinschaft, mit eigenem Versammlungshaus und eigenen Verhaltensregeln) wohnt, findet dort gelegentlich zusätzliche Gelegenheit zu echtem Austausch – vorausgesetzt, man kommt als aufmerksamer Gast, nicht als Tourist mit Kamera. Eine offene Einladung zu einem Gemeinschaftsanlass ehrlich anzunehmen, statt sie aus Unsicherheit abzulehnen, öffnet hier oft mehr Türen, als es die reine Sprachbarriere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zieht direkt mit einem SMC-Visum nach Auckland. In den ersten Wochen fällt ihm auf, wie freundlich, aber unverbindlich die Gespräche mit Kollegen bleiben – „We should grab a coffee sometime“ verläuft mehrfach im Sand. Über eine Meetup-Gruppe findet er einen wöchentlichen Touch-Abend in seinem Stadtteil; nach der dritten Teilnahme kennt er die Namen der halben Mannschaft, nach zwei Monaten trifft er sich mit dreien davon regelmäßig auch abseits des Sportplatzes. Aus der vagen Kaffee-Einladung ist inzwischen ein fester Freitagabend-Termin geworden – nur eben nicht über Kaffee, sondern über den Sportplatz entstanden.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Botschaft,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Neuseeland dünner organisiert als in den anderen Zielländern dieses Buches. Die deutsche Botschaft sitzt in Wellington und ist konsularisch für ganz Neuseeland sowie mehrere Pazifikstaaten zuständig; Honorarkonsuln gibt es zusätzlich in Auckland und Christchurch, die jedoch überwiegend formale Amtsgeschäfte übernehmen, kein Vereinsleben. Das einzige Goethe-Institut des Landes sitzt ebenfalls in Wellington und deckt von dort aus Sprachkurse und kulturelle Veranstaltungen für das ganze Land ab – wer in Auckland oder Christchurch lebt, nimmt entweder online teil oder reist gelegentlich an.</w:t>
      </w:r>
    </w:p>
    <w:tbl>
      <w:tblPr>
        <w:tblW w:w="6480" w:type="dxa"/>
        <w:jc w:val="left"/>
        <w:tblInd w:w="0" w:type="dxa"/>
        <w:tblLayout w:type="fixed"/>
        <w:tblCellMar>
          <w:top w:w="50" w:type="dxa"/>
          <w:left w:w="80" w:type="dxa"/>
          <w:bottom w:w="50" w:type="dxa"/>
          <w:right w:w="80" w:type="dxa"/>
        </w:tblCellMar>
      </w:tblPr>
      <w:tblGrid>
        <w:gridCol w:w="1353"/>
        <w:gridCol w:w="1450"/>
        <w:gridCol w:w="1644"/>
        <w:gridCol w:w="2032"/>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Angebote vor Ort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School Wellington (Ergänzungsschule), 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identifiziert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Facebook und Meetup. Gerade dort, wo es keine offizielle deutsche Infrastruktur gibt – wie in Christchurch –, sind diese informellen Gruppen oft die einzige Quelle für Erfahrungswerte zu Ärzten, Kitas und Behördenwegen aus erster Hand.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dieser dünnen Infrastruktur ist zugleich ein kleiner Vorteil: Wer in Neuseeland lebt, landet fast zwangsläufig schneller im englischsprachigen Alltag, weil eine bequeme deutsche Blase schlicht seltener zur Verfügung steht als etwa in Sydney oder Melbourne. Das beschleunigt die Sprachgewöhnung, verschärft aber in den ersten Monaten auch das Gefühl, ganz auf sich gestellt zu sein – ein Punkt, der im Abschnitt zur Distanz weiter unten noch wichtig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Berufszulassung und ein komplett neues Netzwerk von null aufbauen. Bei reglementierten Berufen – etwa in der Tiermedizin oder Pflege – kann die Anerkennung der Qualifikation durch die zuständige neuseeländische Stelle mehrere Monate dauern, bevor die eigentliche Stellensuche überhaupt beginnt.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 ist. Ein fester Wochentermin – ob Plunket-Gruppe, Sportverein oder Ehrenamt – wirkt in dieser Wartezeit doppelt: gegen die Einsamkeit und als Vorbereitung auf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18.200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spürbar. In näher gelegenen Zielländern bleibt ein Wochenendbesuch zumindest theoretisch denkbar, selbst wenn ihn kaum jemand tatsächlich bucht; in Neuseeland fällt diese gedankliche Rückfahrkarte praktisch ganz weg, noch konsequenter als in Australien. Wer in der Kulturschock-Talsohle – meist zwischen dem dritten und sechsten Monat – spontan ein Last-Minute-Ticket kauft, zahlt für einen Flug, der wegen Jetlag und Kürze kaum erholsam ist, oft ein Vielfaches des Normalpreises.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 nicht erst, wenn nachts um drei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Neuseeland einem einigermaßen vorhersehbaren Muster: Einer Anfangseuphorie folgt meist zwischen dem dritten und sechsten Monat eine Talsohle aus Erschöpfung und 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 ein zusätzlicher Stich, wenn Fotos vom verschneiten Weihnachtsmarkt zu Hause auf dem Handy aufploppen, während man selbst in kurzen Hosen am Grill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verbringt ihr erstes Weihnachten in Christchurch bei 28 Grad am Strand von Sumner statt verschneit bei den Großeltern in Rostock. Sebastian und Petra hatten sich fest vorgenommen, „das doch eigentlich schön zu finden“ – und sind trotzdem beide überrascht, wie sehr ihnen am Heiligabend die vertrauten Rituale fehlen. Statt das Gefühl wegzudrücken, verabreden sie kurzerhand ein eigenes Ritual: Punsch (notfalls warm serviert, trotz Hitze) am Nachmittag, ein Videoanruf mit den Großeltern zur für beide Seiten machbaren Uhrzeit, und am zweiten Feiertag ein Ausflug mit zwei befreundeten Familien vom Rugbyclub der Kinder. Kein Ersatz für Rostock, aber ein eigenes, funktionierendes Weihnachten.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anhaltender Erschöpfung, Schlafproblemen oder dem Gefühl, nicht mehr allein zurechtzukommen, ist professionelle Hilfe kein Zeichen des Scheiterns. </w:t>
            </w:r>
            <w:r>
              <w:rPr>
                <w:rFonts w:eastAsia="Cambria" w:cs="Cambria"/>
                <w:b w:val="false"/>
                <w:bCs w:val="false"/>
                <w:i/>
                <w:iCs/>
                <w:sz w:val="20"/>
                <w:szCs w:val="20"/>
              </w:rPr>
              <w:t>1737</w:t>
            </w:r>
            <w:r>
              <w:rPr>
                <w:rFonts w:eastAsia="Cambria" w:cs="Cambria"/>
                <w:b w:val="false"/>
                <w:bCs w:val="false"/>
                <w:i w:val="false"/>
                <w:iCs w:val="false"/>
                <w:sz w:val="20"/>
                <w:szCs w:val="20"/>
              </w:rPr>
              <w:t xml:space="preserve">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Sportvereine, Plunket-Gruppen und Nachbarschaftswache sind offene, niedrigschwellige Türen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Dünne deutsche Infrastruktur beschleunigt die eigene Sprach- und Alltagsintegration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Rückhalt aus einer organisierten deutschen Community, besonders außerhalb Wellingtons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informelle Umgangsformen erleichtern erste Kontakte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24 bis 27 Stunden Reisezeit, hohe Preise bei Last-Minute-Buchungen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kostenlos erreichbar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Zeitverschiebung aller vier Zielländer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eine Plunket-Gruppe oder ein Ehrenamt (Feuerwehr, Neighbourhood Support)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Zuständigkeiten von Botschaft Wellington, Honorarkonsul und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1737 und den Notruf 111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eigenes Weihnachtsritual für die Südhalbkugel überlegt, statt das erste Fest zu improvisieren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Zuständigkeiten, Kontakt, Honorarkonsuln (</w:t>
      </w:r>
      <w:hyperlink r:id="rId71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Sprachkurse (</w:t>
      </w:r>
      <w:hyperlink r:id="rId718">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1737 Need to Talk — kostenlose Beratung rund um die Uhr (</w:t>
      </w:r>
      <w:hyperlink r:id="rId719">
        <w:r>
          <w:rPr>
            <w:rStyle w:val="ListLabel113"/>
            <w:rFonts w:eastAsia="Cambria" w:cs="Cambria"/>
            <w:b w:val="false"/>
            <w:bCs w:val="false"/>
            <w:i w:val="false"/>
            <w:iCs w:val="false"/>
            <w:color w:val="0563C1"/>
            <w:sz w:val="22"/>
            <w:szCs w:val="22"/>
            <w:u w:val="single"/>
          </w:rPr>
          <w:t>1737.org.nz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Aotearoa — Krisenhilfe (</w:t>
      </w:r>
      <w:hyperlink r:id="rId720">
        <w:r>
          <w:rPr>
            <w:rStyle w:val="ListLabel113"/>
            <w:rFonts w:eastAsia="Cambria" w:cs="Cambria"/>
            <w:b w:val="false"/>
            <w:bCs w:val="false"/>
            <w:i w:val="false"/>
            <w:iCs w:val="false"/>
            <w:color w:val="0563C1"/>
            <w:sz w:val="22"/>
            <w:szCs w:val="22"/>
            <w:u w:val="single"/>
          </w:rPr>
          <w:t>lifeline.org.nz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Plunket — Krabbelgruppen und Familienangebote (</w:t>
      </w:r>
      <w:hyperlink r:id="rId721">
        <w:r>
          <w:rPr>
            <w:rStyle w:val="ListLabel113"/>
            <w:rFonts w:eastAsia="Cambria" w:cs="Cambria"/>
            <w:b w:val="false"/>
            <w:bCs w:val="false"/>
            <w:i w:val="false"/>
            <w:iCs w:val="false"/>
            <w:color w:val="0563C1"/>
            <w:sz w:val="22"/>
            <w:szCs w:val="22"/>
            <w:u w:val="single"/>
          </w:rPr>
          <w:t>plunket.org.nz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Fire and Emergency New Zealand — freiwillige Mitarbeit (</w:t>
      </w:r>
      <w:hyperlink r:id="rId722">
        <w:r>
          <w:rPr>
            <w:rStyle w:val="ListLabel113"/>
            <w:rFonts w:eastAsia="Cambria" w:cs="Cambria"/>
            <w:b w:val="false"/>
            <w:bCs w:val="false"/>
            <w:i w:val="false"/>
            <w:iCs w:val="false"/>
            <w:color w:val="0563C1"/>
            <w:sz w:val="22"/>
            <w:szCs w:val="22"/>
            <w:u w:val="single"/>
          </w:rPr>
          <w:t>fireandemergency.nz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 und Goethe-Institut,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4" w:name="__RefHeading___Toc56624_3457424410"/>
      <w:bookmarkStart w:id="195" w:name="tnz13"/>
      <w:bookmarkEnd w:id="194"/>
      <w:r>
        <w:rPr>
          <w:rFonts w:eastAsia="Amazon Ember" w:cs="Amazon Ember" w:ascii="Amazon Ember" w:hAnsi="Amazon Ember"/>
          <w:b/>
          <w:bCs/>
          <w:color w:val="0000FF"/>
          <w:sz w:val="36"/>
          <w:szCs w:val="36"/>
        </w:rPr>
        <w:t>Neuseeland: Kinder, Schule und Spracheingewöhnung</w:t>
      </w:r>
      <w:bookmarkEnd w:id="19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Während Finn (8, fiktiv, Familie Krüger) in Rostock mitten im zweiten Schulhalbjahr steckte, beginnt sein erstes neuseeländisches Schuljahr Ende Januar – bei sommerlichen Temperaturen, mit Sonnenhut statt Mütze im Ranzen und einem Klassenzimmer, das gerade erst zum ersten Mal zusammenfindet. Für Eltern ist das mehr als eine Kuriosität am Rande: Der Zeitpunkt des Umzugs entscheidet spürbar mit, wie glatt der Schulwechsel gelingt – und wer diesen Rhythmus nicht kennt, plant leicht am falschen Fenster vorbei.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Neuseelands Schuljahr läuft von Ende Januar/Anfang Februar bis Mitte Dezember, in vier </w:t>
            </w:r>
            <w:r>
              <w:rPr>
                <w:rFonts w:eastAsia="Cambria" w:cs="Cambria"/>
                <w:b w:val="false"/>
                <w:bCs w:val="false"/>
                <w:i/>
                <w:iCs/>
                <w:sz w:val="20"/>
                <w:szCs w:val="20"/>
              </w:rPr>
              <w:t>Terms</w:t>
            </w:r>
            <w:r>
              <w:rPr>
                <w:rFonts w:eastAsia="Cambria" w:cs="Cambria"/>
                <w:b w:val="false"/>
                <w:bCs w:val="false"/>
                <w:i w:val="false"/>
                <w:iCs w:val="false"/>
                <w:sz w:val="20"/>
                <w:szCs w:val="20"/>
              </w:rPr>
              <w:t xml:space="preserve"> (Schulblöcken) mit kurzen Ferien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Primary School dauert meist Year 1 bis Year 8 (teils mit eigener </w:t>
            </w:r>
            <w:r>
              <w:rPr>
                <w:rFonts w:eastAsia="Cambria" w:cs="Cambria"/>
                <w:b w:val="false"/>
                <w:bCs w:val="false"/>
                <w:i/>
                <w:iCs/>
                <w:sz w:val="20"/>
                <w:szCs w:val="20"/>
              </w:rPr>
              <w:t>Intermediate School</w:t>
            </w:r>
            <w:r>
              <w:rPr>
                <w:rFonts w:eastAsia="Cambria" w:cs="Cambria"/>
                <w:b w:val="false"/>
                <w:bCs w:val="false"/>
                <w:i w:val="false"/>
                <w:iCs w:val="false"/>
                <w:sz w:val="20"/>
                <w:szCs w:val="20"/>
              </w:rPr>
              <w:t xml:space="preserve"> für Year 7/8), Secondary School Year 9 bis Year 13; anders als in Deutschland zählen alle Jahrgänge bundesweit einheitlich durch.</w:t>
            </w:r>
          </w:p>
          <w:p>
            <w:pPr>
              <w:pStyle w:val="ListParagraph"/>
              <w:numPr>
                <w:ilvl w:val="0"/>
                <w:numId w:val="1"/>
              </w:numPr>
              <w:spacing w:lineRule="exact" w:line="264" w:before="0" w:after="50"/>
              <w:rPr/>
            </w:pPr>
            <w:r>
              <w:rPr>
                <w:rFonts w:eastAsia="Cambria" w:cs="Cambria"/>
                <w:b w:val="false"/>
                <w:bCs w:val="false"/>
                <w:i w:val="false"/>
                <w:iCs w:val="false"/>
                <w:sz w:val="20"/>
                <w:szCs w:val="20"/>
              </w:rPr>
              <w:t>Rund vier von fünf Kindern besuchen staatliche, gebührenfreie Schulen; state-integrierte und private Schulen kosten von wenigen Hundert bis über 20.000 NZD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dürfen ab dem fünften Geburtstag eingeschult werden, müssen es aber erst mit sechs Jahren; Schulzonen nach Wohnadresse entscheiden vielerorts über den Platz an der Wunschschule.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Sprachförderung heißt </w:t>
            </w:r>
            <w:r>
              <w:rPr>
                <w:rFonts w:eastAsia="Cambria" w:cs="Cambria"/>
                <w:b w:val="false"/>
                <w:bCs w:val="false"/>
                <w:i/>
                <w:iCs/>
                <w:sz w:val="20"/>
                <w:szCs w:val="20"/>
              </w:rPr>
              <w:t>ESOL</w:t>
            </w:r>
            <w:r>
              <w:rPr>
                <w:rFonts w:eastAsia="Cambria" w:cs="Cambria"/>
                <w:b w:val="false"/>
                <w:bCs w:val="false"/>
                <w:i w:val="false"/>
                <w:iCs w:val="false"/>
                <w:sz w:val="20"/>
                <w:szCs w:val="20"/>
              </w:rPr>
              <w:t xml:space="preserve"> und wird über Jahre hinweg gestaffelt vom Ministerium mitfinanziert – Kinder gewöhnen sich meist deutlich schneller ein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Organisierte deutsche Sprachangebote gibt es fast nur in Wellington;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von der Kita bis zur Universitätsreife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Schulpflicht gibt es in Neuseeland kein flächendeckendes, kostenloses Kita-Netz wie in Deutschland. Frühkindliche Bildung (</w:t>
      </w:r>
      <w:r>
        <w:rPr>
          <w:rFonts w:eastAsia="Cambria" w:cs="Cambria"/>
          <w:b w:val="false"/>
          <w:bCs w:val="false"/>
          <w:i/>
          <w:iCs/>
          <w:sz w:val="22"/>
          <w:szCs w:val="22"/>
        </w:rPr>
        <w:t>Early Childhood Education</w:t>
      </w:r>
      <w:r>
        <w:rPr>
          <w:rFonts w:eastAsia="Cambria" w:cs="Cambria"/>
          <w:b w:val="false"/>
          <w:bCs w:val="false"/>
          <w:i w:val="false"/>
          <w:iCs w:val="false"/>
          <w:sz w:val="22"/>
          <w:szCs w:val="22"/>
        </w:rPr>
        <w:t xml:space="preserve">, ECE) läuft überwiegend über private oder gemeinnützige Einrichtungen – von klassischen </w:t>
      </w:r>
      <w:r>
        <w:rPr>
          <w:rFonts w:eastAsia="Cambria" w:cs="Cambria"/>
          <w:b w:val="false"/>
          <w:bCs w:val="false"/>
          <w:i/>
          <w:iCs/>
          <w:sz w:val="22"/>
          <w:szCs w:val="22"/>
        </w:rPr>
        <w:t>Kindergartens</w:t>
      </w:r>
      <w:r>
        <w:rPr>
          <w:rFonts w:eastAsia="Cambria" w:cs="Cambria"/>
          <w:b w:val="false"/>
          <w:bCs w:val="false"/>
          <w:i w:val="false"/>
          <w:iCs w:val="false"/>
          <w:sz w:val="22"/>
          <w:szCs w:val="22"/>
        </w:rPr>
        <w:t xml:space="preserve"> über </w:t>
      </w:r>
      <w:r>
        <w:rPr>
          <w:rFonts w:eastAsia="Cambria" w:cs="Cambria"/>
          <w:b w:val="false"/>
          <w:bCs w:val="false"/>
          <w:i/>
          <w:iCs/>
          <w:sz w:val="22"/>
          <w:szCs w:val="22"/>
        </w:rPr>
        <w:t>Playcentres</w:t>
      </w:r>
      <w:r>
        <w:rPr>
          <w:rFonts w:eastAsia="Cambria" w:cs="Cambria"/>
          <w:b w:val="false"/>
          <w:bCs w:val="false"/>
          <w:i w:val="false"/>
          <w:iCs w:val="false"/>
          <w:sz w:val="22"/>
          <w:szCs w:val="22"/>
        </w:rPr>
        <w:t xml:space="preserve"> (Eltern-Kind-Initiativen mit hohem Elternengagement) bis zu ganztägigen </w:t>
      </w:r>
      <w:r>
        <w:rPr>
          <w:rFonts w:eastAsia="Cambria" w:cs="Cambria"/>
          <w:b w:val="false"/>
          <w:bCs w:val="false"/>
          <w:i/>
          <w:iCs/>
          <w:sz w:val="22"/>
          <w:szCs w:val="22"/>
        </w:rPr>
        <w:t>Daycare</w:t>
      </w:r>
      <w:r>
        <w:rPr>
          <w:rFonts w:eastAsia="Cambria" w:cs="Cambria"/>
          <w:b w:val="false"/>
          <w:bCs w:val="false"/>
          <w:i w:val="false"/>
          <w:iCs w:val="false"/>
          <w:sz w:val="22"/>
          <w:szCs w:val="22"/>
        </w:rPr>
        <w:t>-Zentren.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Schulzeit gliedert sich, anders als im föderal organisierten Deutschland, in ein landesweit einheitliches Zählsystem: </w:t>
      </w:r>
      <w:r>
        <w:rPr>
          <w:rFonts w:eastAsia="Cambria" w:cs="Cambria"/>
          <w:b w:val="false"/>
          <w:bCs w:val="false"/>
          <w:i/>
          <w:iCs/>
          <w:sz w:val="22"/>
          <w:szCs w:val="22"/>
        </w:rPr>
        <w:t>Year 1</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8</w:t>
      </w:r>
      <w:r>
        <w:rPr>
          <w:rFonts w:eastAsia="Cambria" w:cs="Cambria"/>
          <w:b w:val="false"/>
          <w:bCs w:val="false"/>
          <w:i w:val="false"/>
          <w:iCs w:val="false"/>
          <w:sz w:val="22"/>
          <w:szCs w:val="22"/>
        </w:rPr>
        <w:t xml:space="preserve"> entsprechen der Primarstufe (an vielen Orten als durchgehende </w:t>
      </w:r>
      <w:r>
        <w:rPr>
          <w:rFonts w:eastAsia="Cambria" w:cs="Cambria"/>
          <w:b w:val="false"/>
          <w:bCs w:val="false"/>
          <w:i/>
          <w:iCs/>
          <w:sz w:val="22"/>
          <w:szCs w:val="22"/>
        </w:rPr>
        <w:t>Full Primary School</w:t>
      </w:r>
      <w:r>
        <w:rPr>
          <w:rFonts w:eastAsia="Cambria" w:cs="Cambria"/>
          <w:b w:val="false"/>
          <w:bCs w:val="false"/>
          <w:i w:val="false"/>
          <w:iCs w:val="false"/>
          <w:sz w:val="22"/>
          <w:szCs w:val="22"/>
        </w:rPr>
        <w:t xml:space="preserve"> organisiert, andernorts mit einem Wechsel zur eigenständigen </w:t>
      </w:r>
      <w:r>
        <w:rPr>
          <w:rFonts w:eastAsia="Cambria" w:cs="Cambria"/>
          <w:b w:val="false"/>
          <w:bCs w:val="false"/>
          <w:i/>
          <w:iCs/>
          <w:sz w:val="22"/>
          <w:szCs w:val="22"/>
        </w:rPr>
        <w:t>Intermediate School</w:t>
      </w:r>
      <w:r>
        <w:rPr>
          <w:rFonts w:eastAsia="Cambria" w:cs="Cambria"/>
          <w:b w:val="false"/>
          <w:bCs w:val="false"/>
          <w:i w:val="false"/>
          <w:iCs w:val="false"/>
          <w:sz w:val="22"/>
          <w:szCs w:val="22"/>
        </w:rPr>
        <w:t xml:space="preserve"> für Year 7 und 8), </w:t>
      </w:r>
      <w:r>
        <w:rPr>
          <w:rFonts w:eastAsia="Cambria" w:cs="Cambria"/>
          <w:b w:val="false"/>
          <w:bCs w:val="false"/>
          <w:i/>
          <w:iCs/>
          <w:sz w:val="22"/>
          <w:szCs w:val="22"/>
        </w:rPr>
        <w:t>Year 9</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13</w:t>
      </w:r>
      <w:r>
        <w:rPr>
          <w:rFonts w:eastAsia="Cambria" w:cs="Cambria"/>
          <w:b w:val="false"/>
          <w:bCs w:val="false"/>
          <w:i w:val="false"/>
          <w:iCs w:val="false"/>
          <w:sz w:val="22"/>
          <w:szCs w:val="22"/>
        </w:rPr>
        <w:t xml:space="preserve"> der Sekundarstufe (</w:t>
      </w:r>
      <w:r>
        <w:rPr>
          <w:rFonts w:eastAsia="Cambria" w:cs="Cambria"/>
          <w:b w:val="false"/>
          <w:bCs w:val="false"/>
          <w:i/>
          <w:iCs/>
          <w:sz w:val="22"/>
          <w:szCs w:val="22"/>
        </w:rPr>
        <w:t>Secondary School</w:t>
      </w:r>
      <w:r>
        <w:rPr>
          <w:rFonts w:eastAsia="Cambria" w:cs="Cambria"/>
          <w:b w:val="false"/>
          <w:bCs w:val="false"/>
          <w:i w:val="false"/>
          <w:iCs w:val="false"/>
          <w:sz w:val="22"/>
          <w:szCs w:val="22"/>
        </w:rPr>
        <w:t>, oft schlicht „College“ oder „High School“ genannt). Die Schulpflicht endet formal erst mit 16 Jahren, faktisch bleiben aber die meisten Jugendlichen bis Year 13, um einen vollständigen Abschluss zu erreichen.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Dieser Abschluss heißt </w:t>
      </w:r>
      <w:r>
        <w:rPr>
          <w:rFonts w:eastAsia="Cambria" w:cs="Cambria"/>
          <w:b w:val="false"/>
          <w:bCs w:val="false"/>
          <w:i/>
          <w:iCs/>
          <w:sz w:val="22"/>
          <w:szCs w:val="22"/>
        </w:rPr>
        <w:t>NCEA</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Certificate of Educational Achievement</w:t>
      </w:r>
      <w:r>
        <w:rPr>
          <w:rFonts w:eastAsia="Cambria" w:cs="Cambria"/>
          <w:b w:val="false"/>
          <w:bCs w:val="false"/>
          <w:i w:val="false"/>
          <w:iCs w:val="false"/>
          <w:sz w:val="22"/>
          <w:szCs w:val="22"/>
        </w:rPr>
        <w:t>) und wird in drei aufeinander aufbauenden Stufen erworben, die ungefähr Year 11 bis Year 13 entsprechen –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und sich bei der Zielschule direkt nach dem aktuellen Planungsstand erkundigen, statt sich auf ältere Informationen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 ähnlich wie in Teilen Deutschlands, allerdings ohne das dichte Nachmittagsangebot deutscher Ganztagsschulen; Betreuung außerhalb dieser Zeiten organisieren viele Schulen über angegliederte, kostenpflichtige „Out of School Care“-Programme.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weiteres, sehr neuseeländisches Element des Schulalltags ist </w:t>
      </w:r>
      <w:r>
        <w:rPr>
          <w:rFonts w:eastAsia="Cambria" w:cs="Cambria"/>
          <w:b w:val="false"/>
          <w:bCs w:val="false"/>
          <w:i/>
          <w:iCs/>
          <w:sz w:val="22"/>
          <w:szCs w:val="22"/>
        </w:rPr>
        <w:t>Kapa Haka</w:t>
      </w:r>
      <w:r>
        <w:rPr>
          <w:rFonts w:eastAsia="Cambria" w:cs="Cambria"/>
          <w:b w:val="false"/>
          <w:bCs w:val="false"/>
          <w:i w:val="false"/>
          <w:iCs w:val="false"/>
          <w:sz w:val="22"/>
          <w:szCs w:val="22"/>
        </w:rPr>
        <w:t>: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 körperlicher Ausdruck und Rhythmus überbrücken hier die Sprachlücke oft schneller als jedes Gespräch auf dem Pausenhof.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state-integriert oder privat: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Australien existieren in Neuseeland drei Schulsektoren nebeneinander, wenn auch mit anderer Verteilung. Die große Mehrheit der Kinder besucht staatliche </w:t>
      </w:r>
      <w:r>
        <w:rPr>
          <w:rFonts w:eastAsia="Cambria" w:cs="Cambria"/>
          <w:b w:val="false"/>
          <w:bCs w:val="false"/>
          <w:i/>
          <w:iCs/>
          <w:sz w:val="22"/>
          <w:szCs w:val="22"/>
        </w:rPr>
        <w:t>State Schools</w:t>
      </w:r>
      <w:r>
        <w:rPr>
          <w:rFonts w:eastAsia="Cambria" w:cs="Cambria"/>
          <w:b w:val="false"/>
          <w:bCs w:val="false"/>
          <w:i w:val="false"/>
          <w:iCs w:val="false"/>
          <w:sz w:val="22"/>
          <w:szCs w:val="22"/>
        </w:rPr>
        <w:t xml:space="preserve">: gebührenfrei, ohne Statusprüfung, mit Aufnahme nach Wohnadresse – dem deutschen Prinzip „Schulbezirk bestimmt Schule“ nicht unähnlich. Daneben stehen </w:t>
      </w:r>
      <w:r>
        <w:rPr>
          <w:rFonts w:eastAsia="Cambria" w:cs="Cambria"/>
          <w:b w:val="false"/>
          <w:bCs w:val="false"/>
          <w:i/>
          <w:iCs/>
          <w:sz w:val="22"/>
          <w:szCs w:val="22"/>
        </w:rPr>
        <w:t>State-integrated Schools</w:t>
      </w:r>
      <w:r>
        <w:rPr>
          <w:rFonts w:eastAsia="Cambria" w:cs="Cambria"/>
          <w:b w:val="false"/>
          <w:bCs w:val="false"/>
          <w:i w:val="false"/>
          <w:iCs w:val="false"/>
          <w:sz w:val="22"/>
          <w:szCs w:val="22"/>
        </w:rPr>
        <w:t xml:space="preserve">: ehemals private, meist konfessionell geprägte Schulen, die unter einem eigenen Gesetz in das staatliche System integriert wurden. Der Unterricht selbst ist staatlich finanziert, doch die Schulen erheben weiterhin sogenannte </w:t>
      </w:r>
      <w:r>
        <w:rPr>
          <w:rFonts w:eastAsia="Cambria" w:cs="Cambria"/>
          <w:b w:val="false"/>
          <w:bCs w:val="false"/>
          <w:i/>
          <w:iCs/>
          <w:sz w:val="22"/>
          <w:szCs w:val="22"/>
        </w:rPr>
        <w:t>Attendance Dues</w:t>
      </w:r>
      <w:r>
        <w:rPr>
          <w:rFonts w:eastAsia="Cambria" w:cs="Cambria"/>
          <w:b w:val="false"/>
          <w:bCs w:val="false"/>
          <w:i w:val="false"/>
          <w:iCs w:val="false"/>
          <w:sz w:val="22"/>
          <w:szCs w:val="22"/>
        </w:rPr>
        <w:t xml:space="preserve"> (Schulbesuchsgebühren) für den Erhalt von Gebäuden und Grundstück, die im Unterschied zur „freiwilligen“ Spende staatlicher Schulen tatsächlich verpflichtend sind. Ganz unabhängig bleiben die </w:t>
      </w:r>
      <w:r>
        <w:rPr>
          <w:rFonts w:eastAsia="Cambria" w:cs="Cambria"/>
          <w:b w:val="false"/>
          <w:bCs w:val="false"/>
          <w:i/>
          <w:iCs/>
          <w:sz w:val="22"/>
          <w:szCs w:val="22"/>
        </w:rPr>
        <w:t>Independent Schools</w:t>
      </w:r>
      <w:r>
        <w:rPr>
          <w:rFonts w:eastAsia="Cambria" w:cs="Cambria"/>
          <w:b w:val="false"/>
          <w:bCs w:val="false"/>
          <w:i w:val="false"/>
          <w:iCs w:val="false"/>
          <w:sz w:val="22"/>
          <w:szCs w:val="22"/>
        </w:rPr>
        <w:t xml:space="preserve"> (Privatschulen), deren Schulgeld von einigen Tausend bis über 20.000 NZD im Jahr reicht, an einzelnen renommierten Internaten auch deutlich darüber.</w:t>
      </w:r>
    </w:p>
    <w:tbl>
      <w:tblPr>
        <w:tblW w:w="6480" w:type="dxa"/>
        <w:jc w:val="left"/>
        <w:tblInd w:w="0" w:type="dxa"/>
        <w:tblLayout w:type="fixed"/>
        <w:tblCellMar>
          <w:top w:w="50" w:type="dxa"/>
          <w:left w:w="80" w:type="dxa"/>
          <w:bottom w:w="50" w:type="dxa"/>
          <w:right w:w="80" w:type="dxa"/>
        </w:tblCellMar>
      </w:tblPr>
      <w:tblGrid>
        <w:gridCol w:w="2332"/>
        <w:gridCol w:w="2073"/>
        <w:gridCol w:w="2075"/>
      </w:tblGrid>
      <w:tr>
        <w:trPr>
          <w:tblHeader w:val="true"/>
          <w:cantSplit w:val="true"/>
        </w:trPr>
        <w:tc>
          <w:tcPr>
            <w:tcW w:w="2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2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 School (staatlich)</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gebührenfrei, freiwillige Spende üblich</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Aufnahme meist nach Wohnzone</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State-integrated School</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Attendance Dues (meist niedrig- bis mittlerer dreistelliger NZD-Betrag/Jahr)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eigenes religiöses oder pädagogisches Profil</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(privat)</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Tausend bis über 20.000 NZD/Jahr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Unabhängigkeit vom staatlichen System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staatlichen Schulen ist „kostenlos“ mit Einschränkung zu lesen: Der Unterricht selbst ist gebührenfrei, doch die meisten Schulen bitten Eltern jährlich um eine freiwillige Spende (</w:t>
      </w:r>
      <w:r>
        <w:rPr>
          <w:rFonts w:eastAsia="Cambria" w:cs="Cambria"/>
          <w:b w:val="false"/>
          <w:bCs w:val="false"/>
          <w:i/>
          <w:iCs/>
          <w:sz w:val="22"/>
          <w:szCs w:val="22"/>
        </w:rPr>
        <w:t>School Donation</w:t>
      </w:r>
      <w:r>
        <w:rPr>
          <w:rFonts w:eastAsia="Cambria" w:cs="Cambria"/>
          <w:b w:val="false"/>
          <w:bCs w:val="false"/>
          <w:i w:val="false"/>
          <w:iCs w:val="false"/>
          <w:sz w:val="22"/>
          <w:szCs w:val="22"/>
        </w:rPr>
        <w:t>) für Materialien, Exkursionen und Ausstattung –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State-integrated- oder Independent School ins Auge fasst, prüfe zuerst das staatliche Angebot deiner Zielzone. Der Ruf einer Schule hängt in Neuseeland stark vom Einzugsgebiet und Engagement der Elternschaft ab, nicht zwingend vom Etikett „privat“ – ein Besuchstermin vor Ort sagt oft mehr als jede Rangliste.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Zonierung und Anmeldung: wer wo hin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beliebte neuseeländische Schulen arbeiten mit einer </w:t>
      </w:r>
      <w:r>
        <w:rPr>
          <w:rFonts w:eastAsia="Cambria" w:cs="Cambria"/>
          <w:b w:val="false"/>
          <w:bCs w:val="false"/>
          <w:i/>
          <w:iCs/>
          <w:sz w:val="22"/>
          <w:szCs w:val="22"/>
        </w:rPr>
        <w:t>Enrolment Zone</w:t>
      </w:r>
      <w:r>
        <w:rPr>
          <w:rFonts w:eastAsia="Cambria" w:cs="Cambria"/>
          <w:b w:val="false"/>
          <w:bCs w:val="false"/>
          <w:i w:val="false"/>
          <w:iCs w:val="false"/>
          <w:sz w:val="22"/>
          <w:szCs w:val="22"/>
        </w:rP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lohnt sich deshalb ein Blick auf die exakten Zonengrenzen der gewünschten Schule – ein paar Hundert Meter können hier über den Schulplatz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zweites Detail überrascht viele deutsche Eltern: Es gibt keinen einzelnen, bundesweiten Einschulungsstichtag. Kinder dürfen ab ihrem fünften Geburtstag zur Schule angemeldet werden, müssen es aber erst mit sechs Jahren. Viele Schulen praktizieren inzwischen eine sogenannte </w:t>
      </w:r>
      <w:r>
        <w:rPr>
          <w:rFonts w:eastAsia="Cambria" w:cs="Cambria"/>
          <w:b w:val="false"/>
          <w:bCs w:val="false"/>
          <w:i/>
          <w:iCs/>
          <w:sz w:val="22"/>
          <w:szCs w:val="22"/>
        </w:rPr>
        <w:t>Cohort Entry</w:t>
      </w:r>
      <w:r>
        <w:rPr>
          <w:rFonts w:eastAsia="Cambria" w:cs="Cambria"/>
          <w:b w:val="false"/>
          <w:bCs w:val="false"/>
          <w:i w:val="false"/>
          <w:iCs w:val="false"/>
          <w:sz w:val="22"/>
          <w:szCs w:val="22"/>
        </w:rPr>
        <w:t xml:space="preserve"> (Gruppen-Einschulung): Statt am exakten Geburtstag zu starten, beginnen neue Erstklässler an einem von mehreren festen Terminen im Jahr – ein System, das ankommenden Familien tatsächlich entgegenkommt, weil es keinen einzigen, unumstößlichen deutschen „Einschulungstag“ gibt, um den herum ein Umzug organisiert werden müsste.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klärt vor dem Umzug nach Christchurch schriftlich, welche staatliche Grundschule zur künftigen Adresse gehört, und meldet Lotta (12) und Finn (8) rechtzeitig für den Beginn von Term 1 an. Weil ihr AEWV-Antrag glücklich früh genug durchläuft, entscheiden sich Sebastian und Petra bewusst für einen Umzugstermin im neuseeländischen Spätsommer statt mitten im laufenden Term – die Kinder starten so mit dem Rest der Klasse gemeinsam neu, statt in ein bereits laufendes Schuljahr hineinzuplatzen. Für Lotta, die in Rostock gerade Year 7 begonnen hätte, ergibt das Einstufungsgespräch Year 8 an einer Intermediate School; Finn wechselt nahtlos in Year 3 der örtlichen Full Primary School.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 mitten im neuseeländischen Sommer, während in Deutschland zeitgleich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42"/>
        <w:gridCol w:w="2706"/>
        <w:gridCol w:w="2532"/>
      </w:tblGrid>
      <w:tr>
        <w:trPr>
          <w:tblHeader w:val="true"/>
          <w:cantSplit w:val="true"/>
        </w:trPr>
        <w:tc>
          <w:tcPr>
            <w:tcW w:w="12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 (2026)</w:t>
            </w:r>
          </w:p>
        </w:tc>
        <w:tc>
          <w:tcPr>
            <w:tcW w:w="25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Anfang April</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(meist mit Ostern)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April – Anfang Juli</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Juli – Ende September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Anfang/Mitte Oktober – Mitte Dezember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 Schule im Rahmen ministerieller Vorgaben einzeln fest und veröffentlicht sie auf der eigenen Website; sie unterscheiden sich von Jahr zu Jahr und zwischen einzelnen Schulen um bis zu einer Woche.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neuseeländischen Terms verpflanzt, erwischt einen vergleichsweise glatten Einstieg –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Neuseeland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w:t>
            </w:r>
            <w:hyperlink w:anchor="tnz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ESOL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w:t>
      </w:r>
      <w:r>
        <w:rPr>
          <w:rFonts w:eastAsia="Cambria" w:cs="Cambria"/>
          <w:b w:val="false"/>
          <w:bCs w:val="false"/>
          <w:i/>
          <w:iCs/>
          <w:sz w:val="22"/>
          <w:szCs w:val="22"/>
        </w:rPr>
        <w:t>ESOL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for Speakers of Other Languages</w:t>
      </w:r>
      <w:r>
        <w:rPr>
          <w:rFonts w:eastAsia="Cambria" w:cs="Cambria"/>
          <w:b w:val="false"/>
          <w:bCs w:val="false"/>
          <w:i w:val="false"/>
          <w:iCs w:val="false"/>
          <w:sz w:val="22"/>
          <w:szCs w:val="22"/>
        </w:rPr>
        <w:t xml:space="preserve">) und wird vom Bildungsministerium zusätzlich zur allgemeinen Schulfinanzierung bezuschusst. Für Kinder aus Migranten- oder Flüchtlingsfamilien wird die Förderung für maximal fünf Jahre (20 </w:t>
      </w:r>
      <w:r>
        <w:rPr>
          <w:rFonts w:eastAsia="Cambria" w:cs="Cambria"/>
          <w:b w:val="false"/>
          <w:bCs w:val="false"/>
          <w:i/>
          <w:iCs/>
          <w:sz w:val="22"/>
          <w:szCs w:val="22"/>
        </w:rPr>
        <w:t>Terms</w:t>
      </w:r>
      <w:r>
        <w:rPr>
          <w:rFonts w:eastAsia="Cambria" w:cs="Cambria"/>
          <w:b w:val="false"/>
          <w:bCs w:val="false"/>
          <w:i w:val="false"/>
          <w:iCs w:val="false"/>
          <w:sz w:val="22"/>
          <w:szCs w:val="22"/>
        </w:rPr>
        <w:t>)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 von einer eigenen ESOL-Lehrkraft über Kleingruppenförderung bis zu zweisprachigen Assistenzkräften, je nach Bedarf der jeweiligen Schülerschaft.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Finn (8, fiktiv, Familie Krüger) kann in den ersten Wochen im Unterricht kaum folgen, findet aber über den Rugbyclub der Schule schnell Anschluss – auf dem Spielfeld zählt der Ballbesitz mehr als der Wortschatz. Lotta (12) tut sich schwerer: In der Intermediate School hängen Freundschaften stärker an schnellen, witzigen Wortwechseln in den Pausen, die ihr anfangs komplett verschlossen bleiben. Petra vereinbart mit der Klassenlehrerin zusätzliche ESOL-Kleingruppenstunden für Lotta und bucht parallel einen wöchentlichen Nachhilfetermin bei einer örtlichen Englischlehrerin – nach rund einem halben Jahr meldet die Schule spürbare Fortschritte, sowohl fachlich als auch beim ersten festen Freundeskreis.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die Skilled Migrant Category einwandert, hat einen Englischnachweis meist bereits für den Visumsantrag erbracht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trotzdem bleibt der Alltag – Elternabende, Behördengänge, Small Talk am Schultor – für viele Erwachsene die eigentliche Übungsstrecke. Volkshochschulähnliche Kurse an lokalen </w:t>
      </w:r>
      <w:r>
        <w:rPr>
          <w:rFonts w:eastAsia="Cambria" w:cs="Cambria"/>
          <w:b w:val="false"/>
          <w:bCs w:val="false"/>
          <w:i/>
          <w:iCs/>
          <w:sz w:val="22"/>
          <w:szCs w:val="22"/>
        </w:rPr>
        <w:t>Community Education</w:t>
      </w:r>
      <w:r>
        <w:rPr>
          <w:rFonts w:eastAsia="Cambria" w:cs="Cambria"/>
          <w:b w:val="false"/>
          <w:bCs w:val="false"/>
          <w:i w:val="false"/>
          <w:iCs w:val="false"/>
          <w:sz w:val="22"/>
          <w:szCs w:val="22"/>
        </w:rPr>
        <w:t>-Zentren sowie das Gespräch mit anderen Eltern helfen hier oft mehr als ein weiteres Lehrbuch.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JustWatch.de prüfen) funktioniert schon für diese Altersgruppe und zeigt echten Kiwi-Alltagston. Teenager (14–17) kommen mit aktueller englischsprachiger Jugendliteratur und denselben Filmen in ungekürzter Fassung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Wellington als einziger fester Anlaufpunkt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ihrem neuseeländischen Englisch auch das Deutsche behalten, findet organisierte Angebote fast ausschließlich in Wellington. Die German School Wellington (eine Ergänzungsschule in Newtown, die samstags oder nachmittags ergänzend zum regulären neuseeländischen Unterricht stattfindet, kein vollständiger deutscher Schulzweig wie in manchen anderen Ländern) sowie das Goethe-Institut Wellington mit eigenen Kinder- und Jugendkursen bilden hier den Kern; dazu kommt eine deutschsprachige Spielgruppe für die Jüngsten.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Wellingtons – in Auckland mit nur einer kleinen Spielgruppe, in Christchurch ganz ohne identifizierbares organisiertes Angebot – bleibt vor allem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aufwendige, selbst organisierte Deutsch-Struktur aufbaust, prüfe, ob dir die Kombination aus kostenloser staatlicher Schule plus konsequent gepflegtem Deutsch zu Hause für deine Ziele reicht. Für die meisten Familien, die nicht dauerhaft zwischen beiden Ländern pendeln wollen, ist das die deutlich einfachere und oft ausreichende Lösung – gerade dort, wo wie in Christchurch ohnehin keine organisierte Alternative existiert.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Schulen sind gebührenfrei und ohne Statusprüfung zugänglich</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Zonierung kann die Wunschschule vom Wohnort abhängig machen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starrer Einschulungsstichtag – Umzugstermin lässt sich flexibel legen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ESOL-Förderung ist über Jahre hinweg strukturiert finanziert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Wellingtons kaum organisierte deutsche Sprachangebote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Wahlmöglichkeit nach Budget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NCEA-Umstellung ab 2028 schafft zusätzliche Planungsunsicherheit für Teenager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Schulzone der Zieladresse und Aufnahmechancen an der Wunschschule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state-integriert oder privat,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und Cohort-Entry-Terminen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ESOL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organisierte deutsche Sprachstruktur (nur Wellington)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NCEA-Kreditübernahme und die angekündigte Reform ab 2028 mit der Zielschule besprochen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Ministry of Education — Schulsystem, Term- und Ferientermine (</w:t>
      </w:r>
      <w:hyperlink r:id="rId723">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Qualifications Authority — NCEA, Reformpläne ab 2028 (</w:t>
      </w:r>
      <w:hyperlink r:id="rId724">
        <w:r>
          <w:rPr>
            <w:rStyle w:val="ListLabel113"/>
            <w:rFonts w:eastAsia="Cambria" w:cs="Cambria"/>
            <w:b w:val="false"/>
            <w:bCs w:val="false"/>
            <w:i w:val="false"/>
            <w:iCs w:val="false"/>
            <w:color w:val="0563C1"/>
            <w:sz w:val="22"/>
            <w:szCs w:val="22"/>
            <w:u w:val="single"/>
          </w:rPr>
          <w:t>nzqa.govt.nz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Education — ESOL-Förderung für Schulen (</w:t>
      </w:r>
      <w:hyperlink r:id="rId725">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 Suchbegriff „ESOL funding“)</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Angebote im Ausland (</w:t>
      </w:r>
      <w:hyperlink r:id="rId726">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w:t>
      </w:r>
      <w:hyperlink r:id="rId727">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neu, je Schule leicht abweichend), Höhe der ESOL-Förderpauschale, Details und Zeitplan der NCEA-Reform sowie Schulgelder von state-integrierten und privaten Schulen.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6" w:name="__RefHeading___Toc56626_3457424410"/>
      <w:bookmarkStart w:id="197" w:name="tnz14"/>
      <w:bookmarkEnd w:id="196"/>
      <w:r>
        <w:rPr>
          <w:rFonts w:eastAsia="Amazon Ember" w:cs="Amazon Ember" w:ascii="Amazon Ember" w:hAnsi="Amazon Ember"/>
          <w:b/>
          <w:bCs/>
          <w:color w:val="0000FF"/>
          <w:sz w:val="36"/>
          <w:szCs w:val="36"/>
        </w:rPr>
        <w:t>Neuseeland: Arbeitswelt und Jobwechsel</w:t>
      </w:r>
      <w:bookmarkEnd w:id="19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Sebastian Krüger in Christchurch seinen ersten Arbeitsvertrag unterschreibt, stockt er kurz bei einer Klausel, die er aus Deutschland nicht kennt: 90 Tage </w:t>
      </w:r>
      <w:r>
        <w:rPr>
          <w:rFonts w:eastAsia="Cambria" w:cs="Cambria"/>
          <w:b w:val="false"/>
          <w:bCs w:val="false"/>
          <w:i/>
          <w:iCs/>
          <w:sz w:val="22"/>
          <w:szCs w:val="22"/>
        </w:rPr>
        <w:t>Trial Period</w:t>
      </w:r>
      <w:r>
        <w:rPr>
          <w:rFonts w:eastAsia="Cambria" w:cs="Cambria"/>
          <w:b w:val="false"/>
          <w:bCs w:val="false"/>
          <w:i w:val="false"/>
          <w:iCs w:val="false"/>
          <w:sz w:val="22"/>
          <w:szCs w:val="22"/>
        </w:rPr>
        <w:t xml:space="preserve"> (Probezeit ohne Kündigungsschutz), in denen der Arbeitgeber ihn ohne Angabe von Gründen und ohne die Möglichkeit einer Klage wieder entlassen kann. Er fragt vorsichtig nach, ob das üblich sei. „She’ll be right“, sagt die Personalleiterin und lächelt, was so viel heißt wie „Wird schon passen“ – eine Beruhigung, die bei jemandem, der aus einem Land mit einem der strengsten Kündigungsschutzgesetze der Welt kommt, ihre Wirkung zunächst verfehlt. Drei Monate später ist Sebastian noch da, hat die Probezeit unbeschadet überstanden und ziemlich viel über neuseeländisches Arbeitsrecht gelernt – vor allem, dass es erstaunlich schlank ist, gemessen an dem, was er gewohnt war.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Neuseeländisches Arbeitsrecht gilt bundesweit einheitlich – keine Bundesstaaten, keine Provinzen, keine Awards oder Tarifebenen wie in Australien oder Kanada.</w:t>
            </w:r>
          </w:p>
          <w:p>
            <w:pPr>
              <w:pStyle w:val="ListParagraph"/>
              <w:numPr>
                <w:ilvl w:val="0"/>
                <w:numId w:val="1"/>
              </w:numPr>
              <w:spacing w:lineRule="exact" w:line="264" w:before="0" w:after="50"/>
              <w:rPr/>
            </w:pPr>
            <w:r>
              <w:rPr>
                <w:rFonts w:eastAsia="Cambria" w:cs="Cambria"/>
                <w:b w:val="false"/>
                <w:bCs w:val="false"/>
                <w:i w:val="false"/>
                <w:iCs w:val="false"/>
                <w:sz w:val="20"/>
                <w:szCs w:val="20"/>
              </w:rPr>
              <w:t>Der gesetzliche Mindesturlaub liegt bei vier Wochen im Jahr, dazu kommen elf bis zwölf Feiertage und zehn Tage bezahlter Krankheitsurlaub nach sechs Monaten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Kündigungsschutzgesetz nach deutschem Muster gibt es nicht, aber auch kein grundloses Entlassen: Der Maßstab ist, ob ein fairer, vernünftiger Arbeitgeber unter den gegebenen Umständen ebenso gehandelt hätte.</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dem 23. Dezember 2023 darf jeder Arbeitgeber, unabhängig von der Betriebsgröße, eine 90-tägige Probezeit ohne Kündigungsschutz vereinbaren – zuvor war das auf Kleinbetriebe unter 20 Beschäftigten beschränkt.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gesetzliche Abfindung bei betriebsbedingter Kündigung gibt es nicht automatisch; sie gilt nur, wenn der Arbeitsvertrag sie ausdrücklich vorsieht.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bist du an einen konkreten Arbeitgeber gebunden: Ein Wechsel braucht dessen Akkreditierung und eine genehmigte Stellenprüfung, bevor du dort anfangen darfst.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in Neuseeland: erfrischend einheitlich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w:t>
      </w:r>
      <w:r>
        <w:rPr>
          <w:rFonts w:eastAsia="Cambria" w:cs="Cambria"/>
          <w:b w:val="false"/>
          <w:bCs w:val="false"/>
          <w:i/>
          <w:iCs/>
          <w:sz w:val="22"/>
          <w:szCs w:val="22"/>
        </w:rPr>
        <w:t>Employment Relations Act 2000</w:t>
      </w:r>
      <w:r>
        <w:rPr>
          <w:rFonts w:eastAsia="Cambria" w:cs="Cambria"/>
          <w:b w:val="false"/>
          <w:bCs w:val="false"/>
          <w:i w:val="false"/>
          <w:iCs w:val="false"/>
          <w:sz w:val="22"/>
          <w:szCs w:val="22"/>
        </w:rPr>
        <w:t xml:space="preserve"> (das zentrale Arbeitsverhältnisgesetz), ergänzt um den </w:t>
      </w:r>
      <w:r>
        <w:rPr>
          <w:rFonts w:eastAsia="Cambria" w:cs="Cambria"/>
          <w:b w:val="false"/>
          <w:bCs w:val="false"/>
          <w:i/>
          <w:iCs/>
          <w:sz w:val="22"/>
          <w:szCs w:val="22"/>
        </w:rPr>
        <w:t>Holidays Act 2003</w:t>
      </w:r>
      <w:r>
        <w:rPr>
          <w:rFonts w:eastAsia="Cambria" w:cs="Cambria"/>
          <w:b w:val="false"/>
          <w:bCs w:val="false"/>
          <w:i w:val="false"/>
          <w:iCs w:val="false"/>
          <w:sz w:val="22"/>
          <w:szCs w:val="22"/>
        </w:rPr>
        <w:t xml:space="preserve"> (das Urlaubs- und Feiertagsgesetz). Zuständige Behörde für Information und kostenlose Beratung ist </w:t>
      </w:r>
      <w:r>
        <w:rPr>
          <w:rFonts w:eastAsia="Cambria" w:cs="Cambria"/>
          <w:b w:val="false"/>
          <w:bCs w:val="false"/>
          <w:i/>
          <w:iCs/>
          <w:sz w:val="22"/>
          <w:szCs w:val="22"/>
        </w:rPr>
        <w:t>Employment New Zealand</w:t>
      </w:r>
      <w:r>
        <w:rPr>
          <w:rFonts w:eastAsia="Cambria" w:cs="Cambria"/>
          <w:b w:val="false"/>
          <w:bCs w:val="false"/>
          <w:i w:val="false"/>
          <w:iCs w:val="false"/>
          <w:sz w:val="22"/>
          <w:szCs w:val="22"/>
        </w:rPr>
        <w:t xml:space="preserve"> (der Arbeitsbereich des Ministeriums für Wirtschaft, Innovation und Beschäftigung, MBIE, employment.govt.nz).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Zentraler Rechtsgrundsatz ist </w:t>
      </w:r>
      <w:r>
        <w:rPr>
          <w:rFonts w:eastAsia="Cambria" w:cs="Cambria"/>
          <w:b w:val="false"/>
          <w:bCs w:val="false"/>
          <w:i/>
          <w:iCs/>
          <w:sz w:val="22"/>
          <w:szCs w:val="22"/>
        </w:rPr>
        <w:t>good faith</w:t>
      </w:r>
      <w:r>
        <w:rPr>
          <w:rFonts w:eastAsia="Cambria" w:cs="Cambria"/>
          <w:b w:val="false"/>
          <w:bCs w:val="false"/>
          <w:i w:val="false"/>
          <w:iCs w:val="false"/>
          <w:sz w:val="22"/>
          <w:szCs w:val="22"/>
        </w:rPr>
        <w:t xml:space="preserve"> (Treu und Glauben): Arbeitgeber und Beschäftigte sind gesetzlich verpflichtet, offen, ehrlich und ohne Hintergedanken miteinander umzugehen –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w:t>
      </w:r>
      <w:r>
        <w:rPr>
          <w:rFonts w:eastAsia="Cambria" w:cs="Cambria"/>
          <w:b w:val="false"/>
          <w:bCs w:val="false"/>
          <w:i/>
          <w:iCs/>
          <w:sz w:val="22"/>
          <w:szCs w:val="22"/>
        </w:rPr>
        <w:t>Employment Mediation Services</w:t>
      </w:r>
      <w:r>
        <w:rPr>
          <w:rFonts w:eastAsia="Cambria" w:cs="Cambria"/>
          <w:b w:val="false"/>
          <w:bCs w:val="false"/>
          <w:i w:val="false"/>
          <w:iCs w:val="false"/>
          <w:sz w:val="22"/>
          <w:szCs w:val="22"/>
        </w:rPr>
        <w:t xml:space="preserve"> (der staatlichen Schlichtungsstelle), dann bei der </w:t>
      </w:r>
      <w:r>
        <w:rPr>
          <w:rFonts w:eastAsia="Cambria" w:cs="Cambria"/>
          <w:b w:val="false"/>
          <w:bCs w:val="false"/>
          <w:i/>
          <w:iCs/>
          <w:sz w:val="22"/>
          <w:szCs w:val="22"/>
        </w:rPr>
        <w:t>Employment Relations Authority</w:t>
      </w:r>
      <w:r>
        <w:rPr>
          <w:rFonts w:eastAsia="Cambria" w:cs="Cambria"/>
          <w:b w:val="false"/>
          <w:bCs w:val="false"/>
          <w:i w:val="false"/>
          <w:iCs w:val="false"/>
          <w:sz w:val="22"/>
          <w:szCs w:val="22"/>
        </w:rPr>
        <w:t xml:space="preserve"> (ERA, der arbeitsrechtlichen Untersuchungsbehörde) und erst in letzter Instanz vor dem </w:t>
      </w:r>
      <w:r>
        <w:rPr>
          <w:rFonts w:eastAsia="Cambria" w:cs="Cambria"/>
          <w:b w:val="false"/>
          <w:bCs w:val="false"/>
          <w:i/>
          <w:iCs/>
          <w:sz w:val="22"/>
          <w:szCs w:val="22"/>
        </w:rPr>
        <w:t>Employment Court</w:t>
      </w:r>
      <w:r>
        <w:rPr>
          <w:rFonts w:eastAsia="Cambria" w:cs="Cambria"/>
          <w:b w:val="false"/>
          <w:bCs w:val="false"/>
          <w:i w:val="false"/>
          <w:iCs w:val="false"/>
          <w:sz w:val="22"/>
          <w:szCs w:val="22"/>
        </w:rPr>
        <w:t xml:space="preserve"> (Arbeitsgericht).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Holidays Act 2003 garantiert mindestens vier Wochen bezahlten Jahresurlaub (20 Arbeitstage bei einer Fünftagewoche). Der Anspruch entsteht mit dem ersten Arbeitstag, ausgezahlt und regulär genommen wird er aber normalerweise erst nach zwölf Monaten ununterbrochener Beschäftigung, sofern nicht Arbeitgeber und Beschäftigter einen früheren Bezug vereinbaren. Dazu kommen elf landesweite Feiertage – darunter Neujahr (zwei Tage), Waitangi Day (Nationalfeiertag zum Vertrag von Waitangi), Karfreitag, Ostermontag, Anzac Day, der König-Geburtstag, </w:t>
      </w:r>
      <w:r>
        <w:rPr>
          <w:rFonts w:eastAsia="Cambria" w:cs="Cambria"/>
          <w:b w:val="false"/>
          <w:bCs w:val="false"/>
          <w:i/>
          <w:iCs/>
          <w:sz w:val="22"/>
          <w:szCs w:val="22"/>
        </w:rPr>
        <w:t>Matariki</w:t>
      </w:r>
      <w:r>
        <w:rPr>
          <w:rFonts w:eastAsia="Cambria" w:cs="Cambria"/>
          <w:b w:val="false"/>
          <w:bCs w:val="false"/>
          <w:i w:val="false"/>
          <w:iCs w:val="false"/>
          <w:sz w:val="22"/>
          <w:szCs w:val="22"/>
        </w:rPr>
        <w:t xml:space="preserve"> (das Māori-Neujahrsfest, seit 2022 gesetzlicher Feiertag mit wechselndem Datum nach dem Mondkalender) sowie Weihnachten und der zweite Weihnachtsfeiertag. Hinzu kommt, ähnlich wie in einigen australischen Bundesstaaten, ein regionaler </w:t>
      </w:r>
      <w:r>
        <w:rPr>
          <w:rFonts w:eastAsia="Cambria" w:cs="Cambria"/>
          <w:b w:val="false"/>
          <w:bCs w:val="false"/>
          <w:i/>
          <w:iCs/>
          <w:sz w:val="22"/>
          <w:szCs w:val="22"/>
        </w:rPr>
        <w:t>Anniversary Day</w:t>
      </w:r>
      <w:r>
        <w:rPr>
          <w:rFonts w:eastAsia="Cambria" w:cs="Cambria"/>
          <w:b w:val="false"/>
          <w:bCs w:val="false"/>
          <w:i w:val="false"/>
          <w:iCs w:val="false"/>
          <w:sz w:val="22"/>
          <w:szCs w:val="22"/>
        </w:rPr>
        <w:t xml:space="preserve"> (Provinz-Gründungstag), dessen Datum von der Region abhängt – macht effektiv zwölf freie Tage im Jahr, ordentlich, aber kein Grund zur Übertreibung im Vergleich zu den 9 bis 13 Feiertagen deutscher Bundesländer.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ein mageres Angebot. Rechnerisch stimmt das, doch es ist das gesetzliche Minimum, keine übliche Norm – viele Arbeitgeber im IT- und Ingenieurbereich rund um Auckland und Christchurch bieten fünf Wochen an, um im engen Fachkräftemarkt zu bestehen. Frage danach, statt es als Deckelung hinzunehmen.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Bezahlter Krankheitsurlaub (</w:t>
      </w:r>
      <w:r>
        <w:rPr>
          <w:rFonts w:eastAsia="Cambria" w:cs="Cambria"/>
          <w:b w:val="false"/>
          <w:bCs w:val="false"/>
          <w:i/>
          <w:iCs/>
          <w:sz w:val="22"/>
          <w:szCs w:val="22"/>
        </w:rPr>
        <w:t>Sick Leave</w:t>
      </w:r>
      <w:r>
        <w:rPr>
          <w:rFonts w:eastAsia="Cambria" w:cs="Cambria"/>
          <w:b w:val="false"/>
          <w:bCs w:val="false"/>
          <w:i w:val="false"/>
          <w:iCs w:val="false"/>
          <w:sz w:val="22"/>
          <w:szCs w:val="22"/>
        </w:rPr>
        <w:t xml:space="preser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w:t>
      </w:r>
      <w:r>
        <w:rPr>
          <w:rFonts w:eastAsia="Cambria" w:cs="Cambria"/>
          <w:b w:val="false"/>
          <w:bCs w:val="false"/>
          <w:i/>
          <w:iCs/>
          <w:sz w:val="22"/>
          <w:szCs w:val="22"/>
        </w:rPr>
        <w:t>Bereavement Leave</w:t>
      </w:r>
      <w:r>
        <w:rPr>
          <w:rFonts w:eastAsia="Cambria" w:cs="Cambria"/>
          <w:b w:val="false"/>
          <w:bCs w:val="false"/>
          <w:i w:val="false"/>
          <w:iCs w:val="false"/>
          <w:sz w:val="22"/>
          <w:szCs w:val="22"/>
        </w:rPr>
        <w:t xml:space="preserve"> (Trauerurlaub) zu, bei entfernteren Beziehungen ein Tag, sofern der Arbeitgeber einen echten Bedarf anerkennt.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Krankheitstagen oder Feiertagsvergütung. Lass dir die genauen Ansprüche schriftlich im Arbeitsvertrag bestätigen – der Holidays Act ist detailreich und wird in der betrieblichen Praxis nicht immer korrekt angewendet, wie wiederkehrende Prüfberichte des MBIE zu Nachzahlungsfällen zeigen.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90-Tage-Probezeit und Personal Grievance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Kündigungsschutzgesetz wie in Deutschland kennt Neuseeland nicht –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 ein Test aus Verfahren (wurde fair angehört, gab es eine echte Untersuchung?) und Substanz (gab es einen triftigen Grund?) zugleich. Fühlst du dich ungerecht behandelt, kannst du eine </w:t>
      </w:r>
      <w:r>
        <w:rPr>
          <w:rFonts w:eastAsia="Cambria" w:cs="Cambria"/>
          <w:b w:val="false"/>
          <w:bCs w:val="false"/>
          <w:i/>
          <w:iCs/>
          <w:sz w:val="22"/>
          <w:szCs w:val="22"/>
        </w:rPr>
        <w:t>Personal Grievance</w:t>
      </w:r>
      <w:r>
        <w:rPr>
          <w:rFonts w:eastAsia="Cambria" w:cs="Cambria"/>
          <w:b w:val="false"/>
          <w:bCs w:val="false"/>
          <w:i w:val="false"/>
          <w:iCs w:val="false"/>
          <w:sz w:val="22"/>
          <w:szCs w:val="22"/>
        </w:rPr>
        <w:t xml:space="preserve"> (arbeitsrechtliche Beschwerde) erheben, ohne eine Mindestbeschäftigungszeit erfüllen zu müssen – anders als in Australien, wo der Schutz erst nach sechs oder zwölf Monaten greift. Die Frist dafür ist jedoch kurz: 90 Tage ab der beanstandeten 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auffälligste neuseeländische Besonderheit ist die </w:t>
      </w:r>
      <w:r>
        <w:rPr>
          <w:rFonts w:eastAsia="Cambria" w:cs="Cambria"/>
          <w:b w:val="false"/>
          <w:bCs w:val="false"/>
          <w:i/>
          <w:iCs/>
          <w:sz w:val="22"/>
          <w:szCs w:val="22"/>
        </w:rPr>
        <w:t>90-Day Trial Period</w:t>
      </w:r>
      <w:r>
        <w:rPr>
          <w:rFonts w:eastAsia="Cambria" w:cs="Cambria"/>
          <w:b w:val="false"/>
          <w:bCs w:val="false"/>
          <w:i w:val="false"/>
          <w:iCs w:val="false"/>
          <w:sz w:val="22"/>
          <w:szCs w:val="22"/>
        </w:rPr>
        <w:t xml:space="preserve"> (90-Tage-Probezeit ohne Kündigungsschutz): Seit einer Gesetzesänderung, die am 23. Dezember 2023 in Kraft trat (Employment Relations (Trial Periods) Amendment Act 2023), darf jeder Arbeitgeber – unabhängig von der Betriebsgröße –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 ein nachträglich unterschriebener Vertrag rettet die Klausel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deinen Arbeitsvertrag vor der Unterschrift genau darauf, ob eine 90-Tage-Probezeit vereinbart ist, und rechne in dieser Zeit nicht mit dem Beschwerdeweg, den du sonst hättest. Das gilt besonders, wenn dein AEWV an eben diese Stelle gebunden ist: Ein Jobverlust in der Probezeit trifft dich doppelt, arbeitsrechtlich und aufenthaltsrechtlich.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gebe es automatisch eine Abfindung wie einen Sozialplan. Tatsächlich schreibt das Gesetz keine Mindestabfindung vor – sie steht dir nur zu, wenn dein Arbeits- oder Tarifvertrag sie ausdrücklich vorsieht. Garantiert ist in jedem Fall nur die Auszahlung nicht genommenen Urlaubs sowie die vereinbarte Kündigungsfrist oder eine Abgeltung dafür.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 oder eine Probezeit-Klausel im Einzelfall wirksam ist, hängt vom genauen Vertragswortlaut und den Umständen ab. Lass Arbeitsverträge und insbesondere jede Kündigung von einer neuseeländischen Arbeitsrechtskanzlei oder kostenlos von Employment Mediation Services prüfen.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Employment New Zealand bietet unter employment.govt.nz kostenlose Musterverträge, einen Feiertagsrechner und eine telefonische Erstberatung (0800 20 90 20). Die Employment Mediation Services vermitteln bei Konflikten ebenfalls kostenlos, bevor es zu einem förmlichen ERA-Verfahren 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entspannt,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dein neuseeländischer Kollege pünktlich um fünf geht, ist kein Zeichen von Desinteresse. Wer aus Gewohnheit länger bleibt, weil es in Deutschland so gehört, wird eher gefragt, ob zu Hause alles in Ordnung ist, als dafür gelobt.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Work-Life-Balance wird ernst genommen, gerade außerhalb der Großstädte: Ein Nachmittag am Strand oder in den Bergen gilt als legitimer Grund, den Bürotag früher zu beenden, sofern die Arbeit erledigt ist. Das täuscht aber nicht darüber hinweg, dass Fachkräftemangel in vielen Berufen – von der Landwirtschaft bis zur IT – reale Mehrbelastung bedeuten kann; „entspannt“ heißt nicht „wenig zu tun“.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 in einem kleinen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am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 sag ihnen vorher Bescheid. Ein knappes, ergebnisorientiertes </w:t>
      </w:r>
      <w:r>
        <w:rPr>
          <w:rFonts w:eastAsia="Cambria" w:cs="Cambria"/>
          <w:b w:val="false"/>
          <w:bCs w:val="false"/>
          <w:i/>
          <w:iCs/>
          <w:sz w:val="22"/>
          <w:szCs w:val="22"/>
        </w:rPr>
        <w:t>Curriculum Vitae</w:t>
      </w:r>
      <w:r>
        <w:rPr>
          <w:rFonts w:eastAsia="Cambria" w:cs="Cambria"/>
          <w:b w:val="false"/>
          <w:bCs w:val="false"/>
          <w:i w:val="false"/>
          <w:iCs w:val="false"/>
          <w:sz w:val="22"/>
          <w:szCs w:val="22"/>
        </w:rPr>
        <w:t xml:space="preserve"> (CV, ohne Foto und Geburtsdatum) ist Standard; viele Stellen, besonders außerhalb der großen Jobportale, werden weiterhin über persönliche Empfehlung besetzt, bevor sie überhaupt öffentlich ausgeschrieben werden.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dem AEWV: was die Arbeitgeberbindung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entscheidend vom Visumtyp ab. Wer wie Paul Lindner direkt mit der </w:t>
      </w:r>
      <w:r>
        <w:rPr>
          <w:rFonts w:eastAsia="Cambria" w:cs="Cambria"/>
          <w:b w:val="false"/>
          <w:bCs w:val="false"/>
          <w:i/>
          <w:iCs/>
          <w:sz w:val="22"/>
          <w:szCs w:val="22"/>
        </w:rPr>
        <w:t>Skilled Migrant Category Resident Visa</w:t>
      </w:r>
      <w:r>
        <w:rPr>
          <w:rFonts w:eastAsia="Cambria" w:cs="Cambria"/>
          <w:b w:val="false"/>
          <w:bCs w:val="false"/>
          <w:i w:val="false"/>
          <w:iCs w:val="false"/>
          <w:sz w:val="22"/>
          <w:szCs w:val="22"/>
        </w:rPr>
        <w:t xml:space="preserve"> (SMC, dem punktebasierten Daueraufenthaltsvisum für Fachkräfte,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eingereist ist, besitzt ein Daueraufenthaltsvisum ganz ohne Arbeitgeberbindung und kann den Job so oft wechseln wie ein neuseeländischer Staatsbürger. Das Gleiche gilt für Green-List-Tier-1-Berufe, bei denen der direkte Weg zum Daueraufenthalt führt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 Familie Krüger: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das arbeitgebergebundene Fachkräfte-Arbeitsvisum) ist an drei feste Punkte gekoppelt – einen konkreten Arbeitgeber, eine konkrete Tätigkeit und die dazugehörige Genehmigung (den sogenannten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die behördliche Prüfung der einzelnen Stelle). Ändert sich einer dieser Punkte, reicht die bestehende Erlaubnis nicht mehr. Willst du den Arbeitgeber wechseln, braucht der neue Betrieb zunächst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(die Arbeitgeberakkreditierung von Immigration New Zealand) – ist er noch nicht akkreditiert, muss er das erst beantragen, bevor überhaupt etwas anderes möglich ist. Danach muss er für die konkrete Stelle einen eigenen Job Check bestehen. Erst wenn diese Genehmigung vorliegt, beantragst du selbst eine </w:t>
      </w:r>
      <w:r>
        <w:rPr>
          <w:rFonts w:eastAsia="Cambria" w:cs="Cambria"/>
          <w:b w:val="false"/>
          <w:bCs w:val="false"/>
          <w:i/>
          <w:iCs/>
          <w:sz w:val="22"/>
          <w:szCs w:val="22"/>
        </w:rPr>
        <w:t>Variation of Conditions</w:t>
      </w:r>
      <w:r>
        <w:rPr>
          <w:rFonts w:eastAsia="Cambria" w:cs="Cambria"/>
          <w:b w:val="false"/>
          <w:bCs w:val="false"/>
          <w:i w:val="false"/>
          <w:iCs w:val="false"/>
          <w:sz w:val="22"/>
          <w:szCs w:val="22"/>
        </w:rPr>
        <w:t xml:space="preserve"> (VOC, die Änderung der Visumsbedingungen für einen bestehenden AEWV) oder, je nach Konstellation, ein komplett neues AEWV. Wichtig: Dein neuer Arbeitsvertrag muss zudem die inhaltlichen Anforderungen erfüllen, die Immigration New Zealand an Arbeitsverträge stellt (u. a. Mindestlohnsatz, Wochenstunden) – ein formal unvollständiger Vertrag kann den Antrag verzögern oder scheitern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 mit Risiko für Visum und künftige Anträge.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Verlierst du deine Stelle beim AEWV-Sponsor unerwartet – etwa durch eine betriebsbedingte Kündigung oder, wie im Abschnitt zur Probezeit beschrieben, während der ersten 90 Tage –, bleibt dir keine gesetzlich garantierte Frist wie bei einigen australischen Visa, um in Ruhe einen neuen Sponsor zu suchen: Dein AEWV erlischt mit dem Ende der Beschäftigung, für die es ausgestellt wurde, und du musst zügig eine neue akkreditierte Stelle mit genehmigtem Job Check finden und einen neuen Antrag stellen, um deinen Aufenthalt fortzusetzen. Das ist ein Punkt, den viele Neuankömmlinge unterschätzen, solange der eigene Job sicher wirkt.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Sebastian Krüger (fiktives Beispiel) arbeitet seit zwei Jahren mit seinem AEWV als Agraringenieur bei einem Molkereibetrieb nahe Christchurch, als ihm ein größeres Unternehmen ein deutlich besseres Angebot macht. Aus Gewohnheit will er kündigen, sobald der neue Vertrag unterschrieben ist – bis ihm eine neuseeländische Kollegin erklärt, dass das riskant wäre. Der neue Arbeitgeber ist zwar bereits akkreditiert, muss aber trotzdem für Sebastians konkrete Stelle einen eigenen Job Check bestehen. Das dauert einige Wochen; erst danach reicht Sebastian seine Variation of Conditions ein und wartet auf die Genehmigung. Petra Krüger, seine Frau, fragt ihn jeden Abend, ob es schon so weit sei – „she’ll be right“, sagt Sebastian inzwischen selbst, nicht ganz ohne Ironie. Erst als die Bestätigung in seinem Konto erscheint, kündigt er beim alten Arbeitgeber und beginnt beim neuen.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wechselt in seinem zweiten Jahr in Auckland als IT-Berater den Arbeitgeber, ohne Immigration New Zealand auch nur zu informieren – seine SMC-Resident-Visa macht das überflüssig. Was ihm dagegen zu schaffen macht, ist die Kleinheit der Branche: Sein neuer Arbeitgeber kennt seinen alten Chef aus einem gemeinsamen Branchenverband, und beim ersten Teammeeting wird beiläufig erwähnt, man habe sich „ohnehin schon gefragt, wann Paul wechselt“. In Frankfurt hätte niemand davon erfahren; in Auckland, lernt Paul, ist der professionelle Ruf ungefähr so öffentlich wie das Wetter.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meist ein Jahresgehalt oder einen Stundensatz; eine Neuseeland-spezifische Zusatzleistung wie Australiens Superannuation-Pflichtbeitrag gibt es nicht in dieser Form – die freiwillige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einziges, landesweit einheitliches Arbeitsrecht ohne föderale Verwirrung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sind das gesetzliche Minimum, kein branchenüblicher Standard darüber</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Personal-Grievance-Schutz gilt ab dem ersten Tag, ohne Wartezeit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Ende 2023 kann jeder Arbeitgeber eine 90-Tage-Probezeit ohne Kündigungsschutz nutzen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konfliktarme Arbeitskultur mit echter Work-Life-Balance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gesetzliche Abfindungspflicht bei betriebsbedingter Kündigung</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und Green-List-Tier-1-Visa machen von Anfang an frei von jeder Arbeitgeberbindung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AEWV bindet dich das Visum an einen einzelnen Arbeitgeber und eine einzelne Stelle</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 erreichbare Beratung über Employment New Zealand</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AEWV braucht Zeit: Akkreditierung und Job Check zuerst</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Kleines Land, enge Branchennetzwerke erleichtern die Jobsuche über Empfehlungen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Derselbe kleine Kreis macht einen schlechten Ruf ebenso schnell bekannt wie einen guten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genau, bevor du unterschreibst, und kläre insbesondere,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auf Probezeit-Klausel, Kündigungsfrist und Urlaubsregelung geprüft, bevor unterschrieben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die 90-Tage-Trial-Period für die eigene Stelle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gekannt: arbeitgebergebunden (AEWV) oder frei (SMC-Resident-Visa, Green-List-Tier-1).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Akkreditierungsstatus des neuen Arbeitgebers und Bearbeitungszeit für den Job Check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die Variation of Conditions oder das neue AEWV tatsächlich genehmigt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vorbereitet und um Erlaubnis gefragt, bevor sie angegeben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CV und LinkedIn-Profil auf neuseeländisches Format gebracht (kein Foto, kein Geburtsdatum).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Employment New Zealand oder den Employment Mediation Services nachgefragt.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(MBIE) – Employment Relations Act, Holidays Act, Musterverträge, Beratung: </w:t>
      </w:r>
      <w:hyperlink r:id="rId728">
        <w:r>
          <w:rPr>
            <w:rStyle w:val="ListLabel113"/>
            <w:rFonts w:eastAsia="Cambria" w:cs="Cambria"/>
            <w:b w:val="false"/>
            <w:bCs w:val="false"/>
            <w:i w:val="false"/>
            <w:iCs w:val="false"/>
            <w:color w:val="0563C1"/>
            <w:sz w:val="22"/>
            <w:szCs w:val="22"/>
            <w:u w:val="single"/>
          </w:rPr>
          <w:t>employment.govt.nz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 90-Day Trial Periods: </w:t>
      </w:r>
      <w:hyperlink r:id="rId729">
        <w:r>
          <w:rPr>
            <w:rStyle w:val="ListLabel113"/>
            <w:rFonts w:eastAsia="Cambria" w:cs="Cambria"/>
            <w:b w:val="false"/>
            <w:bCs w:val="false"/>
            <w:i w:val="false"/>
            <w:iCs w:val="false"/>
            <w:color w:val="0563C1"/>
            <w:sz w:val="22"/>
            <w:szCs w:val="22"/>
            <w:u w:val="single"/>
          </w:rPr>
          <w:t>employment.govt.nz/starting-employment/trial-periods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Relations Authority – Verfahren bei Personal Grievance: </w:t>
      </w:r>
      <w:hyperlink r:id="rId730">
        <w:r>
          <w:rPr>
            <w:rStyle w:val="ListLabel113"/>
            <w:rFonts w:eastAsia="Cambria" w:cs="Cambria"/>
            <w:b w:val="false"/>
            <w:bCs w:val="false"/>
            <w:i w:val="false"/>
            <w:iCs w:val="false"/>
            <w:color w:val="0563C1"/>
            <w:sz w:val="22"/>
            <w:szCs w:val="22"/>
            <w:u w:val="single"/>
          </w:rPr>
          <w:t>era.govt.nz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Accredited Employer Work Visa, Job Check, Variation of Conditions: </w:t>
      </w:r>
      <w:hyperlink r:id="rId731">
        <w:r>
          <w:rPr>
            <w:rStyle w:val="ListLabel113"/>
            <w:rFonts w:eastAsia="Cambria" w:cs="Cambria"/>
            <w:b w:val="false"/>
            <w:bCs w:val="false"/>
            <w:i w:val="false"/>
            <w:iCs w:val="false"/>
            <w:color w:val="0563C1"/>
            <w:sz w:val="22"/>
            <w:szCs w:val="22"/>
            <w:u w:val="single"/>
          </w:rPr>
          <w:t>immigration.govt.nz/visas/accredited-employer-work-visa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Legislation – Employment Relations (Trial Periods) Amendment Act 2023: </w:t>
      </w:r>
      <w:hyperlink r:id="rId732">
        <w:r>
          <w:rPr>
            <w:rStyle w:val="ListLabel113"/>
            <w:rFonts w:eastAsia="Cambria" w:cs="Cambria"/>
            <w:b w:val="false"/>
            <w:bCs w:val="false"/>
            <w:i w:val="false"/>
            <w:iCs w:val="false"/>
            <w:color w:val="0563C1"/>
            <w:sz w:val="22"/>
            <w:szCs w:val="22"/>
            <w:u w:val="single"/>
          </w:rPr>
          <w:t>legislation.govt.nz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Seek New Zealand / TradeMe Jobs – Stellenbörsen: </w:t>
      </w:r>
      <w:hyperlink r:id="rId733">
        <w:r>
          <w:rPr>
            <w:rStyle w:val="ListLabel113"/>
            <w:rFonts w:eastAsia="Cambria" w:cs="Cambria"/>
            <w:b w:val="false"/>
            <w:bCs w:val="false"/>
            <w:i w:val="false"/>
            <w:iCs w:val="false"/>
            <w:color w:val="0563C1"/>
            <w:sz w:val="22"/>
            <w:szCs w:val="22"/>
            <w:u w:val="single"/>
          </w:rPr>
          <w:t>seek.co.nz</w:t>
        </w:r>
      </w:hyperlink>
      <w:r>
        <w:rPr>
          <w:rFonts w:eastAsia="Cambria" w:cs="Cambria"/>
          <w:b w:val="false"/>
          <w:bCs w:val="false"/>
          <w:i w:val="false"/>
          <w:iCs w:val="false"/>
          <w:sz w:val="22"/>
          <w:szCs w:val="22"/>
        </w:rPr>
        <w:t xml:space="preserve">, </w:t>
      </w:r>
      <w:hyperlink r:id="rId734">
        <w:r>
          <w:rPr>
            <w:rStyle w:val="ListLabel113"/>
            <w:rFonts w:eastAsia="Cambria" w:cs="Cambria"/>
            <w:b w:val="false"/>
            <w:bCs w:val="false"/>
            <w:i w:val="false"/>
            <w:iCs w:val="false"/>
            <w:color w:val="0563C1"/>
            <w:sz w:val="22"/>
            <w:szCs w:val="22"/>
            <w:u w:val="single"/>
          </w:rPr>
          <w:t>trademe.co.nz/jobs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employment.govt.nz und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8" w:name="__RefHeading___Toc56628_3457424410"/>
      <w:bookmarkStart w:id="199" w:name="tnz15"/>
      <w:bookmarkEnd w:id="198"/>
      <w:r>
        <w:rPr>
          <w:rFonts w:eastAsia="Amazon Ember" w:cs="Amazon Ember" w:ascii="Amazon Ember" w:hAnsi="Amazon Ember"/>
          <w:b/>
          <w:bCs/>
          <w:color w:val="0000FF"/>
          <w:sz w:val="36"/>
          <w:szCs w:val="36"/>
        </w:rPr>
        <w:t>Neuseeland: Recht, Sicherheit und Polizeikontakt</w:t>
      </w:r>
      <w:bookmarkEnd w:id="199"/>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Fahrt zur Arbeit wird Paul Lindner in Auckland zum ersten Mal an einem Kontrollpunkt herausgewunken. Er fährt rechts ran, die Hände fest am Lenkrad, und wartet auf das, was er aus Frankfurt kennt: einen Beamten mit Dienstwaffe am Gürtel. Stattdessen tritt eine Polizistin ohne sichtbare Waffe ans Fenster, pustet ihn kurz mit einem kleinen Gerät an und wünscht ihm „have a good one“, bevor er überhaupt begriffen hat, dass die Kontrolle schon vorbei ist. Es dauert ein paar Wochen, bis Paul begreift, dass die unbewaffnete Polizei in Neuseeland kein Zufall und keine Nachlässigkeit ist, sondern eine bewusste, immer wieder verteidigte Entscheidung – so unspektakulär vorgetragen, dass man sie leicht für Selbstverständlichkeit 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neuseeländische Polizei patrouilliert im Regelbetrieb unbewaffnet – eine bewusste, öffentlich immer wieder bestätigte Entscheidung, keine Ausnahme.</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Alkoholkontrollen im Straßenverkehr sind seit Langem Alltag; seit dem landesweiten Rollout zum 1. Juli 2026 kommen ebenso verdachtsunabhängige Drogen-Speicheltests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wurde nach dem Anschlag auf zwei Moscheen in Christchurch 2019 deutlich verschärft und zum 23. September 2026 mit dem neuen Arms Act 2026 und einer eigenständigen Aufsichtsbehörde erneut umgebaut.</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trotz eines knapp gescheiterten Referendums 2020 im ganzen Land illegal – anders als in Teilen Australiens gibt es keinen regionalen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Erdbeben sind eine reale, wiederkehrende Gefahr: Die staatliche Grundversicherung Toka Tū Ake/EQC deckt die ersten 300.000 NZD Gebäudeschaden, ersetzt aber keine private Police.</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auf einer aktiven Vulkanzone – von Auckland bis zum Tongariro-Nationalpark wird das Risiko laufend über GeoNet überwacht.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in den Länderkapiteln zu den USA, Kanada und Australien in diesem Buch musst du dir hier keine 50 oder mehr Rechtsordnungen merken: Neuseeland hat kein föderales System, sondern ein einziges, landesweit einheitliches Straf-, Polizei- und Verkehrsrecht. Zivil- und Strafsachen durchlaufen das </w:t>
      </w:r>
      <w:r>
        <w:rPr>
          <w:rFonts w:eastAsia="Cambria" w:cs="Cambria"/>
          <w:b w:val="false"/>
          <w:bCs w:val="false"/>
          <w:i/>
          <w:iCs/>
          <w:sz w:val="22"/>
          <w:szCs w:val="22"/>
        </w:rPr>
        <w:t>District Court</w:t>
      </w:r>
      <w:r>
        <w:rPr>
          <w:rFonts w:eastAsia="Cambria" w:cs="Cambria"/>
          <w:b w:val="false"/>
          <w:bCs w:val="false"/>
          <w:i w:val="false"/>
          <w:iCs w:val="false"/>
          <w:sz w:val="22"/>
          <w:szCs w:val="22"/>
        </w:rPr>
        <w:t xml:space="preserve"> (Amts- und Landgericht in einem), bei schwereren Fällen das </w:t>
      </w:r>
      <w:r>
        <w:rPr>
          <w:rFonts w:eastAsia="Cambria" w:cs="Cambria"/>
          <w:b w:val="false"/>
          <w:bCs w:val="false"/>
          <w:i/>
          <w:iCs/>
          <w:sz w:val="22"/>
          <w:szCs w:val="22"/>
        </w:rPr>
        <w:t>High Court</w:t>
      </w:r>
      <w:r>
        <w:rPr>
          <w:rFonts w:eastAsia="Cambria" w:cs="Cambria"/>
          <w:b w:val="false"/>
          <w:bCs w:val="false"/>
          <w:i w:val="false"/>
          <w:iCs w:val="false"/>
          <w:sz w:val="22"/>
          <w:szCs w:val="22"/>
        </w:rPr>
        <w:t xml:space="preserve">, in der Berufung das </w:t>
      </w:r>
      <w:r>
        <w:rPr>
          <w:rFonts w:eastAsia="Cambria" w:cs="Cambria"/>
          <w:b w:val="false"/>
          <w:bCs w:val="false"/>
          <w:i/>
          <w:iCs/>
          <w:sz w:val="22"/>
          <w:szCs w:val="22"/>
        </w:rPr>
        <w:t>Court of Appeal</w:t>
      </w:r>
      <w:r>
        <w:rPr>
          <w:rFonts w:eastAsia="Cambria" w:cs="Cambria"/>
          <w:b w:val="false"/>
          <w:bCs w:val="false"/>
          <w:i w:val="false"/>
          <w:iCs w:val="false"/>
          <w:sz w:val="22"/>
          <w:szCs w:val="22"/>
        </w:rPr>
        <w:t xml:space="preserve"> und zuletzt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(den obersten Gerichtshof) – der erst seit dem 1. Januar 2004 die letzte Instanz bildet. Davor musste ein letztes Rechtsmittel formell beim </w:t>
      </w:r>
      <w:r>
        <w:rPr>
          <w:rFonts w:eastAsia="Cambria" w:cs="Cambria"/>
          <w:b w:val="false"/>
          <w:bCs w:val="false"/>
          <w:i/>
          <w:iCs/>
          <w:sz w:val="22"/>
          <w:szCs w:val="22"/>
        </w:rPr>
        <w:t>Privy Council</w:t>
      </w:r>
      <w:r>
        <w:rPr>
          <w:rFonts w:eastAsia="Cambria" w:cs="Cambria"/>
          <w:b w:val="false"/>
          <w:bCs w:val="false"/>
          <w:i w:val="false"/>
          <w:iCs w:val="false"/>
          <w:sz w:val="22"/>
          <w:szCs w:val="22"/>
        </w:rPr>
        <w:t xml:space="preserve"> in London eingelegt werden; ein hübsches Detail, das zeigt, wie jung Neuseelands vollständige rechtliche Eigenständigkeit tatsächlich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Ebenso einheitlich ist die Polizei organisiert: </w:t>
      </w:r>
      <w:r>
        <w:rPr>
          <w:rFonts w:eastAsia="Cambria" w:cs="Cambria"/>
          <w:b w:val="false"/>
          <w:bCs w:val="false"/>
          <w:i/>
          <w:iCs/>
          <w:sz w:val="22"/>
          <w:szCs w:val="22"/>
        </w:rPr>
        <w:t>New Zealand Police</w:t>
      </w:r>
      <w:r>
        <w:rPr>
          <w:rFonts w:eastAsia="Cambria" w:cs="Cambria"/>
          <w:b w:val="false"/>
          <w:bCs w:val="false"/>
          <w:i w:val="false"/>
          <w:iCs w:val="false"/>
          <w:sz w:val="22"/>
          <w:szCs w:val="22"/>
        </w:rPr>
        <w:t xml:space="preserve"> ist die einzige Polizeibehörde des Landes, es gibt keine parallelen Bundesstaaten- oder Provinzpolizeien wie in Australien oder Kanada. Für dich als Neuankömmling bedeutet das: Die Regeln, die du in Auckland lernst, gelten unverändert in Christchurch oder Wellington.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unbewaffnet,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New Zealand Police gehört zu den wenigen Polizeikräften der OECD, die im Regelbetrieb unbewaffnet patrouillieren. Streifenwagen führen Schusswaffen in einem verschlossenen Fach mit, Beamte tragen sie jedoch nicht routinemäßig am Körper. Für Einsätze mit erhöhtem Risiko existiert das spezialisierte </w:t>
      </w:r>
      <w:r>
        <w:rPr>
          <w:rFonts w:eastAsia="Cambria" w:cs="Cambria"/>
          <w:b w:val="false"/>
          <w:bCs w:val="false"/>
          <w:i/>
          <w:iCs/>
          <w:sz w:val="22"/>
          <w:szCs w:val="22"/>
        </w:rPr>
        <w:t>Armed Offenders Squad</w:t>
      </w:r>
      <w:r>
        <w:rPr>
          <w:rFonts w:eastAsia="Cambria" w:cs="Cambria"/>
          <w:b w:val="false"/>
          <w:bCs w:val="false"/>
          <w:i w:val="false"/>
          <w:iCs w:val="false"/>
          <w:sz w:val="22"/>
          <w:szCs w:val="22"/>
        </w:rPr>
        <w:t xml:space="preserve"> (AOS, eine bewaffnete Sondereinheit). Wie ernst dem Land diese Grundhaltung ist, zeigte sich zwischen Oktober 2019 und April 2020: Nach den Anschlägen von Christchurch testete die Polizei versuchsweise durchgehend bewaffnete </w:t>
      </w:r>
      <w:r>
        <w:rPr>
          <w:rFonts w:eastAsia="Cambria" w:cs="Cambria"/>
          <w:b w:val="false"/>
          <w:bCs w:val="false"/>
          <w:i/>
          <w:iCs/>
          <w:sz w:val="22"/>
          <w:szCs w:val="22"/>
        </w:rPr>
        <w:t>Armed Response Teams</w:t>
      </w:r>
      <w:r>
        <w:rPr>
          <w:rFonts w:eastAsia="Cambria" w:cs="Cambria"/>
          <w:b w:val="false"/>
          <w:bCs w:val="false"/>
          <w:i w:val="false"/>
          <w:iCs w:val="false"/>
          <w:sz w:val="22"/>
          <w:szCs w:val="22"/>
        </w:rPr>
        <w:t xml:space="preserve"> (ART) in einigen Regionen – und beendete den Versuch nach öffentlichem Widerstand wieder, mit der ausdrücklichen Begründung, die Polizei solle „im Wesentlichen ein unbewaffneter Dienst“ bleiben. Für dich heißt das: Eine neuseeländische Polizeikontrolle wirkt oft überraschend entspannt – was nicht bedeutet, dass du dich unhöflich oder unkooperativ verhalten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Verdachtsunabhängige Alkoholkontrollen (</w:t>
      </w:r>
      <w:r>
        <w:rPr>
          <w:rFonts w:eastAsia="Cambria" w:cs="Cambria"/>
          <w:b w:val="false"/>
          <w:bCs w:val="false"/>
          <w:i/>
          <w:iCs/>
          <w:sz w:val="22"/>
          <w:szCs w:val="22"/>
        </w:rPr>
        <w:t>Compulsory Breath Testing</w:t>
      </w:r>
      <w:r>
        <w:rPr>
          <w:rFonts w:eastAsia="Cambria" w:cs="Cambria"/>
          <w:b w:val="false"/>
          <w:bCs w:val="false"/>
          <w:i w:val="false"/>
          <w:iCs w:val="false"/>
          <w:sz w:val="22"/>
          <w:szCs w:val="22"/>
        </w:rPr>
        <w:t>, CBT) sind seit Jahrzehnten Alltag: Ein Beamter darf jeden Fahrer jederzeit anhalten und pusten lassen, ganz ohne Anfangsverdacht – ähnlich wie in Australien, nur ohne den dortigen Spitznamen „Booze Bus“. Der Grenzwert liegt für Fahrer ab 20 Jahren bei 250 Mikrogramm Alkohol pro Liter Atemluft beziehungsweise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mit ärztlichem Rezept für medizinisches Cannabis schützt dich das nicht automatisch beim Fahren. Der Speicheltest weist die Substanz nach, nicht die tatsächliche Beeinträchtigung – ein positives Ergebnis kann unabhängig vom Rezept rechtliche Folgen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New Zealand Bill of Rights Act 1990</w:t>
      </w:r>
      <w:r>
        <w:rPr>
          <w:rFonts w:eastAsia="Cambria" w:cs="Cambria"/>
          <w:b w:val="false"/>
          <w:bCs w:val="false"/>
          <w:i w:val="false"/>
          <w:iCs w:val="false"/>
          <w:sz w:val="22"/>
          <w:szCs w:val="22"/>
        </w:rPr>
        <w:t xml:space="preserve">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 „I do not consent to a search“ –, ohne dich körperlich zu widersetzen; ob die Ablehnung Bestand hat, klärt im Zweifel ein Gericht. Das Filmen einer Polizeikontrolle in der Öffentlichkeit ist grundsätzlich erlaubt, solange du die Diensthandlung nicht behinderst.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zusätzlich als deutscher Staatsangehöriger das Recht, mit einem Konsularbeamten zu sprechen –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nach Christchurch verschärft, 2026 neu geordnet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15. März 2019 tötete ein bewaffneter Angreifer bei einem Anschlag auf zwei Moscheen in Christchurch 51 Menschen. Neuseeland reagierte in ungewöhnlichem Tempo: Innerhalb weniger Wochen verabschiedete das Parlament den </w:t>
      </w:r>
      <w:r>
        <w:rPr>
          <w:rFonts w:eastAsia="Cambria" w:cs="Cambria"/>
          <w:b w:val="false"/>
          <w:bCs w:val="false"/>
          <w:i/>
          <w:iCs/>
          <w:sz w:val="22"/>
          <w:szCs w:val="22"/>
        </w:rPr>
        <w:t>Arms (Prohibited Firearms, Magazines, and Parts) Amendment Act 2019</w:t>
      </w:r>
      <w:r>
        <w:rPr>
          <w:rFonts w:eastAsia="Cambria" w:cs="Cambria"/>
          <w:b w:val="false"/>
          <w:bCs w:val="false"/>
          <w:i w:val="false"/>
          <w:iCs w:val="false"/>
          <w:sz w:val="22"/>
          <w:szCs w:val="22"/>
        </w:rPr>
        <w:t>, der die meisten halbautomatischen „Military Style“-Waffen sowie bestimmte Pump-Action-Schrotflinten als verboten einstufte. In einem anschließenden Rückkaufprogramm gaben rund 33.000 Personen etwa 56.000 Waffen gegen Entschädigung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neuseeländische Lizenzsystem unterscheidet eine Standardlizenz der Kategorie A (für die meisten Jagd- und Sportgewehre) sowie vier Zusatz-Endorsements: B (Pistolenbesitz, nur für Mitglieder eines Schützenvereins und nur auf zugelassenen Schießständen), C (Pistolen und weitere „restricted weapons“), D (für Waffenhändler und Büchsenmacher) und E (die wenigen verbliebenen erlaubten „Military Style Semi-Automatics“, etwa für berufliche Schädlingsbekämpfung, Sammler oder bestimmte Sportschützen-Disziplinen). Wie in Australien zählt Selbstschutz ausdrücklich nicht zu den anerkannten Gründen für eine Waffenlizenz.</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Zuständigkeit für Waffenrecht ist 2026 in Bewegung. Der neue </w:t>
            </w:r>
            <w:r>
              <w:rPr>
                <w:rFonts w:eastAsia="Cambria" w:cs="Cambria"/>
                <w:b w:val="false"/>
                <w:bCs w:val="false"/>
                <w:i/>
                <w:iCs/>
                <w:sz w:val="20"/>
                <w:szCs w:val="20"/>
              </w:rPr>
              <w:t>Arms Act 2026</w:t>
            </w:r>
            <w:r>
              <w:rPr>
                <w:rFonts w:eastAsia="Cambria" w:cs="Cambria"/>
                <w:b w:val="false"/>
                <w:bCs w:val="false"/>
                <w:i w:val="false"/>
                <w:iCs w:val="false"/>
                <w:sz w:val="20"/>
                <w:szCs w:val="20"/>
              </w:rPr>
              <w:t xml:space="preserve"> erhielt am 5. August 2026 die königliche Zustimmung; die meisten Bestimmungen traten zum 23. September 2026 in Kraft. Er löst die bisherige, noch bei der Polizei angesiedelte Firearms Safety Authority durch eine eigenständige, von der Polizei getrennte Behörde ab (Te Tari Pūreke, Firearms Safety and Education New Zealand) und schließt unter anderem Bandenmitglieder ausdrücklich von einer Lizenz aus. Weitere Übergangsfristen für Waffenhändler und -munition laufen bis Februar 2028. Prüfe den aktuellen Stand direkt bei der neuen Behörde, bevor du dich auf ältere Informationen verlässt.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nach dem Referendum weiterhin illegal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17. Oktober 2020 stimmten die Neuseeländer in einem Referendum über die Legalisierung von Freizeit-Cannabis ab – und lehnten sie denkbar knapp ab, mit 51,17 % Nein-Stimmen gegenüber 48,83 % Ja-Stimmen. Cannabis bleibt seither im ganzen Land ein Klasse-C-Betäubungsmittel nach dem </w:t>
      </w:r>
      <w:r>
        <w:rPr>
          <w:rFonts w:eastAsia="Cambria" w:cs="Cambria"/>
          <w:b w:val="false"/>
          <w:bCs w:val="false"/>
          <w:i/>
          <w:iCs/>
          <w:sz w:val="22"/>
          <w:szCs w:val="22"/>
        </w:rPr>
        <w:t>Misuse of Drugs Act 1975</w:t>
      </w:r>
      <w:r>
        <w:rPr>
          <w:rFonts w:eastAsia="Cambria" w:cs="Cambria"/>
          <w:b w:val="false"/>
          <w:bCs w:val="false"/>
          <w:i w:val="false"/>
          <w:iCs w:val="false"/>
          <w:sz w:val="22"/>
          <w:szCs w:val="22"/>
        </w:rPr>
        <w:t xml:space="preserve"> (dem zentralen Betäubungsmittelgesetz); der Besitz zum Eigenkonsum kann theoretisch mit bis zu drei Monaten Haft oder einer Geldstrafe von bis zu 500 NZD geahndet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 es gibt keine Region mit eigener Sonderregel. Das ist auch strenger als der deutsche Rechtsstand: Seit dem deutschen Cannabisgesetz vom 1. April 2024 sind Besitz begrenzter Mengen und der Eigenanbau von bis zu drei Pflanzen erlaubt – ein Maßstab, den du in Neuseeland komplett vergisst. Der </w:t>
      </w:r>
      <w:r>
        <w:rPr>
          <w:rFonts w:eastAsia="Cambria" w:cs="Cambria"/>
          <w:b w:val="false"/>
          <w:bCs w:val="false"/>
          <w:i/>
          <w:iCs/>
          <w:sz w:val="22"/>
          <w:szCs w:val="22"/>
        </w:rPr>
        <w:t>Misuse of Drugs Amendment Act 2019</w:t>
      </w:r>
      <w:r>
        <w:rPr>
          <w:rFonts w:eastAsia="Cambria" w:cs="Cambria"/>
          <w:b w:val="false"/>
          <w:bCs w:val="false"/>
          <w:i w:val="false"/>
          <w:iCs w:val="false"/>
          <w:sz w:val="22"/>
          <w:szCs w:val="22"/>
        </w:rPr>
        <w:t xml:space="preserve"> verpflichtet die Polizei zwar, bei geringen Mengen zum Eigenbedarf einen gesundheitsbasierten statt einen strafrechtlichen Ansatz zu erwägen – das ist Ermessen im Einzelfall, keine Entkriminalisierung. Seit 2020 gibt es zusätzlich ein staatlich reguliertes Medizinalcannabis-Programm für ärztlich verschriebene Präparate, das mit dem allgemeinen Verbot nichts zu tun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landesweiten Rollout der Drogen-Speicheltests zum 1. Juli 2026 wird THC-Konsum im Straßenverkehr aktiv und verdachtsunabhängig kontrolliert. Ein positiver Test zieht dieselben Folgen nach sich wie bei anderen erfassten Substanzen – unabhängig davon, ob eine tatsächliche Fahrbeeinträchtigung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Erdbeben: Toka Tū Ake/EQC und die Alpine Fault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Auf der Südinsel kommt ein weiteres, gut erforschtes Risiko hinzu: die </w:t>
      </w:r>
      <w:r>
        <w:rPr>
          <w:rFonts w:eastAsia="Cambria" w:cs="Cambria"/>
          <w:b w:val="false"/>
          <w:bCs w:val="false"/>
          <w:i/>
          <w:iCs/>
          <w:sz w:val="22"/>
          <w:szCs w:val="22"/>
        </w:rPr>
        <w:t>Alpine Fault</w:t>
      </w:r>
      <w:r>
        <w:rPr>
          <w:rFonts w:eastAsia="Cambria" w:cs="Cambria"/>
          <w:b w:val="false"/>
          <w:bCs w:val="false"/>
          <w:i w:val="false"/>
          <w:iCs w:val="false"/>
          <w:sz w:val="22"/>
          <w:szCs w:val="22"/>
        </w:rP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rFonts w:eastAsia="Cambria" w:cs="Cambria"/>
          <w:b w:val="false"/>
          <w:bCs w:val="false"/>
          <w:i/>
          <w:iCs/>
          <w:sz w:val="22"/>
          <w:szCs w:val="22"/>
        </w:rPr>
        <w:t>AF8</w:t>
      </w:r>
      <w:r>
        <w:rPr>
          <w:rFonts w:eastAsia="Cambria" w:cs="Cambria"/>
          <w:b w:val="false"/>
          <w:bCs w:val="false"/>
          <w:i w:val="false"/>
          <w:iCs w:val="false"/>
          <w:sz w:val="22"/>
          <w:szCs w:val="22"/>
        </w:rPr>
        <w:t xml:space="preserve"> bereitet Gemeinden auf der Südinsel gezielt auf ein solches Ereignis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staatliche Naturgefahrenversicherung </w:t>
      </w:r>
      <w:r>
        <w:rPr>
          <w:rFonts w:eastAsia="Cambria" w:cs="Cambria"/>
          <w:b w:val="false"/>
          <w:bCs w:val="false"/>
          <w:i/>
          <w:iCs/>
          <w:sz w:val="22"/>
          <w:szCs w:val="22"/>
        </w:rPr>
        <w:t>Toka Tū Ake</w:t>
      </w:r>
      <w:r>
        <w:rPr>
          <w:rFonts w:eastAsia="Cambria" w:cs="Cambria"/>
          <w:b w:val="false"/>
          <w:bCs w:val="false"/>
          <w:i w:val="false"/>
          <w:iCs w:val="false"/>
          <w:sz w:val="22"/>
          <w:szCs w:val="22"/>
        </w:rPr>
        <w:t xml:space="preserve"> (Natural Hazards Commission, vormals Earthquake Commission, EQC) deckt bei einem anerkannten Schaden die ersten 300.000 NZD am Wohngebäude, vorausgesetzt, es besteht eine private Wohngebäudeversicherung mit Feuerschutz; die Umlage dafür ist auf 480 NZD zuzüglich Mehrwertsteuer pro Jahr gedeckelt und wird über die private Police eingezogen. Diese Basisdeckung ersetzt keine ausreichende private Versicherung, sondern ergänzt sie (mehr Details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zieht mit ihrem AEWV nach Christchurch, einer Stadt, die den Wiederaufbau nach 2011 noch sichtbar vor Augen hat – Baulücken, neue erdbebensichere Bürogebäude, Infotafeln an historischen Stellen. Sebastian Krüger ist zunächst unsicher, ob er das als beruhigend oder beunruhigend werten soll. Ein Nachbar erklärt ihm, worauf es ankomme: eine private Wohngebäudeversicherung mit korrekt eingeschlossenem Feuerschutz, damit die Toka-Tū-Ake-Basisdeckung überhaupt greift, ein Notfallrucksack im Flurschrank und ein fest vereinbarter Treffpunkt für die Familie, falls Lotta und Finn bei einem Beben gerade in der Schule sind und die Handynetze überlastet sein sollten. Petra Krüger übt mit den Kindern einmal im Quartal den „Drop, Cover, Hold“-Ablauf (Hinlegen, Schützen, Festhalten) – so nüchtern wie einen Feueralarm-Test, keineswegs dramatisch.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Vulkanrisiko: von Auckland bis Tongariro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überrascht: Auch die größte Stadt des Landes liegt auf einem Vulkanfeld. Das </w:t>
      </w:r>
      <w:r>
        <w:rPr>
          <w:rFonts w:eastAsia="Cambria" w:cs="Cambria"/>
          <w:b w:val="false"/>
          <w:bCs w:val="false"/>
          <w:i/>
          <w:iCs/>
          <w:sz w:val="22"/>
          <w:szCs w:val="22"/>
        </w:rPr>
        <w:t>Auckland Volcanic Field</w:t>
      </w:r>
      <w:r>
        <w:rPr>
          <w:rFonts w:eastAsia="Cambria" w:cs="Cambria"/>
          <w:b w:val="false"/>
          <w:bCs w:val="false"/>
          <w:i w:val="false"/>
          <w:iCs w:val="false"/>
          <w:sz w:val="22"/>
          <w:szCs w:val="22"/>
        </w:rPr>
        <w:t xml:space="preserve"> (Auckland-Vulkanfeld) umfasst rund 53 einzelne Vulkankegel unter und um die Stadt, darunter bekannte Wahrzeichen wie den Mount Eden oder Rangitoto Island – Letztere der jüngste und größte Kegel des Feldes, entstanden vor rund 600 Jahren. Das Feld gilt als ruhend, nicht als erloschen, und wird permanent überwacht.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Zuständig dafür ist </w:t>
      </w:r>
      <w:r>
        <w:rPr>
          <w:rFonts w:eastAsia="Cambria" w:cs="Cambria"/>
          <w:b w:val="false"/>
          <w:bCs w:val="false"/>
          <w:i/>
          <w:iCs/>
          <w:sz w:val="22"/>
          <w:szCs w:val="22"/>
        </w:rPr>
        <w:t>GeoNet</w:t>
      </w:r>
      <w:r>
        <w:rPr>
          <w:rFonts w:eastAsia="Cambria" w:cs="Cambria"/>
          <w:b w:val="false"/>
          <w:bCs w:val="false"/>
          <w:i w:val="false"/>
          <w:iCs w:val="false"/>
          <w:sz w:val="22"/>
          <w:szCs w:val="22"/>
        </w:rPr>
        <w:t xml:space="preserve"> (das gemeinsame Erdbeben-, Vulkan- und Tsunami-Überwachungssystem von GNS Science, Toka Tū Ake und weiteren Behörden), das jeden aktiven oder potenziell aktiven Vulkan auf einer sechsstufigen </w:t>
      </w:r>
      <w:r>
        <w:rPr>
          <w:rFonts w:eastAsia="Cambria" w:cs="Cambria"/>
          <w:b w:val="false"/>
          <w:bCs w:val="false"/>
          <w:i/>
          <w:iCs/>
          <w:sz w:val="22"/>
          <w:szCs w:val="22"/>
        </w:rPr>
        <w:t>Volcanic Alert Level</w:t>
      </w:r>
      <w:r>
        <w:rPr>
          <w:rFonts w:eastAsia="Cambria" w:cs="Cambria"/>
          <w:b w:val="false"/>
          <w:bCs w:val="false"/>
          <w:i w:val="false"/>
          <w:iCs w:val="false"/>
          <w:sz w:val="22"/>
          <w:szCs w:val="22"/>
        </w:rPr>
        <w:t xml:space="preserve"> (VAL, Vulkan-Warnstufe) von 0 bis 5 einstuft: Stufe 0 bedeutet Ruhe ohne Unruhe, die Stufen 1 und 2 markieren zunehmende vulkanische Unruhe, die Stufen 3 bis 5 einen tatsächlichen Ausbruch von gering bis schwer.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aktivste Beispiel liegt vor der Küste: </w:t>
      </w:r>
      <w:r>
        <w:rPr>
          <w:rFonts w:eastAsia="Cambria" w:cs="Cambria"/>
          <w:b w:val="false"/>
          <w:bCs w:val="false"/>
          <w:i/>
          <w:iCs/>
          <w:sz w:val="22"/>
          <w:szCs w:val="22"/>
        </w:rPr>
        <w:t>Whakaari/White Island</w:t>
      </w:r>
      <w:r>
        <w:rPr>
          <w:rFonts w:eastAsia="Cambria" w:cs="Cambria"/>
          <w:b w:val="false"/>
          <w:bCs w:val="false"/>
          <w:i w:val="false"/>
          <w:iCs w:val="false"/>
          <w:sz w:val="22"/>
          <w:szCs w:val="22"/>
        </w:rPr>
        <w:t xml:space="preserve">,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Tongariro-Vulkankomplex mit dem Mount Ruapehu – hier ereignete sich am 24. Dezember 1953 eines der schwersten Unglücke der neuseeländischen Geschichte: Ein </w:t>
      </w:r>
      <w:r>
        <w:rPr>
          <w:rFonts w:eastAsia="Cambria" w:cs="Cambria"/>
          <w:b w:val="false"/>
          <w:bCs w:val="false"/>
          <w:i/>
          <w:iCs/>
          <w:sz w:val="22"/>
          <w:szCs w:val="22"/>
        </w:rPr>
        <w:t>Lahar</w:t>
      </w:r>
      <w:r>
        <w:rPr>
          <w:rFonts w:eastAsia="Cambria" w:cs="Cambria"/>
          <w:b w:val="false"/>
          <w:bCs w:val="false"/>
          <w:i w:val="false"/>
          <w:iCs w:val="false"/>
          <w:sz w:val="22"/>
          <w:szCs w:val="22"/>
        </w:rPr>
        <w:t xml:space="preserve"> (ein Schlammstrom aus vulkanischem Material und Wasser, ausgelöst durch den Kraterseeausbruch des Ruapehu) riss bei Tangiwai eine Eisenbahnbrücke fort, kurz bevor ein Personenzug sie passierte; 151 Menschen starben.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wundert sich in seinem ersten Monat in Auckland über die vielen kleinen, grasbewachsenen Hügel mitten in der Stadt – bis ihm ein Kollege erklärt, dass er dort gerade seinen Feierabendlauf auf einem erloschen wirkenden, aber offiziell nur „ruhenden“ Vulkan absolviert hat. Paul ist kurz irritiert, dass niemand in seinem Büro das für erwähnenswert hält, dann liest er auf der GeoNet-Website nach: Das Auckland-Vulkanfeld wird seit Jahrzehnten engmaschig überwacht, ein Ausbruch ohne monatelange Vorwarnung gilt als unwahrscheinlich. Er installiert trotzdem, mehr aus Neugier als aus Sorge, die GeoNet-App auf dem Handy – und bemerkt bald, dass sie ohnehin meist wegen kleinerer Erdbeben piept, nicht wegen Vulkanen.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Tsunami und Notfallausrüstung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National Emergency Management Agency</w:t>
      </w:r>
      <w:r>
        <w:rPr>
          <w:rFonts w:eastAsia="Cambria" w:cs="Cambria"/>
          <w:b w:val="false"/>
          <w:bCs w:val="false"/>
          <w:i w:val="false"/>
          <w:iCs w:val="false"/>
          <w:sz w:val="22"/>
          <w:szCs w:val="22"/>
        </w:rPr>
        <w:t xml:space="preserve"> (NEMA, die nationale Zivilschutzbehörde) betreibt unter getready.govt.nz die Kampagne „Get Ready“ mit konkreten Vorsorgeempfehlungen. Für Küstenregionen gilt eine einprägsame Faustregel für Tsunamis: „Long or Strong, Get Gone“ – ist ein Erdbeben lang (länger als eine Minute) oder stark (du kannst kaum noch stehen), sofort zu Fuß oder mit dem Rad ins Hochland oder so weit wie möglich landeinwärts, ohne auf eine offizielle Warnung zu warten. Bei einem Erdbeben in Küstennähe kann eine lokale Tsunamiwelle innerhalb weniger Minuten eintreffen, für eine amtliche Warnung bleibt dann keine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zusätzlich die GeoNet-App für Erdbeben- und Vulkanwarnungen sowie das landesweite Notfall-Warnsystem </w:t>
      </w:r>
      <w:r>
        <w:rPr>
          <w:rFonts w:eastAsia="Cambria" w:cs="Cambria"/>
          <w:b w:val="false"/>
          <w:bCs w:val="false"/>
          <w:i/>
          <w:iCs/>
          <w:sz w:val="22"/>
          <w:szCs w:val="22"/>
        </w:rPr>
        <w:t>Emergency Mobile Alert</w:t>
      </w:r>
      <w:r>
        <w:rPr>
          <w:rFonts w:eastAsia="Cambria" w:cs="Cambria"/>
          <w:b w:val="false"/>
          <w:bCs w:val="false"/>
          <w:i w:val="false"/>
          <w:iCs w:val="false"/>
          <w:sz w:val="22"/>
          <w:szCs w:val="22"/>
        </w:rPr>
        <w:t>, das Warnungen direkt aufs Handy sendet.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Get-Ready-Website und die GeoNet-App sind kostenlos und auf Englisch leicht verständlich. Ein Notfallset lässt sich über Monate günstig selbst zusammenstellen, statt teure Fertig-Sets zu kaufen – die offizielle Checkliste von getready.govt.nz zeigt genau, was hineingehört.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lass Wertsachen nicht sichtbar im Auto liegen. Bei einem akuten Notfall wählst du 111, für weniger dringende Anliegen die Nicht-Notfall-Nummer 105.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Neuseeland, keine Rechtsberatung. Polizei-, Waffen- und Cannabis-Recht befinden sich 2026 mit dem neuen Arms Act und dem landesweiten Drogentest-Rollout in spürbarer Bewegung. Lass dich im Einzelfall von einer neuseeländischen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Unbewaffnete Polizei im Alltag, bewusst und öffentlich verteidigt</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Alkohol- und seit 2026 Drogenkontrollen wirken auf Neuankömmlinge zunächst befremdlich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Recht im ganzen Land, kein föderaler Flickenteppich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und Cannabis-Recht ändern sich 2026 gleich mehrfach spürbar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bleibt trotz knappem Referendum ausnahmslos illegal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und Vulkanrisiko sind für weite Teile des Landes real, nicht nur theoretisch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ausgebautes, kostenloses Warn- und Vorsorgesystem (GeoNet, NEMA)</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Toka-Tū-Ake-Deckung ist eine Ergänzung, kein Ersatz für private Versicherung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grundsätzlich, solange du dir über die Rechtslage nicht absolut sicher bist – das gilt besonders fürs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Alkohol- und Drogenkontrolle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zur Kenntnis genommen: im ganzen Land illegal, kein regionaler Sonderfall.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abgeschlossen, damit die Toka-Tū-Ake-Basisdeckung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GeoNet-App und Emergency Mobile Alert installiert.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Haushalts-Notfallset für mindestens drei Tage zusammengestellt (Wasser, Lebensmittel, Erste Hilfe, Bargeld, Dokumente).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Tsunami-Regel „Long or Strong, Get Gone“ mit der Familie besprochen, falls der Wohnort küstennah 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Police – Verhalten bei Kontrollen, Notrufnummern: </w:t>
      </w:r>
      <w:hyperlink r:id="rId735">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Firearms Safety and Education New Zealand (Te Tari Pūreke) – Waffenrecht, Arms Act 2026: </w:t>
      </w:r>
      <w:hyperlink r:id="rId736">
        <w:r>
          <w:rPr>
            <w:rStyle w:val="ListLabel113"/>
            <w:rFonts w:eastAsia="Cambria" w:cs="Cambria"/>
            <w:b w:val="false"/>
            <w:bCs w:val="false"/>
            <w:i w:val="false"/>
            <w:iCs w:val="false"/>
            <w:color w:val="0563C1"/>
            <w:sz w:val="22"/>
            <w:szCs w:val="22"/>
            <w:u w:val="single"/>
          </w:rPr>
          <w:t>firearmssafety.govt.nz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Ministry of Justice – Firearms Reform, Arms Act 2026: </w:t>
      </w:r>
      <w:hyperlink r:id="rId737">
        <w:r>
          <w:rPr>
            <w:rStyle w:val="ListLabel113"/>
            <w:rFonts w:eastAsia="Cambria" w:cs="Cambria"/>
            <w:b w:val="false"/>
            <w:bCs w:val="false"/>
            <w:i w:val="false"/>
            <w:iCs w:val="false"/>
            <w:color w:val="0563C1"/>
            <w:sz w:val="22"/>
            <w:szCs w:val="22"/>
            <w:u w:val="single"/>
          </w:rPr>
          <w:t>justice.govt.nz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NZ Drug Foundation / New Zealand Police – Roadside Drug Testing: </w:t>
      </w:r>
      <w:hyperlink r:id="rId738">
        <w:r>
          <w:rPr>
            <w:rStyle w:val="ListLabel113"/>
            <w:rFonts w:eastAsia="Cambria" w:cs="Cambria"/>
            <w:b w:val="false"/>
            <w:bCs w:val="false"/>
            <w:i w:val="false"/>
            <w:iCs w:val="false"/>
            <w:color w:val="0563C1"/>
            <w:sz w:val="22"/>
            <w:szCs w:val="22"/>
            <w:u w:val="single"/>
          </w:rPr>
          <w:t>drugfoundation.org.nz</w:t>
        </w:r>
      </w:hyperlink>
      <w:r>
        <w:rPr>
          <w:rFonts w:eastAsia="Cambria" w:cs="Cambria"/>
          <w:b w:val="false"/>
          <w:bCs w:val="false"/>
          <w:i w:val="false"/>
          <w:iCs w:val="false"/>
          <w:sz w:val="22"/>
          <w:szCs w:val="22"/>
        </w:rPr>
        <w:t xml:space="preserve">, </w:t>
      </w:r>
      <w:hyperlink r:id="rId739">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GeoNet (GNS Science, Toka Tū Ake u. a.) – Erdbeben-, Vulkan- und Tsunamiüberwachung: </w:t>
      </w:r>
      <w:hyperlink r:id="rId740">
        <w:r>
          <w:rPr>
            <w:rStyle w:val="ListLabel113"/>
            <w:rFonts w:eastAsia="Cambria" w:cs="Cambria"/>
            <w:b w:val="false"/>
            <w:bCs w:val="false"/>
            <w:i w:val="false"/>
            <w:iCs w:val="false"/>
            <w:color w:val="0563C1"/>
            <w:sz w:val="22"/>
            <w:szCs w:val="22"/>
            <w:u w:val="single"/>
          </w:rPr>
          <w:t>geonet.org.nz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Emergency Management Agency – Get Ready, Notfallvorsorge: </w:t>
      </w:r>
      <w:hyperlink r:id="rId741">
        <w:r>
          <w:rPr>
            <w:rStyle w:val="ListLabel113"/>
            <w:rFonts w:eastAsia="Cambria" w:cs="Cambria"/>
            <w:b w:val="false"/>
            <w:bCs w:val="false"/>
            <w:i w:val="false"/>
            <w:iCs w:val="false"/>
            <w:color w:val="0563C1"/>
            <w:sz w:val="22"/>
            <w:szCs w:val="22"/>
            <w:u w:val="single"/>
          </w:rPr>
          <w:t>getready.govt.nz</w:t>
        </w:r>
      </w:hyperlink>
      <w:r>
        <w:rPr>
          <w:rFonts w:eastAsia="Cambria" w:cs="Cambria"/>
          <w:b w:val="false"/>
          <w:bCs w:val="false"/>
          <w:i w:val="false"/>
          <w:iCs w:val="false"/>
          <w:sz w:val="22"/>
          <w:szCs w:val="22"/>
        </w:rPr>
        <w:t xml:space="preserve">, </w:t>
      </w:r>
      <w:hyperlink r:id="rId742">
        <w:r>
          <w:rPr>
            <w:rStyle w:val="ListLabel113"/>
            <w:rFonts w:eastAsia="Cambria" w:cs="Cambria"/>
            <w:b w:val="false"/>
            <w:bCs w:val="false"/>
            <w:i w:val="false"/>
            <w:iCs w:val="false"/>
            <w:color w:val="0563C1"/>
            <w:sz w:val="22"/>
            <w:szCs w:val="22"/>
            <w:u w:val="single"/>
          </w:rPr>
          <w:t>civildefence.govt.nz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Toka Tū Ake Natural Hazards Commission – Erdbebenversicherung: </w:t>
      </w:r>
      <w:hyperlink r:id="rId743">
        <w:r>
          <w:rPr>
            <w:rStyle w:val="ListLabel113"/>
            <w:rFonts w:eastAsia="Cambria" w:cs="Cambria"/>
            <w:b w:val="false"/>
            <w:bCs w:val="false"/>
            <w:i w:val="false"/>
            <w:iCs w:val="false"/>
            <w:color w:val="0563C1"/>
            <w:sz w:val="22"/>
            <w:szCs w:val="22"/>
            <w:u w:val="single"/>
          </w:rPr>
          <w:t>naturalhazards.govt.nz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Krisenvorsorgeliste Elefand: </w:t>
      </w:r>
      <w:hyperlink r:id="rId744">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neue Arms Act 2026 ist erst seit heute weitgehend in Kraft und wird bis 2028 in mehreren Stufen umgesetzt, das landesweite Drogentest-Programm läuft erst seit dem 1. Juli 2026 vollständig, und die Erdbeben- und Vulkanwarnstufen ändern sich laufend. Prüfe vor jeder Entscheidung die aktuellen Seiten von firearmssafety.govt.nz, geonet.org.nz und civildefence.govt.nz.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0" w:name="__RefHeading___Toc56630_3457424410"/>
      <w:bookmarkStart w:id="201" w:name="tnz16"/>
      <w:bookmarkEnd w:id="200"/>
      <w:r>
        <w:rPr>
          <w:rFonts w:eastAsia="Amazon Ember" w:cs="Amazon Ember" w:ascii="Amazon Ember" w:hAnsi="Amazon Ember"/>
          <w:b/>
          <w:bCs/>
          <w:color w:val="0000FF"/>
          <w:sz w:val="36"/>
          <w:szCs w:val="36"/>
        </w:rPr>
        <w:t>Neuseeland: Staatsbürgerschaft und Steuerresidenz</w:t>
      </w:r>
      <w:bookmarkEnd w:id="20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Paul Lindner zum ersten Mal hört, wie die USA ihre Staatsbürger besteuern – lebenslang, weltweit, unabhängig vom Wohnort, sogar nach einer Rückkehr nach Deutschland –, fragt er sich kurz, ob ihn das eines Tages mit neuseeländischem Pass ähnlich treffen könnte. Ein Steuerberater in Auckland winkt ab: Neuseeland fragt nicht, welchen Pass du trägst, sondern wo du lebst. Der Weg zum neuseeländischen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fünf Jahre durchgehenden Besitz eines Resident-Class-Visums voraus, mit mindestens 1.350 von 1.825 Tagen physischer Anwesenheit UND mindestens 240 Tagen in jedem einzelnen dieser fünf Jahre – gezählt ab dem Jahrestag des Visums, nicht ab dem Kalenderjahr.</w:t>
            </w:r>
          </w:p>
          <w:p>
            <w:pPr>
              <w:pStyle w:val="ListParagraph"/>
              <w:numPr>
                <w:ilvl w:val="0"/>
                <w:numId w:val="1"/>
              </w:numPr>
              <w:spacing w:lineRule="exact" w:line="264" w:before="0" w:after="50"/>
              <w:rPr/>
            </w:pPr>
            <w:r>
              <w:rPr>
                <w:rFonts w:eastAsia="Cambria" w:cs="Cambria"/>
                <w:b w:val="false"/>
                <w:bCs w:val="false"/>
                <w:i w:val="false"/>
                <w:iCs w:val="false"/>
                <w:sz w:val="20"/>
                <w:szCs w:val="20"/>
              </w:rPr>
              <w:t>Ab voraussichtlich Ende 2027 kommt ein neuer Staatskundetest (20 Fragen, 15 richtig zum Bestehen); wer vorher schon einen Antrag gestellt hat, muss ihn nicht ablegen.</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560 NZD pro Erwachsenem (seit 28. August 2026); rund 91 % der Anträge werden innerhalb von acht Monaten entschieden, zusätzlich ein bis drei Monate bis zur Zeremonie.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beidseitig unproblematisch: Neuseeland verlangt keinen Verzicht, und seit der deutschen Reform vom 27. Juni 2024 bleibt auch die deutsche Staatsangehörigkeit automatisch erhalten.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Neuseeland besteuert nach Steuerwohnsitz, nicht nach Pass. Anders als die USA gibt es keine an die Staatsbürgerschaft gekoppelte, lebenslange Steuerpflicht und keine Exit Tax beim Verzicht auf den neuseeländischen Pass.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vor allem davon ab, wie schnell du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erreichst – erst dann beginnt die eigentliche Einbürgerungs-Uhr zu laufen. Paul Lindner, der wie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beschrieben direkt mit einem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Resident Visa aus Deutschland einreist, hält dieses Visum bereits am Tag der Landung; die 1.350-Tage-Uhr läuft ab diesem Zeitpunkt. Familie Krüger dagegen kommt zunächst mit dem befristeten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weil Sebastians Beruf als Agraringenieur auf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steht – der Wechsel zum Resident Visa erfolgt hier typischerweise über den „Straight to Residence“-Pfad der Green List oder über die SMC selbst, nach einigen Monaten bis zu zwei Jahren Berufserfahrung in Neuseeland. Die formale Anwesenheitspflicht beginnt für die Familie erst mit der Erteilung dieses Resident Visa, nicht schon mit dem AEWV.</w:t>
      </w:r>
    </w:p>
    <w:tbl>
      <w:tblPr>
        <w:tblW w:w="6480" w:type="dxa"/>
        <w:jc w:val="left"/>
        <w:tblInd w:w="0" w:type="dxa"/>
        <w:tblLayout w:type="fixed"/>
        <w:tblCellMar>
          <w:top w:w="50" w:type="dxa"/>
          <w:left w:w="80" w:type="dxa"/>
          <w:bottom w:w="50" w:type="dxa"/>
          <w:right w:w="80" w:type="dxa"/>
        </w:tblCellMar>
      </w:tblPr>
      <w:tblGrid>
        <w:gridCol w:w="2899"/>
        <w:gridCol w:w="3580"/>
      </w:tblGrid>
      <w:tr>
        <w:trPr>
          <w:tblHeader w:val="true"/>
          <w:cantSplit w:val="true"/>
        </w:trPr>
        <w:tc>
          <w:tcPr>
            <w:tcW w:w="28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35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Einbürgerungsantrag</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SMC Resident Visa (wie Paul Lindner)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5,5–7 Jahre</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 Green List/SMC-Übergang zur Residenz (wie Familie Krüger)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6,5–8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Resident Visa selbst ist zunächst rund 24 Monate reisebeschränkt – wer in dieser Zeit ohne vorherige Zustimmung zu lange im Ausland ist, riskiert Probleme bei der Wiedereinreise. Danach wandelt sich der Titel üblicherweise in die unbefristete, reisebeschränkungsfreie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(PRV); für die Einbürgerung selbst ist die PRV aber nicht zwingend Voraussetzung – auch die Zeit mit dem reisebeschränkten Resident Visa zählt zur fünfjährigen Frist. Die Bearbeitung des SMC-Resident-Visa-Antrags selbst dauert im Median rund neun Wochen; wer wie Familie Krüger erst über das AEWV einreist, sollte diese Bearbeitungszeit zusätzlich zur vorherigen Berufserfahrung in seine Zeitplanung einrechnen.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ist für Inhaber ohne erkennbaren Weg zur Residenz auf eine Gesamtdauer von maximal fünf Jahren begrenzt. Wer bis dahin nicht auf ein Resident Visa – etwa über die Green List oder die SMC – gewechselt ist, muss zwölf Monate außerhalb Neuseelands verbringen, bevor ein neues AEWV überhaupt wieder möglich ist. Wer den Übergang zur Residenz plant, sollte ihn deshalb rechtzeitig angehen und nicht auf das Ende der fünf Jahre zulaufen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1.350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zunächst einfach: mindestens 1.350 Tage physische Anwesenheit innerhalb der fünf Jahre unmittelbar vor der Antragstellung. Der eigentliche Stolperstein liegt in einer zweiten, unabhängigen Bedingung: mindestens 240 Tage Anwesenheit in </w:t>
      </w:r>
      <w:r>
        <w:rPr>
          <w:rFonts w:eastAsia="Cambria" w:cs="Cambria"/>
          <w:b/>
          <w:bCs/>
          <w:i w:val="false"/>
          <w:iCs w:val="false"/>
          <w:sz w:val="22"/>
          <w:szCs w:val="22"/>
        </w:rPr>
        <w:t>jedem einzelnen</w:t>
      </w:r>
      <w:r>
        <w:rPr>
          <w:rFonts w:eastAsia="Cambria" w:cs="Cambria"/>
          <w:b w:val="false"/>
          <w:bCs w:val="false"/>
          <w:i w:val="false"/>
          <w:iCs w:val="false"/>
          <w:sz w:val="22"/>
          <w:szCs w:val="22"/>
        </w:rPr>
        <w:t xml:space="preserve"> dieser fünf 12-Monats-Zeiträume – nicht im Kalenderjahr, sondern gezählt ab dem individuellen Jahrestag deines Resident Visa. Ein einzelnes „schwaches“ Jahr mit beispielsweise nur 210 Tagen Anwesenheit lässt die gesamte Fünf-Jahres-Periode scheitern, selbst wenn die Gesamtsumme von 1.350 Tagen über die anderen Jahre klar erreicht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verbreitetste Fehlkalkulation ist die Annahme, nur die 1.350-Tage-Gesamtsumme zähle. Eine längere Deutschlandreise – etwa wegen der Pflege eines erkrankten Elternteils – kann ausgerechnet in einem einzelnen Jahr die 240-Tage-Schwelle reißen, auch wenn du in den übrigen vier Jahren kaum verreist bist. Führe von Anfang an ein Anwesenheitslogbuch und rechne beide Bedingungen getrennt durch, nicht nur die große Zahl.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Weil die Jahresgrenzen ab dem Jahrestag deines Visums laufen und nicht ab dem 1. Januar, berührt eine Reise über den Jahreswechsel häufig zwei verschiedene „Visa-Jahre“ gleichzeitig – wer nur mit dem Kalenderjahr rechnet, verzählt sich 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lebt seit über vier Jahren mit Resident Visa in Christchurch, als Petras Mutter in Deutschland schwer erkrankt. Petra reist für rund fünf Monate zur Pflege nach Deutschland, während Sebastian mit Lotta und Finn in Christchurch bleibt. Als sie später ihre Anwesenheitstage für den Einbürgerungsantrag zusammenrechnet, stellt Petra fest, dass ausgerechnet dieses eine Visa-Jahr nur auf rund 210 Tage kommt – deutlich unter der 240-Tage-Schwelle. Die Gesamtsumme über alle fünf Jahre liegt weit über 1.350 Tagen, das ändert aber nichts: Petra muss ein zusätzliches Jahr warten, bis ein neues, vollständiges Fünf-Jahres-Fenster ohne dieses schwache Jahr entsteht.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der angekündigte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Bis heute verlangt Neuseeland für die Einbürgerung keinen formalisierten Sprachtest – „ausreichende Kenntnisse der englischen Sprache“ werden einzelfallbezogen geprüft, oft im persönlichen Interview, ohne festgelegtes Prüfungsformat oder Sprachniveau. Das ändert sich, sobald der neue Staatskundetest kommt: Die Regierung hat ihn für voraussichtlich Ende 2027 angekündigt, mit 20 Multiple-Choice-Fragen und einer Bestehensgrenze von 15 richtigen Antworten (75 %), voraussichtlich als Präsenzprüfung. Themen sollen unter anderem der </w:t>
      </w:r>
      <w:r>
        <w:rPr>
          <w:rFonts w:eastAsia="Cambria" w:cs="Cambria"/>
          <w:b w:val="false"/>
          <w:bCs w:val="false"/>
          <w:i/>
          <w:iCs/>
          <w:sz w:val="22"/>
          <w:szCs w:val="22"/>
        </w:rPr>
        <w:t>Bill of Rights Act</w:t>
      </w:r>
      <w:r>
        <w:rPr>
          <w:rFonts w:eastAsia="Cambria" w:cs="Cambria"/>
          <w:b w:val="false"/>
          <w:bCs w:val="false"/>
          <w:i w:val="false"/>
          <w:iCs w:val="false"/>
          <w:sz w:val="22"/>
          <w:szCs w:val="22"/>
        </w:rPr>
        <w: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 und wer seinen Antrag schon vor Inkrafttreten der neuen Regel eingereicht hat, muss den Test ebenfalls nicht ablegen.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1.350/240-Tage-Frist ohnehin bald erfüllt, sollte den Einbürgerungsantrag bewusst so timen, dass er vor Inkrafttreten des neuen Staatskundetests Ende 2027 eingereicht wird – auch wenn Format und genauer Starttermin noch nicht endgültig feststehen, spart eine frühere Antragstellung möglicherweise die zusätzliche Prüfungshürde.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der Anwesenheitspflicht prüft das </w:t>
      </w:r>
      <w:r>
        <w:rPr>
          <w:rFonts w:eastAsia="Cambria" w:cs="Cambria"/>
          <w:b w:val="false"/>
          <w:bCs w:val="false"/>
          <w:i/>
          <w:iCs/>
          <w:sz w:val="22"/>
          <w:szCs w:val="22"/>
        </w:rPr>
        <w:t>Department of Internal Affairs</w:t>
      </w:r>
      <w:r>
        <w:rPr>
          <w:rFonts w:eastAsia="Cambria" w:cs="Cambria"/>
          <w:b w:val="false"/>
          <w:bCs w:val="false"/>
          <w:i w:val="false"/>
          <w:iCs w:val="false"/>
          <w:sz w:val="22"/>
          <w:szCs w:val="22"/>
        </w:rPr>
        <w:t xml:space="preserve"> (DIA) bei jedem Antragsteller den „guten Leumund“ (</w:t>
      </w:r>
      <w:r>
        <w:rPr>
          <w:rFonts w:eastAsia="Cambria" w:cs="Cambria"/>
          <w:b w:val="false"/>
          <w:bCs w:val="false"/>
          <w:i/>
          <w:iCs/>
          <w:sz w:val="22"/>
          <w:szCs w:val="22"/>
        </w:rPr>
        <w:t>Good Character</w:t>
      </w:r>
      <w:r>
        <w:rPr>
          <w:rFonts w:eastAsia="Cambria" w:cs="Cambria"/>
          <w:b w:val="false"/>
          <w:bCs w:val="false"/>
          <w:i w:val="false"/>
          <w:iCs w:val="false"/>
          <w:sz w:val="22"/>
          <w:szCs w:val="22"/>
        </w:rPr>
        <w:t>)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liegt seit dem 28. August 2026 bei 560 NZD pro Erwachsenem (eine Anhebung um 14,4 % gegenüber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 erst mit ihr bist du formal Staatsbürger und kannst den Reisepass beantragen. Die Zeremonie selbst (</w:t>
      </w:r>
      <w:r>
        <w:rPr>
          <w:rFonts w:eastAsia="Cambria" w:cs="Cambria"/>
          <w:b w:val="false"/>
          <w:bCs w:val="false"/>
          <w:i/>
          <w:iCs/>
          <w:sz w:val="22"/>
          <w:szCs w:val="22"/>
        </w:rPr>
        <w:t>Oath or Affirmation of Allegiance</w:t>
      </w:r>
      <w:r>
        <w:rPr>
          <w:rFonts w:eastAsia="Cambria" w:cs="Cambria"/>
          <w:b w:val="false"/>
          <w:bCs w:val="false"/>
          <w:i w:val="false"/>
          <w:iCs w:val="false"/>
          <w:sz w:val="22"/>
          <w:szCs w:val="22"/>
        </w:rPr>
        <w:t>, wählbar auf Englisch oder Te Reo Māori) wird meist vom Bürgermeister der Gemeinde geleitet, dauert inklusive Reden und kulturellem Programm oft mehrere Stunden und schließt mit der Nationalhymne; das Zertifikat erhältst du direkt vor Ort. Die Teilnahme ist innerhalb eines Jahres nach der Genehmigung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Ab Ende 2026 werden viele Inhaber der 2021 Resident Visa (ein Sonderprogramm aus der Pandemiezeit) einbürgerungsberechtigt. Das DIA selbst weist darauf hin, dass sich die Bearbeitungszeiten dadurch wieder verlängern könnten – plane bei einem Antrag in diesem Zeitraum einen zeitlichen Puffer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Neuseeland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zuständigen Honorarkonsulat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kein unbedingtes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Kanada gilt in Neuseeland seit dem 1. Januar 2006 kein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mehr. Ein in Neuseeland geborenes Kind wird nur dann automatisch Staatsbürger, wenn mindestens ein Elternteil zum Geburtszeitpunkt neuseeländischer Staatsbürger oder Permanent Resident ist – oder australischer Staatsbürger beziehungsweise Bürger oder Permanent Resident der Cookinseln, Tokelaus oder Niues, eine Besonderheit aus der historischen Verbindung Neuseelands zu diesen pazifischen Inselgruppen. Vor 2006 Geborene erhielten die Staatsangehörigkeit noch unabhängig vom Status der Eltern.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im Ausland geborene Kinder neuseeländischer Eltern gilt zusätzlich ein Generationenlimit: Ein Elternteil, der selbst nur „</w:t>
      </w:r>
      <w:r>
        <w:rPr>
          <w:rFonts w:eastAsia="Cambria" w:cs="Cambria"/>
          <w:b w:val="false"/>
          <w:bCs w:val="false"/>
          <w:i/>
          <w:iCs/>
          <w:sz w:val="22"/>
          <w:szCs w:val="22"/>
        </w:rPr>
        <w:t>by descent</w:t>
      </w:r>
      <w:r>
        <w:rPr>
          <w:rFonts w:eastAsia="Cambria" w:cs="Cambria"/>
          <w:b w:val="false"/>
          <w:bCs w:val="false"/>
          <w:i w:val="false"/>
          <w:iCs w:val="false"/>
          <w:sz w:val="22"/>
          <w:szCs w:val="22"/>
        </w:rPr>
        <w:t xml:space="preserve">“ (durch Abstammung im Ausland) neuseeländischer Staatsbürger wurde, kann diese Staatsbürgerschaft nicht an ein eigenes, im Ausland geborenes Kind weitergeben – das Kind braucht dann den regulären Weg über </w:t>
      </w:r>
      <w:r>
        <w:rPr>
          <w:rFonts w:eastAsia="Cambria" w:cs="Cambria"/>
          <w:b w:val="false"/>
          <w:bCs w:val="false"/>
          <w:i/>
          <w:iCs/>
          <w:sz w:val="22"/>
          <w:szCs w:val="22"/>
        </w:rPr>
        <w:t>Citizenship by Grant</w:t>
      </w:r>
      <w:r>
        <w:rPr>
          <w:rFonts w:eastAsia="Cambria" w:cs="Cambria"/>
          <w:b w:val="false"/>
          <w:bCs w:val="false"/>
          <w:i w:val="false"/>
          <w:iCs w:val="false"/>
          <w:sz w:val="22"/>
          <w:szCs w:val="22"/>
        </w:rPr>
        <w:t xml:space="preserve">. Für die erste Generation im Ausland ist die Registrierung als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beim DIA Pflicht und konstitutiv – die Staatsbürgerschaft entsteht erst mit der Registrierung, nicht automatisch mit der Geburt (Gebühr 243 NZD).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liegt der wichtigste Unterschied zur US-Regelung, der viele Auswanderer verunsichert, sobald sie zum ersten Mal davon hören: Die neuseeländische Finanzbehörde </w:t>
      </w:r>
      <w:r>
        <w:rPr>
          <w:rFonts w:eastAsia="Cambria" w:cs="Cambria"/>
          <w:b w:val="false"/>
          <w:bCs w:val="false"/>
          <w:i/>
          <w:iCs/>
          <w:sz w:val="22"/>
          <w:szCs w:val="22"/>
        </w:rPr>
        <w:t>Inland Revenue</w:t>
      </w:r>
      <w:r>
        <w:rPr>
          <w:rFonts w:eastAsia="Cambria" w:cs="Cambria"/>
          <w:b w:val="false"/>
          <w:bCs w:val="false"/>
          <w:i w:val="false"/>
          <w:iCs w:val="false"/>
          <w:sz w:val="22"/>
          <w:szCs w:val="22"/>
        </w:rPr>
        <w:t xml:space="preserve"> (IRD) besteuert nach Steuerwohnsitz, nicht nach Staatsangehörigkeit. Steuerresidenz entsteht entweder durch einen „</w:t>
      </w:r>
      <w:r>
        <w:rPr>
          <w:rFonts w:eastAsia="Cambria" w:cs="Cambria"/>
          <w:b w:val="false"/>
          <w:bCs w:val="false"/>
          <w:i/>
          <w:iCs/>
          <w:sz w:val="22"/>
          <w:szCs w:val="22"/>
        </w:rPr>
        <w:t>permanent place of abode</w:t>
      </w:r>
      <w:r>
        <w:rPr>
          <w:rFonts w:eastAsia="Cambria" w:cs="Cambria"/>
          <w:b w:val="false"/>
          <w:bCs w:val="false"/>
          <w:i w:val="false"/>
          <w:iCs w:val="false"/>
          <w:sz w:val="22"/>
          <w:szCs w:val="22"/>
        </w:rP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Neuseeland gibt es dieses Konstrukt nicht: Der Verzicht auf die neuseeländische Staatsbürgerschaft (</w:t>
      </w:r>
      <w:r>
        <w:rPr>
          <w:rFonts w:eastAsia="Cambria" w:cs="Cambria"/>
          <w:b w:val="false"/>
          <w:bCs w:val="false"/>
          <w:i/>
          <w:iCs/>
          <w:sz w:val="22"/>
          <w:szCs w:val="22"/>
        </w:rPr>
        <w:t>Renunciation</w:t>
      </w:r>
      <w:r>
        <w:rPr>
          <w:rFonts w:eastAsia="Cambria" w:cs="Cambria"/>
          <w:b w:val="false"/>
          <w:bCs w:val="false"/>
          <w:i w:val="false"/>
          <w:iCs w:val="false"/>
          <w:sz w:val="22"/>
          <w:szCs w:val="22"/>
        </w:rPr>
        <w:t>) kostet lediglich eine Verwaltungsgebühr von 474 NZD, keine gesonderte Steuer. Ein steuerlicher Wegzug – die Aufgabe der neuseeländischen Steuerresidenz – ist eine Frage des Wohnsitzes, keine Frage der Staatsangehörigkeit, und betrifft jeden, der seinen Lebensmittelpunkt verlagert, ganz unabhängig vom Pass.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neuseeländische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arbeitet seit einigen Jahren als IT-Berater in Auckland und überlegt, ein Angebot eines Frankfurter Kunden anzunehmen, das ihn für zwei Jahre zurück nach Deutschland führen würde. Seine erste Sorge gilt der Frage, ob Neuseeland ihn dann weiterhin besteuert, weil er ja irgendwann den neuseeländischen Pass anstrebt. Ein Steuerberater klärt ihn auf: Sobald Paul seinen Wohnsitz und Lebensmittelpunkt wirklich nach Frankfurt verlagert und die 183-Tage-Grenze in Neuseeland unterschreitet, gilt er als steuerlich nicht mehr ansässig – unabhängig davon, ob er später einen neuseeländischen Pass besitzt oder nicht. Neuseeländische Steuern fallen dann nur noch auf rein neuseeländische Einkünfte an, etwa eine vermietete Eigentumswohnung in Auckland,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240-Tage-Regel pro Einzeljahr wird leicht übersehen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formaler Sprachtest bis mindestens Ende 2027</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Neuer Staatskundetest ab Ende 2027 angekündigt, Details noch nicht final</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die schnellstmöglichen 5</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Steuerfolgen eines Wegzugs bleiben trotzdem individuell zu prüfen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künftigen Test für unter 16- und über 65-Jährige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 die 1.350-Tage-Gesamtsumme und die 240-Tage-Schwelle in jedem einzelnen Visa-Jahr. Wenn du die Einbürgerung ohnehin planst, ziehe in Betracht, den Antrag vor Inkrafttreten des neuen Staatskundetests Ende 2027 zu stellen. Bei der Steuerresidenz gilt: Sprich frühzeitig mit einer Steuerfachperson, sobald ein längerer Auslandsaufenthalt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Resident Visa oder Übergang vom AEWV)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Anwesenheitslogbuch geführt: Gesamtsumme (1.350/1.825 Tage) und Einzeljahr-Schwelle (240 Tage) getrennt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Jahresgrenzen korrekt ab dem individuellen Visa-Jahrestag berechnet, nicht ab dem Kalenderjahr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Guten Leumund und vollständige Offenlegung aller relevanten Vorstrafen sichergestellt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Ankündigung des neuen Staatskundetests (Ende 2027) im eigenen Zeitplan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Citizenship-by-Descent-Registrierung rechtzeitig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(Steuerresident oder nicht)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Neuseeland: steuerliche Folgen vorab mit Steuerberatung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Internal Affairs (DIA) — Citizenship by Grant: Voraussetzungen, Gebühren, angekündigter Staatskundetest (</w:t>
      </w:r>
      <w:hyperlink r:id="rId745">
        <w:r>
          <w:rPr>
            <w:rStyle w:val="ListLabel113"/>
            <w:rFonts w:eastAsia="Cambria" w:cs="Cambria"/>
            <w:b w:val="false"/>
            <w:bCs w:val="false"/>
            <w:i w:val="false"/>
            <w:iCs w:val="false"/>
            <w:color w:val="0563C1"/>
            <w:sz w:val="22"/>
            <w:szCs w:val="22"/>
            <w:u w:val="single"/>
          </w:rPr>
          <w:t>dia.govt.nz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Resident Visa, Permanent Resident Visa, Green List (</w:t>
      </w:r>
      <w:hyperlink r:id="rId74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(IRD) — Steuerresidenz für Neuseeland (</w:t>
      </w:r>
      <w:hyperlink r:id="rId74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des Innern — Staatsangehörigkeitsrecht, Reform 2024 (</w:t>
      </w:r>
      <w:hyperlink r:id="rId748">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doppelte Staatsangehörigkeit, Beratung (</w:t>
      </w:r>
      <w:hyperlink r:id="rId749">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2" w:name="__RefHeading___Toc56632_3457424410"/>
      <w:bookmarkStart w:id="203" w:name="anhang_a"/>
      <w:bookmarkEnd w:id="202"/>
      <w:r>
        <w:rPr>
          <w:rFonts w:eastAsia="Amazon Ember" w:cs="Amazon Ember" w:ascii="Amazon Ember" w:hAnsi="Amazon Ember"/>
          <w:b/>
          <w:bCs/>
          <w:color w:val="0000FF"/>
          <w:sz w:val="36"/>
          <w:szCs w:val="36"/>
        </w:rPr>
        <w:t>Anhang A: Die Master-Checkliste</w:t>
      </w:r>
      <w:bookmarkEnd w:id="20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Checkliste bündelt die wichtigsten Aufgaben aus allen 42 Kapiteln in einer einzigen Zeitleiste, vom ersten Entschluss bis zu den ersten sechs Monaten in den USA. Sie zeigt, wann welcher Schritt ansteht, ersetzt aber nicht die Details der einzelnen Kapitel. Hake ab, was erledigt ist, und nutze die Klammerverweise zum Nachlesen.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ersten Phasen auf dem Weg ins Ausland – Entschluss, Vorbereitung in Deutschland bei Behörden, Steuern, Dokumenten und die Umzugsentscheidung selbst – laufen für alle vier Zielländer identisch ab und stehen deshalb bereits im Teil Universal. Die Checkliste unten ergänzt das um die Schritte, die sich vom jeweiligen Zielland unterscheiden: Zusätzlich zur ausführlichen USA-Liste findest du einen eigenen Abschnitt für Kanada, Australien und Neuseeland mit den Punkten zu Visum, Ankunft, Steuer-ID, den ersten Wochen und den ersten sechs Monaten, die dort jeweils anders verlaufen als in den 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Netto-Rechnung für Gehalt, Steuern, Krankenversicherung und Wohnkosten mit dem Rechenmodell erstellt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Die drei wichtigsten Plus- und Minuspunkte mit Partner oder Familie besprochen und gewichtet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Zeithorizont für den USA-Aufenthalt festgelegt: einige Jahre, unbefristet oder offen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Situation im Entscheidungsbaum der Visumswege eingeordnet und das passende Detailkapitel gelesen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und über welchen Weg der Arbeitgeber ein Visum sponsert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Partner mitarbeiten darf und welche Arbeitserlaubnis-Perspektive besteht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Muss-, Kann- und Ausschlusskriterien schriftlich mit Partner oder Familie festgelegt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Rücklage von mindestens sechs Monatsfixkosten aufgebaut, bevor gekündigt wird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Resume auf US-Format gebracht und LinkedIn-Profil auf Englisch angelegt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Antwort auf die Sponsoring-Frage und drei STAR-Geschichten für Vorstellungsgespräche vorbereitet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Wohnort und Schulbezirk vorläufig recherchiert, bevor Jobangebote verglichen werden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21. Geburtstag aller mitreisenden Kinder im Kalender notiert (Age-out-Risiko)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anderen Wegen als H-1B (L-1, O-1, E-2, J-1, Lotterie, Selbständigkeit) die jeweilige Eintrittsvoraussetzung geklärt: Konzernjahr, Leistungsbelege, Kapital oder Programmplatz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Plan B für den Visumsweg parallel festgelegt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Verhandlungsliste vor der Zusage durchgegangen: Relocation, Anwalt, Green-Card-Sponsoring, Steuerberatung, Rückkehrklausel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finanziell relevanten Zusagen schriftlich im Angebot oder einer Zusatzvereinbarung bestätigt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Offer Letter geprüft: Titel und Level, Bonusziel, Aktien, 401(k)-Match, Beginn der Krankenversicherung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Level, Sign-on, Aktien und Startdatum verhandelt, nicht nur das Grundgehalt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Wettbewerbsverbot, Schiedsvereinbarung und Erfindungszuweisung geprüft, eigene Vorerfindungen als Ausnahme eingetragen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Studienfach und Stelle abgeglichen, Bewertungsgutachten bei Bedarf mit der Kanzlei besprochen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schriftlich gefragt, ob und wie er das Visum sponsert, welche Lohnstufe gemeldet wird und wer die Gebühren trägt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Stellenabbau in den letzten zwölf Monaten beim Arbeitgeber gefragt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Zeitplan rückwärts vom Starttermin aufgestellt, Registrierungsfenster bei Lotterie-Verfahren auf uscis.gov beobachtet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Green Card: Geburtsland und passende Spalte des Visa Bulletin geprüft, Kategorie (EB-2, EB-3, EB-1C, NIW, EB-1A) mit der Kanzlei festgelegt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der Vertragsunterschrift schriftlich geklärt: Start der PERM, Kostenübernahme, Rückzahlungsklauseln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Kanzlei, Ansprechperson und Kopien von Petition und LCA erfragt; entschieden, ob ein eigener Anwalt nötig ist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Für Ehepartner und Kinder geklärt: eigenes DS-160, Termin und Gebühr je Person, Anträge auf Arbeitserlaubnis; Familienstand vor dem Konsulatstermin geregelt (Heirat, Lebenspartnerschaft)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Im Angebotsschreiben festgehalten, wer die Kosten für Ehepartner und Kinder trägt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Lizenzpflichtigen Beruf des Partners erkannt und Behörde des Zielstaats sowie Bewertungsdienst kontaktiert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Ablaufdaten aller Reisepässe notiert, bei kurzer Restgültigkeit erneuert; für jedes Kind einen eigenen ePass beantragt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Zeugnisbewertung rechtzeitig vor der Registrierungsfrist beauftragt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Diplome, Zeugnisse und Arbeitszeugnisse beschafft; Geburts- und Heiratsurkunden als internationale Ausfertigung zwei- bis dreimal bestellt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Übersetzer mit Bescheinigung beauftragt, Namen exakt wie im Pass geschrieben; Apostille mit der Kanzlei geklärt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Führungszeugnis beantragt und Vorlauf für die Apostille eingeplant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lizenzpflichtigem Beruf einen Fahrplan mit der Behörde des Ziel-Bundesstaats erstellt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jeder Entscheidung uscis.gov, federalregister.gov und die Kanzlei zum aktuellen Stand befragt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Kündigungen und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Nettogehalt für den Zielort berechnet, Kauf- und Mietpreise mit dem eigenen Budget verglichen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Naturgefahren der Region recherchiert, Versicherbarkeit eingeschätzt; entschieden, das erste Jahr zu mieten statt zu kaufen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vor der Wohnungssuche geprüft und schriftlich bestätigen lassen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am Wohnort ein Auto nötig ist und Budget dafür eingeplant; Nahverkehrsanbindung geprüft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Vertragsliste aus zwölf Monaten Kontoauszügen erstellt, Kündigungstermine vom Abflug rückwärts berechnet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Relocation-Bedingungen schriftlich geklärt: brutto oder netto, Gross-up, Direktabrechnung,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Drei Tür-zu-Tür-Festpreise für die Spedition nach Besichtigung oder Video-Survey eingeholt, FIDI-FAIM und AMSA ProMover geprüft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Volumen geschätzt, ausgemistet und Raum-für-Raum-Inventar mit der Entscheidung Mitnehmen, Verkaufen oder Neukaufen angelegt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Betten, Matratzen und Elektrogeräte auf US-Normen (Spannung, Maße) geprüft; was nicht passt, bleibt zurück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Verkaufen, Verschenken und Spenden acht bis zwölf Wochen vor dem Abflug begonnen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Deutsche Fondssparpläne und Depots vor dem steuerlichen Zuzug mit einem Steuerberater auf PFIC-Risiko geprüft: verkaufen oder behalten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Unternehmensanteilen ab 1 %: Wegzugsteuer nach § 6 AStG mit dem Steuerberater durchgerechnet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Rentenversicherungsverlauf klären lassen, neue Anschrift der Deutschen Rentenversicherung gemeldet, freiwillige Beiträge geprüft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vermieteter oder noch keine zehn Jahre gehaltener Immobilie die steuerlichen Folgen von Vermietung oder Verkauf geklärt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Zustellungsbevollmächtigten in Deutschland benannt, Steuerberater mit deutsch-amerikanischer Erfahrung gefunden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GKV- oder PKV-Anwartschaft beantragt, solange noch gesund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Termine bei Zahnarzt, Augenarzt und Kinderarzt für die ganze Familie vereinbart, fehlende Impfungen nachgeholt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Betreuungsplatz für Kinder frühzeitig angefragt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Tierarzttermin drei bis vier Monate vor Abflug, Tollwutimpfung, Airline-Regeln und Transportbox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DS-160 für jede Person ausgefüllt, mit Petition und Lebenslauf abgeglichen, alle Social-Media-Konten angegeben und Profile auf öffentlich gestellt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Konsulargebühr gezahlt, Termin für die Familie gemeinsam gebucht, Interview-Mappe gepackt: Pass, DS-160-Bestätigung, Gebührenbeleg, I-797, Kopien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 nach dem Interview geprüft (Name, Kategorie, Datum); erst danach Kündigungen und Buchungen verbindlich gemacht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schriftlich gekündigt, sobald Genehmigung und Interviewtermin feststehen; Übergabetermin und Kautionskonto mitgeteilt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erst nach gesichertem Visum gekündigt oder Aufhebungsvertrag geschlossen, Arbeitszeugnis angefordert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Spedition mit Visum im Pass verbindlich gebucht, sechs bis acht Wochen vor der Verladung, Transportversicherung „all risk“ abgeschlossen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Inventarliste mit Werten erstellt, Zollagent und Vollmacht mit der Spedition abgestimmt (CBP Form 3299)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Lebensmittel, Pflanzen, Holz ohne ISPM-15-Stempel, Alkohol und Waffen aus der Ladung aussortiert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Auslandsreise- oder Langzeit-Auslandskrankenversicherung abgeschlossen, die an den Start der US-Versicherung anschließt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Englischen Arztbrief, Bildgebung und übersetzten Impfpass besorgt; ausreichenden Medikamentenvorrat mit englischem Rezept geklärt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Einfuhrregeln für Medikamente vor der Einreise bei CBP oder der US-Botschaft geprüft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Haftpflicht, Hausrat und Rechtsschutz zum Übergabetag gekündigt, Schadenfreiheitsbescheinigung auf Englisch angefordert, Auto verkauft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beantragt, KBA-Auskünfte und Konsulatsbescheinigung geklärt, falls der Zielstaat sie verlangt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 über den Wegzug informiert, App-Verfahren für Überweisungen eingerichtet, Konto und Kreditkarte behalten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CDC Dog Import Form ausgefüllt, Gesundheitszeugnis nach Airline-Vorgabe besorgt, Tierregeln der künftigen Wohnung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am Zielort informiert, Einstufungstests erfragt, Unterlagen fürs Handgepäck vorbereitet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Unterkunft in den USA für mindestens fünf Nächte mit Stornierungsoption gebucht, Transfer geplant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Dokumente gescannt, verschlüsselt gespeichert, eine Kopie bei einer Vertrauensperson hinterlegt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letzten Wochen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Abmeldung frühestens eine Woche vor dem Auszug erledigt, Abmeldebescheinigung mehrfach kopiert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Rundfunkbeitrag, Handy, Internet, Strom und Gas beendet oder abgemeldet, Bestätigungen abgelegt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Vorsorgevollmacht, Patientenverfügung und Betreuungsverfügung beim Notar beurkundet und registriert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Familienkasse, Elterngeldstelle, Kita und Schule informiert, Zeugniskopien besorgt; Nachsendeauftrag eingerichtet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wie Pässe, Urkunden, Zeugnisse und Bescheide in die Handgepäck-Mappe gelegt, nicht in den Container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Koffer für die ersten zwei Wochen gepackt, Wertsachen ins Handgepäck gelegt, Erstausstattungsbudget festgelegt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Kindersitze und weitere US-pflichtige Ausstattung erst vor Ort eingeplant, nicht mitgenommen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ab 10.000 € beim deutschen Zoll angemeldet, Übergangswohnen gebucht und Puffer auf dem US-Konto bereitgestellt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oder Prepaid-SIM eingerichtet, deutsche Nummer als Zweit-SIM behalten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Kreditkarte und 200–300 $ Bargeld dabei, insgesamt unter 10.000 $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Puffer von zwei bis vier Wochen für Verzögerungen wie 221(g) oder Nachforderungen im Zeitplan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Bewusst Zeit für Abschiedsbesuche bei Familie, Freunden und wichtigen Arztterminen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Möbel und Hausrat, die nicht mitreisen, verkauft, verschenkt oder gespendet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Transportbox über mehrere Wochen gewöhnt, Papiermappe fürs Handgepäck gepackt, Abholort am Zielflughafen erfragt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Landetag festgelegt: frühestens zehn Tage vor dem Von-Datum im Bescheid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den USA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Am Ankunftstag den I-94 jedes Familienmitglieds über i94.cbp.dhs.gov abgerufen, geprüft und gesichert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911 und Adresse der Unterkunft im Handy gespeichert; Auslandskrankenversicherung gilt ab Landung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für die Form I-9 und Bankdaten für das Gehalt bereitgelegt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Termine gebucht: Bank, SSN-Antrag, Wohnungsbesichtigungen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der I-94 zehn Tage alt ist, zur SSA gegangen: SS-5 ausgefüllt, Pass, Visum, I-94-Ausdruck und I-797 im Original mitgebracht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über „Applied For“ informiert, falls der Job vor der SSN beginnt; für Familienmitglieder ohne Arbeitserlaubnis SSN oder ITIN geklärt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(Pass, Visum, I-94, Adressnachweis mitgebracht), Zelle und Venmo eingerichtet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die SSN da ist: Credit Freeze bei Equifax, Experian und TransUnion eingerichtet, erste besicherte Kreditkarte beantragt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besichtigt und beworben: Offer Letter, Kontoauszüge und englische Vermieter-Referenz bereitgehalten; nie vor Vertragsabschluss gezahlt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Mietvertrag komplett gelesen, Renters Insurance abgeschlossen, beim Einzug jeder Raum fotografiert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Krankenversicherung fristgerecht zur Einschreibefrist des Arbeitgebers für die ganze Familie angemeldet, Hausarzt und Kinderarzt „in-network“ bestätigt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DMV-Termin für den Führerschein gebucht, Frist des Bundesstaats geprüft, REAL-ID-konforme Karte beantragt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 W-4 am ersten Arbeitstag ausgefüllt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der neuen Adresse bestätigt, Kind eingestuft, Wohnsitznachweis vorgelegt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Home Language Survey ausgefüllt, EL-Koordinator bei Bedarf kontaktiert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Basisläden für Lebensmittel festgelegt, Wasserqualitätsbericht gelesen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 gesucht, Lizenz beantragt, Chipregister aktualisiert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Nummer eines Einwanderungsanwalts und der Botschaft gespeichert; beim Führerscheinantrag nicht als Wähler registrieren lassen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feste Wochentermine (Sport, Kurs, Gemeinde, Ehrenamt) gewählt und mindestens sechs Wochen durchgehalten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netten Gespräch binnen drei Tagen zwei konkrete Terminvorschläge gesendet; Einladungen binnen zwei Tagen beantwortet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Beim Arbeitgeber nach Employee Resource Groups gefragt; im Job wöchentliche 1:1-Gespräche genutzt und Erfolge für das Review festgehalten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EAP-Leistungen des Arbeitgebers erfragt, deutschsprachige Therapeutin oder Therapeut vorgemerkt, 988 in den Kontakten gespeichert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drei Monaten mit der Familie Bilanz gezogen: Welche Gruppen und Routinen funktionieren, welche nicht?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Rituale mit Freunden und Familie in Deutschland vereinbart, Heimatbesuche zu Feiertagen früh gebucht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den vollen 401(k)-Match eingezahlt, HSA bei Hochselbstbehalt-Tarif eröffnet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US-Testament mit Vormundschaftsklausel, finanzielle Vollmacht und Patientenverfügung nach dem Recht des Bundesstaats aufgesetzt; Begünstigte bei den Konten eingetragen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Jede Arztrechnung erst nach Abgleich mit der EOB gezahlt, Belege abgeheftet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 dem ersten Tag einen Kalender mit Ein- und Ausreisen geführt; Rücklage für eine mögliche Steuernachzahlung im ersten April gebildet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Steuerexperten (CPA oder EA) mit Auslandserfahrung gebucht; FBAR-Frist (15. April, automatisch 15. Oktober) im Kalender notiert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Umzug innerhalb der USA binnen zehn Tagen die Adressänderung AR-11 online eingereicht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Jobverlust: 60 Tage ab letztem Arbeitstag und die COBRA-Fristen notiert, eigenen Einwanderungsanwalt griffbereit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Wetterwarnungen aktiviert, Notvorrat angelegt, Codewort mit den Eltern in Deutschland gegen Schockanrufe vereinbart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Bibliotheksausweis geholt, Familienregel für Deutsch und ein tägliches Vorleseritual festgelegt; Samstags- oder Immersionsschule recherchiert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Costco-Mitgliedschaft geprüft, Ersatz für Brot, Wurst und Käse gefunden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Winterjacke, gute Schuhe und Business-Kleidung nach Bedarf besorgt statt in Mengen mitgenommen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Sommerbetreuung oder Credits mit dem Counselor geklärt; bei Teenagern Führerscheinregeln und ein Versicherungsangebot vor dem 16. Geburtstag eingeholt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GKV- oder PKV-Anwartschaft sowie die Rentenanwartschaft in Deutschland im Blick behalten, falls eine Rückkehr später infrage kommt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Datum „Resident Since“ auf der Green Card notiert, um den frühesten Termin für Einbürgerung oder Reentry Permit später zu kennen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Express-Entry-CRS-Score überschlägig berechnet und mit den aktuellen Einladungsgrenzen verglichen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Provincial Nominee Program (PNP) der bevorzugten Provinz oder Provinzen auf die aktuellen Kriterien geprüft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ein arbeitgebergesponsertes, LMIA-pflichtiges oder LMIA-freies Arbeitsvisum als schnellerer Weg infrage kommt (Kanada: Arbeitsweg)</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Sprachtest (CELPIP oder IELTS) gebucht und die eigene CLB-Stufe realistisch eingeschätzt (Kanada: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für den eigenen Abschluss bei einer anerkannten Stelle beauftragt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IRCC-Kundenkonto angelegt, Gesamtkosten inklusive der separaten Right-of-PR-Gebühr (600 CAD pro Erwachsenem) realistisch kalkuliert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für Kanada in der Regel ohne Apostille, bei Ausstellung vor Februar 2019 aber beglaubigte Übersetzung eingeplant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einem IRCC-zugelassenen Panel Physician für die Gesundheitsuntersuchung gebucht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VFS Global Berlin für Biometrie (Fingerabdrücke, Foto) gebucht, sobald IRCC dazu auffordert (Kanada: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Newcomer-Bankpaket einer der fünf großen Banken (RBC, TD, Scotiabank, BMO, CIBC) verglichen und die Kontoeröffnung, wo möglich, schon von Deutschland aus online vorbereitet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Führerschein-Umtauschfrist der Zielprovinz bestätigt (Ontario 60 Tage, British Columbia 90 Tage, Québec 6 Monate)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drei Kfz-Versicherungsangebote mit gleicher Deckung für die Zielprovinz eingeholt und nach Anrechnung der deutschen Schadenfreiheitsbescheinigung gefragt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und Schulzuordnung beim zuständigen School Board Monate vor dem Umzug angefragt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Kaufabsicht: eigener Aufenthaltsstatus gegen das bundesweite Kaufverbot für Nicht-Kanadier und provinzielle Foreign-Buyer-Steuern (in Toronto bis zu 35 %) abgeglichen (Kanada: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Kanada-Datenpaket eingerichtet oder Prepaid-SIM-Kauf am Zielort vorbereitet, deutsche Nummer als Zweit-SIM behalten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kostenloser Stornierung für die ersten ein bis zwei Wochen gebucht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Confirmation of Permanent Residence (COPR) beziehungsweise Visumsbestätigung, Genehmigungsschreiben des Arbeitgebers und Ergebnis der Gesundheitsuntersuchung im Handgepäck verstaut, nicht im Container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Zielort Québec: Französischkurs begonnen, da Bill 96 Neuankömmlingen nur sechs Monate Übergangsfrist für Behördenkontakt auf Englisch lässt (Kanada: Alltagskultur)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Kanada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SIN in der ersten Woche online, postalisch oder persönlich bei Service Canada beantragt, Bestätigung meist binnen fünf Werktagen im My Service Canada Account geprüft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Antrag auf Provinz-Krankenversicherung gestellt, unabhängig davon, ob eine Wartefrist gilt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RC151 (GST/HST-Credit) und bei Kindern RC66 (Canada Child Benefit) eingereicht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oder vor Ort mit Pass und Aufenthaltsnachweis verifiziert; Secured Credit Card oder Newcomer-Kreditkarte beantragt, um den bei null startenden kanadischen Credit Score aufzubauen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 innerhalb der Umtauschfrist der Provinz umgetauscht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Bewerbungsmappe (Gehaltsnachweis, Arbeitsvertrag, ausländische Bonitätsnachweise) begonnen, Kautionsregeln der Provinz beachtet (Kanada: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 beim zuständigen School Board angemeldet, Einstufung und gegebenenfalls French-Immersion-Warteliste geklärt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Community Centre, Sportverein oder Wandergruppe der Zielstadt für den Einstieg ins soziale Leben kontaktiert (Kanada: Freunde/Kulturschock)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kanadische Steuererklärung als Newcomer vorbereitet (anteiliger Grundfreibetrag), Frist 30. April notiert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Extended Health Benefits beim Arbeitgeber erfragt, bevor eine eigene Zusatzversicherung für Zahn, Medikamente oder Sehhilfen abgeschlossen wird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Auf Wartelisten mehrerer Hausarztpraxen eingetragen, nächstgelegene Walk-in-Klinik notiert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mit dem gesetzlichen Minimum der Provinz verglichen (Urlaub ab zwei Wochen, Kündigungsfrist, Krankheitstage) (Kanada: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Verhalten bei einer Verkehrskontrolle und die eigenen Rechte gegenüber der Polizei mit der Familie durchgesprochen (Kanada: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Reiseprotokoll für die spätere Einbürgerung geführt: 1.095 Tage Anwesenheit, davon mindestens 730 Tage als Permanent Resident (Kanada: Staatsbürgerschaft/Steuerresidenz)</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Punktestand für den Punktetest (Subclass 189/190/491) anhand Alter, Englischniveau, Bildung und Berufserfahrung überschlägig berechnet und mit den aktuellen Cut-off-Werten verglichen, nicht nur mit der gesetzlichen Mindestpunktzahl von 65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der eigene Beruf auf der für das jeweilige Visum einschlägigen Berufsliste steht (Australien: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Working-Holiday-Visum (Subclass 417) als risikoarmer erster Schritt geprüft, falls unter 35 und noch unentschlossen (Australien: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Skills Assessment bei der zuständigen Bewertungsstelle (etwa Engineers Australia, ACS, VETASSESS, ANMAC oder TRA) beantragt, parallel zum Englischtest, weil es oft der eigentliche Flaschenhals im Verfahren ist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Englischtest (IELTS, PTE oder gleichwertig) gebucht; bei knapper Punktzahl gezielt auf das Sprachniveau </w:t>
      </w:r>
      <w:r>
        <w:rPr>
          <w:rFonts w:eastAsia="Cambria" w:cs="Cambria"/>
          <w:b w:val="false"/>
          <w:bCs w:val="false"/>
          <w:i/>
          <w:iCs/>
          <w:sz w:val="22"/>
          <w:szCs w:val="22"/>
        </w:rPr>
        <w:t>Superior</w:t>
      </w:r>
      <w:r>
        <w:rPr>
          <w:rFonts w:eastAsia="Cambria" w:cs="Cambria"/>
          <w:b w:val="false"/>
          <w:bCs w:val="false"/>
          <w:i w:val="false"/>
          <w:iCs w:val="false"/>
          <w:sz w:val="22"/>
          <w:szCs w:val="22"/>
        </w:rPr>
        <w:t xml:space="preserve"> statt nur </w:t>
      </w:r>
      <w:r>
        <w:rPr>
          <w:rFonts w:eastAsia="Cambria" w:cs="Cambria"/>
          <w:b w:val="false"/>
          <w:bCs w:val="false"/>
          <w:i/>
          <w:iCs/>
          <w:sz w:val="22"/>
          <w:szCs w:val="22"/>
        </w:rPr>
        <w:t>Proficient</w:t>
      </w:r>
      <w:r>
        <w:rPr>
          <w:rFonts w:eastAsia="Cambria" w:cs="Cambria"/>
          <w:b w:val="false"/>
          <w:bCs w:val="false"/>
          <w:i w:val="false"/>
          <w:iCs w:val="false"/>
          <w:sz w:val="22"/>
          <w:szCs w:val="22"/>
        </w:rPr>
        <w:t xml:space="preserve"> hingearbeitet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Expression of Interest (EOI) über SkillSelect eingereicht, sobald Skills Assessment und Sprachtest vorliegen; nach Einladung den Antrag innerhalb der 60-Tage-Frist über ImmiAccount gestellt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bei einem zugelassenen Panel Physician terminiert, sobald die HAP-ID vorliegt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für jedes Land mit mehr als 12 Monaten Aufenthalt seit dem 16. Geburtstag beantragt und die Apostille direkt über das Online-Datenformular des Bundesamts für Auswärtige Angelegenheiten eingeholt – eine nachträgliche Apostille ist auf diesem Weg nicht vorgesehen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Arbeitgeber-Sponsoring (Subclass 482): Gehalt mit der maßgeblichen Lohnschwelle verglichen und schriftlich festgehalten, dass die Skilling-Australians-Fund-Levy beim Arbeitgeber bleibt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Registrierten Migration Agent im OMARA-Self-Service-Portal auf aktuelle Zulassung geprüft, falls Beratung gewünscht ist (Australien: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Bank-Voreröffnung bei einer australischen Großbank online vorbereitet (Westpac bis zu 12 Monate, CommBank bis zu 14 Tage vor Einreise möglich)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Bei Kaufabsicht: geklärt, ob der eigene Visumstatus als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unter das FIRB-Verbot für Bestandsimmobilien fällt, und der Foreign-Buyer-Zuschlag (7–9 % Stamp Duty) einkalkuliert (Australien: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oder eine beglaubigte englische Übersetzung des deutschen Führerscheins in Deutschland beantragt, Umtauschfrist des Zielbundesstaats notiert (Australien: Führerschein/Auto)</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OVHC (bei Arbeitsvisum) oder OSHC (bei Studienvisum) mit Versicherungsbeginn zum Ankunftstag abgeschlossen – Deutschland hat kein Reciprocal Health Care Agreement mit Australien, ohne private Absicherung besteht ab dem ersten Tag keine Krankenversicherungsdeckung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Australien-Datenpaket eingerichtet oder Prepaid-SIM-Optionen recherchiert, da deutsche Mobilfunktarife in Australien kein EU-Roaming haben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mindestens ein bis zwei Wochen gebucht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Visumsbestätigung ausgedruckt fürs Handgepäck bereitgelegt, da das Visum nicht im Pass klebt, sondern nur elektronisch mit der Passnummer verknüpft ist (Australien: Ankunft)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Australien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und Zahlungsmittel über 10.000 AUD bei der Einreise aktiv deklariert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Biosecurity-Deklaration bei der Einreise ehrlich und vollständig ausgefüllt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TFN online beim Australian Taxation Office beantragt, sobald ein australischer Wohnsitznachweis vorliegt – kostenlos, aber ohne sie behält der Arbeitgeber ab Tag 28 pauschal 47 % des Lohns ein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Permanent-Resident-Status: persönliche Medicare-Anmeldung bei einem Service Center von Services Australia mit Pass, Visumsnachweis und Adressnachweis erledigt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vor Ort über den vorgeschriebenen 100-Punkte-Ausweischeck verifiziert oder online eröffnetes Konto aktiviert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Superannuation-Fonds bei Arbeitsbeginn aktiv gewählt statt den Standardfonds zu übernehmen, Formular innerhalb von 28 Tagen eingereicht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Fahrten bewusst auf ruhigen Strecken geübt: Linksverkehr, Kreisverkehr im Uhrzeigersinn, vertauschte Blinker- und Scheibenwischerhebel – keine Autofahrt direkt nach der Ankunft mit Jetlag (Australien: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vollständiger Bewerbungsmappe gestartet (Einkommensnachweis, Referenzen, Ausweis), Kaution über die staatliche Kautionsstelle statt direkt an den Vermieter eingeplant (Australien: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Steuerlichen Status (Ansässiger oder Foreign Resident) geklärt und Einkommen mit den Schwellen der Medicare Levy Surcharge abgeglichen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Australische Kreditwürdigkeit gezielt aufgebaut: laufendes Konto, pünktlich bezahlte Rechnungen, erste Kreditkarte mit niedrigem Limit – die deutsche Schufa-Historie zählt in Australien nicht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befristetem Arbeitsvisum (Subclass 482): vor jedem Arbeitgeberwechsel die neue Nominierung abgewartet, nie vorher beim neuen Arbeitgeber angefangen (Australien: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Anschluss über Sportverein, freiwillige Feuerwehr, Nachbarschaft oder Kinder gesucht; aus vagen „We should catch up“-Angeboten konkrete Termine mit Ort und Uhrzeit gemacht (Australien: Freunde/Kulturschock)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Notfallplan für Buschfeuer- oder Zyklonsaison angelegt: Warn-App installiert, Sammelpunkt und Notvorrat festgelegt, Haus- oder Hausratversicherung auf Naturgefahren-Deckung geprüft (Australien: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Regelmäßigen Videoanruf-Termin mit der Familie in Deutschland trotz 8 bis 10 Stunden Zeitverschiebung vereinbart, Heimatbesuch zu Weihnachten oder anderen großen Feiertagen früh gebucht (Australien: Alltagskultur)</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Steuererklärung bis zur Frist am 31. Oktober über myGov/myTax vorbereitet oder rechtzeitig ein registrierter Steuerberater für die Fristverlängerung beauftragt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nur befristetem Aufenthalt oder Working-Holiday-Hintergrund: vor einer späteren, dauerhaften Ausreise die Besteuerung der Superannuation-Auszahlung (DASP) eingeplant, bis zu 65 % Steuer bei Working-Holiday-Anteilen, 35 % bei anderen befristeten Visa (Australien: Steuer-ID/Bank)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Beruf mit der aktuellen Green List und dem passenden ANZSCO-Code abgeglichen, inklusive Tier 1 oder Tier 2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künftige Arbeitgeber bereits als Accredited Employer akkreditiert ist oder die Akkreditierung erst noch beantragen muss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Entschieden, ob der Weg über das Accredited Employer Work Visa (AEWV) mit späterem Wechsel zur Residency oder die direkte Bewerbung über die Skilled Migrant Category (Höchstalter 55 Jahre) realistischer ist (Neuseeland: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SMC-Punktzahl überschlägig anhand der Sechs-Punkte-Schwelle berechnet: Qualifikation, berufliche Registrierung, Einkommen, NZ-Erfahrung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AEWV: Arbeitgeber gebeten, Employer Accreditation und Job Check für die konkrete Stelle zu durchlaufen, bevor der eigene Antrag gestellt wird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(höchstens sechs Monate alt bei Einreichung) und beglaubigte englische Übersetzung organisiert – keine Apostille nötig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gegebenenfalls mit Röntgen-Thorax, bei einem von Immigration New Zealand zugelassenen Panel Physician terminiert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Konto bei Immigration New Zealand (INZ) angelegt und Gesamtkosten inklusive Immigration Levy und gegebenenfalls IVL realistisch kalkuliert – Deutschland zahlt volle Gebühren ohne Fee-Waiver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Familie: eigene Visa für Partner (Partnership Work Visa) und Kinder parallel zum Hauptantrag beantragt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Job, Wohnung und Kinderbetreuung in Deutschland erst gekündigt, nachdem die Genehmigung tatsächlich im INZ-Konto steht, nicht schon nach bestandener Employer Accreditation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vor der Unterschrift auf eine 90-Tage-Probezeit-Klausel ohne Kündigungsschutz geprüft (Neuseeland: Arbeitswelt)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Bankkonto-Voreröffnung geprüft: ANZ bis zu 90 Tage vor Einreise möglich, ASB per App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Private Übergangskrankenversicherung verglichen, falls das eigene Visum unter der Zwei-Jahres-Schwelle fürs öffentliche Gesundheitssystem bleibt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Zielregion nach Naturgefahren-Profil (Erdbeben in Wellington und Christchurch, Vulkanfeld in Auckland, Lawinenrisiko bei Queenstown) und Kostenniveau verglichen (Neuseeland: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Schulzone der Zieladresse geprüft und Kinder möglichst zum Beginn eines Terms angemeldet (Neuseeland: Kinder/Schule)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Übersetzung des deutschen Führerscheins besorgt und das Ausstellungsdatum (älter als zwei Jahre) eindeutig nachweisbar gemacht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Neuseeland-Datenpaket eingerichtet, deutsche Nummer als Zweit-SIM behalten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die ersten ein bis zwei Wochen gebucht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Bewerbungsunterlagen für die Wohnungssuche zusammengestellt: Einkommensnachweis, Arbeitsvertrag, Referenzen früherer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Neuseeland</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 Zealand Traveller Declaration spätestens vor der Passkontrolle ausgefüllt, Biosecurity-Angaben auch bei Kleinigkeiten ehrlich deklariert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IRD-Nummer online beantragt, sobald die neuseeländische Bankverbindung steht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IR330 beim Arbeitgeber eingereicht, bevor die erste Gehaltsabrechnung läuft, um den hohen pauschalen No-Notification-Steuersatz von 45 % zu vermeiden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per Filialtermin mit Pass, Visumsnachweis und Adressnachweis vollständig identitätsgeprüft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Berechtigung fürs öffentliche Gesundheitssystem anhand der tatsächlichen Visumslaufzeit geprüft (Zwei-Jahres-Schwelle ab dem ersten Tag in Neuseeland) und bei einer Hausarztpraxis angemeldet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Führerschein bei einer autorisierten Stelle umgetauscht – Deutschland zählt als </w:t>
      </w:r>
      <w:r>
        <w:rPr>
          <w:rFonts w:eastAsia="Cambria" w:cs="Cambria"/>
          <w:b w:val="false"/>
          <w:bCs w:val="false"/>
          <w:i/>
          <w:iCs/>
          <w:sz w:val="22"/>
          <w:szCs w:val="22"/>
        </w:rPr>
        <w:t>exempt country</w:t>
      </w:r>
      <w:r>
        <w:rPr>
          <w:rFonts w:eastAsia="Cambria" w:cs="Cambria"/>
          <w:b w:val="false"/>
          <w:bCs w:val="false"/>
          <w:i w:val="false"/>
          <w:iCs w:val="false"/>
          <w:sz w:val="22"/>
          <w:szCs w:val="22"/>
        </w:rPr>
        <w:t xml:space="preserve"> und kann nach Sehtest ohne weitere Prüfung umgeschrieben werden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Linksverkehr bewusst geübt: vor jedem Linksabbiegen zuerst nach rechts geschaut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Kaution (höchstens vier Wochenmieten) über das Online-Formular direkt an Tenancy Services überwiesen, nicht an den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Übergangsfrist für das Fahren mit deutschem Führerschein im Blick behalten (aktuell bis zu 18 Monate ab letzter Einreise) und Umtausch nicht aufschieben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KiwiSaver-Berechtigung anhand des Aufenthaltsstatus geklärt – beim AEWV zunächst ausgeschlossen, erst ab Resident-Visum möglich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Neuseeländische Kreditwürdigkeit aufgebaut: erste Kreditkarte mit niedrigem Limit, pünktliche Strom- und Internetrechnungen, kostenlosen Report bei Centrix, Equifax NZ oder illion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Transitional-Resident-Befreiung (48 Monate auf die meisten ausländischen Kapital- und Mieteinkünfte) mit einer Steuerberatung auf die eigene Situation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geplantem Arbeitgeberwechsel auf dem AEWV: Akkreditierung und Job Check des neuen Arbeitgebers sowie die eigene Variation of Conditions abgewartet, bevor beim alten Arbeitgeber gekündigt wird (Neuseeland: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Notfallset für mindestens drei Tage angelegt, GeoNet-App und Emergency Mobile Alert installiert (Neuseeland: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Festen Videotelefonie-Termin mit der Familie in Deutschland trotz der 10 bis 12 Stunden Zeitverschiebung eingerichtet, Heimatbesuche zu Feiertagen früh gebucht (Neuseeland: Freunde/Kulturschock)</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Fristen, Gebühren und Bearbeitungszeiten in dieser Checkliste ändern sich häufig; prüfe vor jeder Kündigung, Buchung oder Behördenfahrt die aktuellen Angaben im jeweiligen 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4" w:name="__RefHeading___Toc56634_3457424410"/>
      <w:bookmarkStart w:id="205" w:name="anhang_b"/>
      <w:bookmarkEnd w:id="204"/>
      <w:r>
        <w:rPr>
          <w:rFonts w:eastAsia="Amazon Ember" w:cs="Amazon Ember" w:ascii="Amazon Ember" w:hAnsi="Amazon Ember"/>
          <w:b/>
          <w:bCs/>
          <w:color w:val="0000FF"/>
          <w:sz w:val="36"/>
          <w:szCs w:val="36"/>
        </w:rPr>
        <w:t>Anhang B: Glossar Deutsch–Englisch</w:t>
      </w:r>
      <w:bookmarkEnd w:id="2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erklärt englische Fachbegriffe bei ihrem ersten Auftreten im jeweiligen Kapitel. Dieser Anhang sammelt sie an einem Ort – zum schnellen Nachschlagen, wenn ein Begriff später wieder auftaucht und die Erklärung nicht mehr präsent ist. Die Tabelle für die USA ist alphabetisch nach dem englischen Begriff sortiert; danach folgen eigene, ebenfalls alphabetisch sortierte Abschnitte für Kanada, Australien und Neuseeland. Bei den USA nennt die letzte Spalte die Kapitelnummer; bei den drei anderen Ländern steht dort statt einer festen Kapitelzahl – die Gliederung dieser Teile ist noch nicht abschließend fixiert – ein grober Themenbereich.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tbl>
      <w:tblPr>
        <w:tblW w:w="6480" w:type="dxa"/>
        <w:jc w:val="left"/>
        <w:tblInd w:w="0" w:type="dxa"/>
        <w:tblLayout w:type="fixed"/>
        <w:tblCellMar>
          <w:top w:w="50" w:type="dxa"/>
          <w:left w:w="80" w:type="dxa"/>
          <w:bottom w:w="50" w:type="dxa"/>
          <w:right w:w="80" w:type="dxa"/>
        </w:tblCellMar>
      </w:tblPr>
      <w:tblGrid>
        <w:gridCol w:w="1793"/>
        <w:gridCol w:w="3394"/>
        <w:gridCol w:w="1293"/>
      </w:tblGrid>
      <w:tr>
        <w:trPr>
          <w:tblHeader w:val="true"/>
          <w:cantSplit w:val="true"/>
        </w:trPr>
        <w:tc>
          <w:tcPr>
            <w:tcW w:w="17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1BR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einem separaten Schlafzimmer (One Bedroom), Standardangabe in Mietinseraten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arbeitgebergeförderter US-Altersvorsorgeplan, oft mit Arbeitgeberzuschuss (Match)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&amp; Crisis Lifeline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Krisenhotline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Acetaminophen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Schmerz- und Fiebermittel, in Deutschland als Paracetamol bekannt (Markenname Tylenol)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Adjustment of 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Green Card im Inland, ohne Ausreise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Advance Directive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Patientenverfügung und Vorsorgevollmacht für den Gesundheitsfall (auch Healthcare Directive)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Affidavit of Support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eines Sponsors für nachziehende Angehörige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Affordable Care Act (ACA)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US-Gesundheitsreformgesetz von 2010, Grundlage der Krankenversicherungs-Marktplätze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Aggravated Felony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Schwerstverbrechen-Kategorie im Einwanderungsrecht, führt fast immer zur Abschiebung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Applicant Tracking System (ATS)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 die Bewerbungen vor der Sichtung automatisch vorfiltert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Percentage Rate, effektiver Jahreszins inklusive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Adjustable-Rate Mortgage, Hypothek mit anpassbarem Zins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At-will Employment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ohne Grund und ohne Frist möglich, Kernunterschied zu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Back-to-School Night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Elternabend zum Schuljahresbeginn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Background Check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Überprüfung von Vorstrafen und Beschäftigungshistorie vor der Einstellung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Bake / Broil / Convection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Ofeneinstellungen: Ober-/Unterhitze, Grillfunktion, Umluft (Convection senkt die angegebene Temperatur meist um ca. 25 °F)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Baking Powder / Baking Soda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Backpulver bzw. Natron – leicht zu verwechseln, unterschiedliche Wirkung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Beneficiary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Begünstigter, etwa bei Versicherung, Konto oder Erbschaft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Black Tie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festliche Kleiderordnung: Smoking beziehungsweise langes Kleid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 Business Formal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abgestufte Kleiderordnung: Hemd/Bluse ohne Krawatte beziehungsweise Anzug/Kostüm mit Krawatte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Bring Your Own Bottle – du bringst dein eigenes Getränk zur Feier 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Checking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Girokonto mit Debitkarte für den täglichen Zahlungsverkehr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Care Center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Kindertagesstätte beziehungsweise Betreuungseinrichtung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Citizenship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verleiht im Ausland geborenen oder adoptierten Kindern von US-Bürgern unter bestimmten Bedingungen automatisch die 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Protective Services (CPS)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Jugendamt-Äquivalent, zuständig bei Kindeswohlgefährdung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pro Kind bei der Bundeseinkommensteuer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CIMT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Crime Involving Moral Turpitude, Delikt mit „sittlicher Verworfenheit“, kann Einwanderungsfolgen haben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Civics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mündlicher Test zu US-Geschichte und Staatsbürgerkunde im Einbürgerungsverfahren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Abschlusskosten beim Immobilienkauf, zusätzlich zum Kaufpreis, oft 2–5 %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Coinsurance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Selbstbeteiligung an den Behandlungskosten nach dem Selbstbehalt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Collision / Comprehensive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Kfz-Versicherungsbausteine: Collision deckt Schäden am eigenen Auto nach einem Unfall, Comprehensive deckt Diebstahl, Hagel, Wildschaden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zweijährige, lokal getragene Hochschulen mit niedrigen Studiengebühren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Consular Report of Birth Abroad (CRBA)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US-Staatsbürgerschaft für im Ausland geborene Kinder von US-Bürgern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Contingencies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Rücktrittsklauseln im Kaufvertrag, etwa für Inspektion, Finanzierung oder Gutachten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Zuzahlung pro Arztbesuch oder Rezept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Corporate Housing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möblierte Monatsmiete oder Langzeithotel, oft für den Übergang nach der Ankunft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20,22,23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Covered Expatriate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 die beim Verzicht auf Green Card oder Staatsbürgerschaft besonderen Steuerregeln (Wegzugsteuer) unterliegt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Certified Public Accountant, in den USA zugelassener Steuer- und Finanzexperte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Freeze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Sperre der Kreditauskunft gegen Identitätsdiebstahl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US-Schufa-Auskunft, geführt von drei privaten Auskunfteien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Score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US-Bonitätskennzahl, meist der FICO-Score, vergleichbar mit, aber nicht identisch zur Schufa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Credits (Quarters of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Beitragszeiteinheiten für die US-Rente, mindestens 40 für den Leistungsanspruch nötig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im Visa Bulletin: kein Rückstand, Green Card ohne Wartezeit verfügbar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Curricular Practical Training (CPT)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Praktikumserlaubnis für F-1-Studierende während des Studiums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CV</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Curriculum Vitae – in den USA meist nur in Wissenschaft und Medizin üblich, sonst Resume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den du vor der Erstattung durch die Versicherung selbst zahlst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Designated School Official (DSO)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autorisierte Ansprechperson der Hochschule für F-1-Studierende und das SEVIS-System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Dog Import Form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 von der US-Gesundheitsbehörde CDC verlangtes Online-Formular vor der Einreise mit Hund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Dress Code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Kleiderordnung, für Schulen im Schülerhandbuch festgelegt, für Büros oft nur informell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Dry Counties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Landkreise mit Alkoholverkaufsverbot oder -beschränkung, vor allem im Süden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gleichzeitig befristeter Aufenthalt und Absicht zur Green Card, bei bestimmten Visa erlaubt, etwa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4,5,6,8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Language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zweisprachiges Schulprogramm für Kinder beider Sprachgruppen (auch Two-Way Immersion)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Driving Under the Influence, Fahren unter Alkohol- oder Drogeneinfluss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Durable Power of Attorney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Vollmacht, die auch bei Geschäftsunfähigkeit gültig bleibt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Earnest Money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als Ernstzeichen beim Hauskauf, meist 1–3 % des Preises, im Escrow verwahrt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 Grade 1 bis 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English Language Learner, offizielle Bezeichnung für Schüler mit Englisch als Zweitsprache (auch ESL)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Emergency Room (ER)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im Krankenhaus, teuerste Anlaufstelle bei Beschwerden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Assistance Program (EAP)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vertrauliche Beratung, auch psychologisch, über den Arbeitgeber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Enrolled Agent (EA)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US-Steuerbehörde IRS zugelassener Steuerfachmann, darf bundesweit vor dem IRS vertreten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Explanation of Benefits, Abrechnungsübersicht der Krankenversicherung, keine Rechnung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Equal Educational Opportunities Act (EEOA)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1974, verpflichtet Schulen zur Sprachförderung für Englischlerner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Treuhandkonto, etwa beim Hauskauf oder für Grundsteuer und Versicherung in der Hypothekenrate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ESPP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Stock Purchase Plan, vergünstigter Aktienkauf über den Arbeitgeber, oft mit Rabatt bis 15 %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 Visitor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Austauschbesucher, Grundlage des J-1-Visums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Diskriminierung bei Vermietung und Verkauf von Wohnraum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Labor Standards Act (FLSA)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zu Mindestlohn, Überstunden und Kinderarbeit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Poverty Guidelines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 festgelegte US-Armutsgrenzen, unter anderem Grundlage für den Affidavit of Support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Felony / Misdemeanor / Infraction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aufsteigende Schwere von Verstößen: Verbrechen (über 1 Jahr Haft), Vergehen (bis 1 Jahr Haft), kleinster Verstoß wie ein Strafzettel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Financial Assistance (Charity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einkommensabhängiger Erlass von Krankenhausrechnungen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Fiscal Year (FY)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US-Haushaltsjahr, für Einwanderung oft 1. Oktober bis 30. September, etwa beim H-1B-Kontingent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im Ausland gezahlter Steuern auf die US-Steuerschuld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Alert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Vermerk bei einer US-Kreditauskunft, der zusätzliche Identitätsprüfung bei neuen Krediten verlangt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 Mac / Fannie Mae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unterstützte Unternehmen, die Hypotheken von Banken aufkaufen (Conforming Loans)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Freshman / Sophomore / Junior / Senior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vier Jahrgangsstufen der High School beziehungsweise des College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Container Load (FCL)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ganzer Container nur für den eigenen Umzug, schneller und teurer als LCL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Point Average, Notendurchschnitt auf einer Skala bis 4,0</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die unbefristete Aufenthaltserlaubnis, offiziell Lawful Permanent Residence (LPR)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Gross-up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arbeitgeberseitige Aufstockung einer Zahlung, damit nach Steuerabzug der volle Nettobetrag ankommt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Plan Types (HMO / PPO / EPO / POS)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HMO: fester Hausarzt, Überweisungspflicht, günstig. PPO: freie Arztwahl, teurer. EPO: festes Netz, keine Überweisungspflicht. POS: Mischform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HDHP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Deductible Health Plan, Krankenversicherung mit hohem Selbstbehalt, oft kombiniert mit einem HSA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 / High School Diploma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weiterführende Schule, Grade 9 bis 12, mit Abschlusszeugnis (Diploma)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 Eigentümergemeinschaft mit monatlicher Umlage für Gemeinschaftsflächen und Instandhaltung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Savings Account, steuerbegünstigtes Sparkonto für Gesundheitskosten, meist mit HDHP</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Individualized Education Program, rechtlich bindender Förderplan für Schüler mit Behinderung oder Lernbedarf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Immediate Relatives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minderjährige Kinder und Eltern von US-Bürgern, ohne jährliches Quotenlimit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Immigrant / Nonimmigrant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Einwanderer mit unbefristetem Aufenthalt (Green Card) im Unterschied zum befristeten, zweckgebundenen Nichteinwanderer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Nationality Act, zentrales US-Einwanderungsgesetz, Basis aller Visa- und Green-Card-Kategorien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Driving Permit (IDP)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des nationalen Führerscheins, ergänzt diesen, ersetzt ihn aber nicht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internationales Netzwerk für Zugewanderte mit lokalen Stammtischen in vielen US-Städten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Intracompany Transferee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konzerninterne Versetzung, Grundlage des L-1-Visums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ISO (Incentive Stock Options)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begünstigte Aktienoptionen, meist für Führungskräfte und Gründer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Lawful Permanent Residence (LPR)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Bezeichnung für den Green-Card-Status, unbefristeter Aufenthalt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Layoff</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Stellenabbau, betriebsbedingte Kündigung ohne individuelles Fehlverhalten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Less than Container Load (LCL)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Sammelcontainer, in dem mehrere Umzüge zusammen verschifft 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Loan Estimate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standardisierte, bei allen Hypothekenanbietern vergleichbare Kostenübersicht (Pflichtdokument)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Long-term Resident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Green-Card-Inhaber mit Green Card in mindestens 8 der letzten 15 Steuerjahre, Schwelle für die Wegzugsteuer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Marketplace (Health Insurance Marketplace)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Online-Börse für private Krankenversicherungen nach dem ACA (healthcare.gov)</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Married Filing Jointly (MFJ)</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Steuererklärung für Ehepaare, meist der günstigste Steuertarif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Medicaid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Geringverdienende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Menschen ab 65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 Area (Metropolitan Statistical Area)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zusammenhängende Wirtschafts- und Pendlerregion um eine Kernstadt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Mittelstufe, Grade 6 bis 8</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Interest Waiver (NIW)</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Green-Card-Weg ohne Jobangebot und Arbeitsmarktprüfung, bei nachgewiesenem nationalem Interesse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Naturalization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der formale Erwerb der US-Staatsbürgerschaft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Überraschungsrechnungen bei ungeplanter Behandlung außerhalb des Versicherungsnetzwerks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Nor’easter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kräftiger Nordoststurm an der US-Ostküste, oft mit Starkregen oder Schnee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schriftliches Stellenangebot des Arbeitgebers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One Big Beautiful Bill Act (OBBBA)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2025 mit weitreichenden Steuer- und Haushaltsänderungen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Enrollment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Wahlphase für die Krankenversicherung über den Arbeitgeber, oft im Herbst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Practical Training, bis zu 12 Monate, bei MINT-Fächern 24 Monate zusätzlich, Arbeitserlaubnis nach dem Studium unter F-1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 Maximum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der Eigenkosten in der Krankenversicherung, danach übernimmt sie 100 %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Out-the-Door Price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eines Autokaufs inklusive aller Steuern und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Over-the-Counter (OTC)</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rezeptfrei erhältliche Medikamente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Parole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Einreiseerlaubnis ohne Visum aus humanitären oder wichtigen öffentlichen Gründen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Permitless Carry (Constitutional Carry)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erlaubnisfreies Führen einer Waffe in manchen Bundesstaaten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des Arbeitgebers, nicht des Arbeitnehmers, bei arbeitgeberbasierten Visa wie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Points (Discount Points)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Vorabzahlung an den Kreditgeber zur Senkung des Hypothekenzinses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Portability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 bei laufendem Green-Card-Verfahren den Arbeitgeber zu wechseln, ohne von vorn zu beginnen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 / Preschool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Vorschulprogramm für 3- bis 4-Jährige, kein Pflichtprogramm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monatlicher Versicherungsbeitrag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beschleunigte Bearbeitung, meist 15 Kalendertage, für bestimmte USCIS-Anträge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Prevailing Wage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vom Arbeitsministerium (DOL) festgelegter ortsüblicher Mindestlohn für eine Position, Grundlage für H-1B und PERM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Primary Care Physician (PCP)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oft erste Anlaufstelle und Überweisungsinstanz, vor allem bei HMO</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Principal &amp; Interest (P&amp;I)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Tilgungs- und Zinsanteil der monatlichen Hypothekenrate, ohne Steuern und Versicherung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Priority Date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 das die Position in der Green-Card-Warteschlange festlegt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freier Trägerschaft, oft mit Schulgeld, teils religiös gebunden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in den USA meist deutlich höher als in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Parent-Teacher Association, Eltern-Lehrer-Vereinigung an der Schule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Paid Time Off, bezahlte freie Tage, oft Urlaub und Krankheit zusammengefasst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Gegenseitigkeitsabkommen, nach dem ein Bundesstaat einen ausländischen Führerschein ohne neue Prüfung anerkennt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den Green-Card-Status bei einem geplanten Auslandsaufenthalt von bis zu zwei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Request for Evidence (RFE)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der USCIS, einen Antrag mit weiteren Nachweisen zu ergänzen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Restricted Stock Units (RSU)</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Aktienzuteilung durch den Arbeitgeber, die nach einer Sperrfrist (Vesting) ins Eigentum übergeht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Waren und Dienstleistungen, an der Kasse aufgeschlagen, Satz variiert je Bundesstaat und Kommune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(State and Local Tax Deduction)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Möglichkeit, gezahlte Landes- und Kommunalsteuern von der Bundessteuer abzuziehen, gedeckelt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beiden gängigen standardisierten Studierfähigkeitstests für die College-Bewerbung, meist in Grade 11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Schedule 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Liste von Mangelberufen mit vereinfachter Arbeitsmarktprüfung für die Green Card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Secondary Inspection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vertiefte Zweitkontrolle bei der Einreise in einem separaten Bereich, kein Grund zur Sorge an sich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Court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vereinfachtes Gericht für kleinere Streitwerte, meist ohne Anwalt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US-Rentenversicherungssystem, finanziert über Abgaben vom Gehalt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Specialty Occupation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Tätigkeit, die mindestens einen Bachelorabschluss im relevanten Fach voraussetzt, H-1B-Grundvoraussetzung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Aufenthalts- und Tätigkeitsberechtigung im Land nach der Einreise, dokumentiert im I-94 – zu unterscheiden vom Visum im Pass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Substantial Presence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IRS-Formel zur Feststellung der US-Steueransässigkeit anhand der Aufenthaltstage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Return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Steuererklärung, Bundesformular 1040, plus gegebenenfalls ein Formular des Bundesstaats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Totalization Agreement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 verhindert doppelte Rentenbeiträge und rechnet Versicherungszeiten zusammen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Treaty Trader (E-1) / Treaty Investor (E-2)</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für Handels- beziehungsweise Investitionsvertragsstaaten wie Deutschland, ohne Green-Card-Absicht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Walk-in-Klinik für dringende, aber nicht lebensbedrohliche Fälle, günstiger als die Notaufnahme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Venmo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populäre App für Geldüberweisungen zwischen Privatpersonen, gehört zu PayPal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Einreisedokument im Pass, ausgestellt vom Konsulat – zu unterscheiden vom Status nach der Einreise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Liste des State Department mit den aktuellen Stichtagen (Priority Dates) je Green-Card-Kategorie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6,7,9,10,30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das bei größeren Massenentlassungen eine Vorankündigungsfrist von 60 Tagen vorschreibt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Warning / Watch</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Wetter-Warnstufen: Warning bedeutet akute Gefahr, sofort handeln; Watch bedeutet, Bedingungen sind möglich, sei vorbereitet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Windfall Elimination Provision (WEP) / Government Pension Offset (GPO)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frühere Kürzungsregeln der US-Rente bei ausländischer Zusatzrente, beide 2025 durch den Social Security Fairness Act abgeschafft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tbl>
      <w:tblPr>
        <w:tblW w:w="6480" w:type="dxa"/>
        <w:jc w:val="left"/>
        <w:tblInd w:w="0" w:type="dxa"/>
        <w:tblLayout w:type="fixed"/>
        <w:tblCellMar>
          <w:top w:w="50" w:type="dxa"/>
          <w:left w:w="80" w:type="dxa"/>
          <w:bottom w:w="50" w:type="dxa"/>
          <w:right w:w="80" w:type="dxa"/>
        </w:tblCellMar>
      </w:tblPr>
      <w:tblGrid>
        <w:gridCol w:w="1410"/>
        <w:gridCol w:w="3409"/>
        <w:gridCol w:w="1661"/>
      </w:tblGrid>
      <w:tr>
        <w:trPr>
          <w:tblHeader w:val="true"/>
          <w:cantSplit w:val="true"/>
        </w:trPr>
        <w:tc>
          <w:tcPr>
            <w:tcW w:w="1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4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kanadische Krisenhotline für Suizidprävention, per Anruf oder SMS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All-Way Stop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unbeschilderte Kreuzung mit vier Stoppschildern, wer zuerst vollständig hält, fährt zuerst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Arrima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eigenständiges, von Express Entry komplett getrenntes Einwanderungssystem Québecs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Basic Personal Amount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Grundfreibetrag bei der Einkommensteuer, getrennt für Bund und Provinz festgelegt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lockere Freizeit-Eishockeyliga für Erwachsene, meist über die städtische Freizeitverwaltung organisiert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Five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fünf großen kanadischen Retailbanken (RBC, TD, Scotiabank, BMO, CIBC) mit eigenen Newcomer-Paketen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Bill 96 (Loi 96)</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Québecs Sprachgesetz von 2022, macht Französisch zur einzigen Amts- und Schulunterrichtssprache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Bridging 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Überbrückungs-Arbeitsvisum ohne Arbeitgeberbindung während eines laufenden PR-Verfahrens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(CBSA)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Grenzschutz, aktiviert bei der Einreise („Landung“) den PR-Status offiziell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Child Benefit (CCB)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Kindergeld, beantragt über Formular RC66</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Rahmengesetz mit Mindeststandards für die öffentliche Gesundheitsversorgung, Umsetzung liegt bei den Provinzen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(CPP)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gesetzliche Altersvorsorge, Beitrag je 5,95 % von Arbeitnehmer und Arbeitgeber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Überblick,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(CRA)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Bundessteuerbehörde, vergleichbar mit Finanzamt und Bundeszentralamt für Steuern zusammen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Charter of Rights and Freedoms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Grundrechtecharta, seit 1982 verfassungsrechtlich verankert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(CEC)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zur PR auf Basis bereits in Kanada gesammelter Berufserfahrung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(CLB)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kanadische Sprachniveau-Skala für Englisch beziehungsweise Französisch</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2018, macht Cannabis in ganz Kanada legal, anders als nach US-Bundesrecht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Certificate of Eligibility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Berechtigungsbescheinigung für englischsprachigen Schulunterricht in Québec</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(CRS)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Punkteskala, nach der IRCC Kandidatenprofile im Express-Entry-Bewerberpool rangiert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Confirmation of Permanent Residence (COPR)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Bestätigungsdokument, das bei der Einreise den PR-Status offiziell aktiviert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Bonitätsauskunft auf einer Skala von 300 bis 900, ausländische Kredithistorie wird nicht übernommen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Strafpunkte im Führerscheinregister, von jeder Provinz eigenständig geführt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(ECA)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amtlich anerkannte Bewertung eines ausländischen Bildungsabschlusses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Insurance (EI)</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Arbeitslosenversicherung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Arbeitsstandardgesetz, regelt Mindesturlaub, Kündigungsfrist und Feiertage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eTA (Electronic Travel Authorization)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 Einreisegenehmigung für visumfreie Besuchsreisen, keine Arbeitsberechtigung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bundesweites Online-Punktesystem für die wirtschaftliche Einwanderung, bündelt FSW, CEC und FST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Extended Health Benefits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arbeitgeberfinanzierte Zusatzversicherung für Zahn, Medikamente, Sehhilfen und Physiotherapie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(FSW)</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für Fachkräfte ohne Kanada-Bezug, mit eigenem 67-Punkte-Zulassungsraster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optionaler zweisprachiger Schulzweig an regulären englischsprachigen Schulen, kostenlos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Mehrwertsteuer von 5 %, in fünf Provinzen als Harmonized Sales Tax (HST) mit Provinzanteil kombiniert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Medical Exam (IME)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Pflicht-Gesundheitsuntersuchung bei einem zugelassenen Panel Physician vor PR oder Visum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(IRCC)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Einwanderungsbehörde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Mobility Program (IMP)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befreit von der LMIA-Pflicht, wenn die Stelle einen breiteren Nutzen für Kanada hat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Invitation to Apply (ITA)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zur PR-Antragstellung nach ausreichendem CRS-Score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 des kanadischen Arbeitsministeriums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(LMIA)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Arbeitsmarkttest, mit dem ein Arbeitgeber die fehlende Verfügbarkeit kanadischer Bewerber nachweist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Transfer Tax</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beim Immobilienkauf, gestaffelt nach Kaufpreis und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Low Income Cut-Off (LICO)</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Einkommensschwelle, Grundlage für das Mindesteinkommen beim Eltern-/Großeltern-Sponsoring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(MSCA)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 Online-Konto bei Service Canada, unter anderem für die SIN-Bestätigung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(NOC)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Berufsklassifikationssystem, gestaffelt nach TEER-Anforderungsstufen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ohne Bindung an einen einzelnen Arbeitgeber, etwa nach PGWP oder für mitreisende Partner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and Grandparent Program (PGP)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familienbasierter PR-Weg für Eltern und Großeltern, seit 2026 für Neuanträge pausiert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Residence (PR)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Aufenthaltsstatus Kanadas, funktional vergleichbar mit der US-Green-Card</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Staatsbürgerschaft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(PGWP)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Arbeitsvisum für Absolventen kanadischer Hochschulen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(PNP)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Nominierungsprogramm für die PR, mit eigenen Kriterien je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(RCIC)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kanadischer Einwanderungsberater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of Permanent Residence Fee (RPRF)</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für das Recht auf permanenten Aufenthalt, 600 CAD pro Erwachsenem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Royal Canadian Mounted Police (RCMP)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Bundespolizei, übernimmt in den meisten Provinzen auch die Alltagspolizei</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School Board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lokale Schulbehörde, setzt Einschulungsalter, Notenskala und Lehrplan der Provinz 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Secured Credit Card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 Kaution gedeckte Kreditkarte zum Aufbau einer kanadischen Kredithistorie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neunstellige kanadische Sozialversicherungsnummer, Pflicht für Gehalt und Steuererklärung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Mehrfacheinreise-Langzeit-Besuchervisum für Eltern und Großeltern, kein Daueraufenthaltstitel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Foreign Worker Program (TFWP)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arbeitsmarktgeprüftes, LMIA-pflichtiges Programm für befristete Arbeitskräfte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meist arbeitgebergebundene kanadische Arbeitserlaubnis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 Einwanderung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tbl>
      <w:tblPr>
        <w:tblW w:w="6480" w:type="dxa"/>
        <w:jc w:val="left"/>
        <w:tblInd w:w="0" w:type="dxa"/>
        <w:tblLayout w:type="fixed"/>
        <w:tblCellMar>
          <w:top w:w="50" w:type="dxa"/>
          <w:left w:w="80" w:type="dxa"/>
          <w:bottom w:w="50" w:type="dxa"/>
          <w:right w:w="80" w:type="dxa"/>
        </w:tblCellMar>
      </w:tblPr>
      <w:tblGrid>
        <w:gridCol w:w="2019"/>
        <w:gridCol w:w="2778"/>
        <w:gridCol w:w="1683"/>
      </w:tblGrid>
      <w:tr>
        <w:trPr>
          <w:tblHeader w:val="true"/>
          <w:cantSplit w:val="true"/>
        </w:trPr>
        <w:tc>
          <w:tcPr>
            <w:tcW w:w="20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7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Market Salary Rate (AMSR)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marktüblicher Lohn für eine Position, neben der CSIT maßgeblich für die Lohnschwelle beim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Beglaubigung nach dem Haager Übereinkommen, für das deutsche Führungszeugnis bei Home Affairs zusätzlich nötig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Services Australia für zehn Jahre hinterlegte, rückzahlbare Kaution eines Sponsors beim Contributory-Eltern-Visum</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ATAR (Australian Tertiary Admission Rank)</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Rangzahl zwischen 0 und 99,95 für die Universitätszulassung, misst die Schülerleistung relativ zum Jahrgang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 (Australian Taxation Office)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Finanzbehörde, zuständig für Einkommensteuer, TFN und Superannuation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Immobilienversteigerung, in Melbourne und Sydney üblich; der Zuschlag ist meist sofort bindend, ohne Rücktrittsrecht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Backpacker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Steuertarif für Working-Holiday-Visuminhaber: 15 % auf jeden verdienten Dollar bis 45.000 AUD, ohne Steuerfreibetrag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 geografische Prüfung beim Eltern-Visum; bestanden nur, wenn mindestens die Hälfte der volljährigen Kinder in Australien lebt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Base Application Charge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eigentliche Visumantragsgebühr, nur ein Teilposten neben Skills Assessment, Gesundheitscheck und Führungszeugnissen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 (Rental Bond)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Mietkaution, meist vier Wochen Miete, wird bei einer staatlichen Kautionsstelle hinterlegt statt beim Vermieter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Booze Bus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eine mobile Polizeistation zur Alkohol- und Drogenkontrolle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Bulk Billing</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Abrechnungsform, bei der ein Hausarzt direkt und ohne Zuzahlung mit Medicare abrechnet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 (Bring Your Own)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bei Einladungen und Barbecues, eigene Getränke (gelegentlich Fleisch) mitzubringen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zu australischer Geschichte, Regierungssystem und Werten, Pflichtbestandteil des Einbürgerungsverfahrens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Conveyancer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 Immobilienrecht spezialisierte Fachperson, prüft den Kaufvertrag und wickelt die Übergabe ab, Ersatz für den deutschen Notar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Income Threshold (CSIT)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Mindestlohnschwelle im Core-Skills-Strom des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(CSOL)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1.7.2025 gültige, 456 Berufe umfassende Liste für Subclass 482 und den Direktweg von 186</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DASP (Departing Australia Superannuation Payment)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Auszahlung des Superannuation-Guthabens beim endgültigen Verlassen Australiens, mit 35–65 % Abgeltungssteuer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für Verkehrsverstöße, gestaffelt nach Lizenztyp und Bundesstaat; bei Erreichen der Grenze droht Führerscheinsperre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Subclass 186)</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Daueraufenthaltserlaubnis über einen sponsernden Arbeitgeber, u. a. nach zwei Jahren 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Established Dwellings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 die Ausländer und befristete Visa-Inhaber seit 1.4.2025 bis mindestens 30.6.2029 grundsätzlich nicht kaufen dürfen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(EOI)</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unverbindliche Interessensbekundung über SkillSelect, Grundlage für eine spätere Einladung zum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Act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australisches Arbeitsgesetz von 2009, gilt bundeseinheitlich für fast alle privaten Arbeitsverhältnisse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 (Foreign Investment Review Board)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Prüfbehörde für Auslandsinvestitionen, setzt u. a. das Established-Dwelling-Kaufverbot durch</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Genuine Reason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vorgeschriebener triftiger Grund für eine Waffenlizenz; Selbstverteidigung zählt ausdrücklich nicht dazu</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(Goods and Services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Waren- und Dienstleistungssteuer, anders als in den USA bereits im Ladenpreis enthalten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HAP-ID (Health Assessment Processing ID)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Kennnummer für die Terminbuchung bei der visumsbezogenen Gesundheitsuntersuchung beim Panel Physician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Online-Portal des Department of Home Affairs für Visumanträge, Zahlungen und Behördenkommunikation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LITO (Low Income Tax Offset)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für niedrige Einkommen von bis zu 700 AUD, hebt die faktische Steuerfreigrenze auf rund 22.867 AUD</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Überblick,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Mateship</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australisches Ideal von Gleichheit und gegenseitiger Unterstützung, Grundlage der informellen Umgangsformen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australisches Krankenversicherungssystem, zugänglich für Staatsbürger und Permanent Residents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 Abgabe von 2,0 % des zu versteuernden Einkommens zur Mitfinanzierung von Medicare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(MLS)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Zusatzabgabe für Besserverdiener ohne private Krankenhausversicherung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NAPLAN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landesweiter Standardtest für Grundfertigkeiten in Lesen, Schreiben und Mathematik in Year 3, 5, 7 und 9</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(NES)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gesetzliche Mindestansprüche aus dem Fair Work Act, u. a. zu Urlaub und Kündigungsfristen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(Overseas Student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Studienvisum-Inhaber verpflichtende private Krankenzusatzversicherung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(Outside School Hours 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Vor- und Nachmittagsbetreuung an Grundschulen, gleiche Abkürzung wie die Krankenzusatzversicherung oben, aber ein anderer Begriff</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(Overseas Visitor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Krankenzusatzversicherung für die meisten befristeten, nicht-studentischen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P-Plates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Kennzeichnung für Fahranfänger, vergleichbar der deutschen Probezeit, mit eigener 0,00-%-Alkoholgrenze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(PR)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Inhaber einer unbefristeten Aufenthaltserlaubnis, u. a. Voraussetzung für vollen Medicare-Zugang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 (RBT)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Atemalkoholkontrolle im Straßenverkehr, in Australien Routine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Drug Testing (RDT)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verdachtsunabhängiger Speicheltest auf Drogen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Reciprocal Health Care Agreement (RHCA)</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zwischenstaatliches Gegenseitigkeitsabkommen zur medizinischen Grundversorgung; Deutschland gehört nicht zu den elf Partnerländern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Registered Migration Agent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der OMARA registrierte, zur entgeltlichen Migrationsberatung befugte Fachperson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to Disconnect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2024/25 geltendes Recht, Kontaktversuche des Arbeitgebers außerhalb der Arbeitszeit abzulehnen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Roadworthy Certificate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Zustandsprüfung eines Fahrzeugs, in Victoria und Queensland beim Gebrauchtwagenverkauf gesetzlich vorgeschrieben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(Subclass 189)</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Visum ganz ohne Sponsor, mit freier Wohnortwahl in ganz Australien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 (SAF-Levy)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Ausbildungsabgabe, die der Arbeitgeber bei Subclass 482 und 186 zahlt, nicht auf den Arbeitnehmer abwälzbar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fachliche Qualifikationsprüfung durch eine zuständige Berufsorganisation, oft der eigentliche Flaschenhals vor dem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Subclass 482)</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arbeitgebergesponsertes befristetes Arbeitsvisum, seit Dezember 2024 Nachfolger des Temporary Skill Shortage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Online-Plattform für punktebasierte Visa: Interessensbekundung, Punkteberechnung und Einladung zur Antragstellung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Stamp Duty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den Bundesstaaten erhobene Grunderwerbsteuer; Nicht-Staatsbürger ohne PR zahlen zusätzlich einen Foreign-Buyer-Zuschlag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kapitalgedeckte Altersvorsorge, die der Arbeitgeber neben dem Gehalt einzahlt (12,0 % seit Juli 2025)</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Tall Poppy Syndrome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soziale Zurückhaltung gegenüber demonstrativem Erfolg oder Prahlerei</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(Tax File Number)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 australische Steuer-Identifikationsnummer; ohne sie werden 47 % vom Lohn einbehalten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 Dismissal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gesetzlicher Schutz vor unfairer Kündigung, greift erst nach sechs bis zwölf Monaten Beschäftigung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tbl>
      <w:tblPr>
        <w:tblW w:w="6480" w:type="dxa"/>
        <w:jc w:val="left"/>
        <w:tblInd w:w="0" w:type="dxa"/>
        <w:tblLayout w:type="fixed"/>
        <w:tblCellMar>
          <w:top w:w="50" w:type="dxa"/>
          <w:left w:w="80" w:type="dxa"/>
          <w:bottom w:w="50" w:type="dxa"/>
          <w:right w:w="80" w:type="dxa"/>
        </w:tblCellMar>
      </w:tblPr>
      <w:tblGrid>
        <w:gridCol w:w="1667"/>
        <w:gridCol w:w="2850"/>
        <w:gridCol w:w="1963"/>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(ACC)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verpflichtende No-Fault-Unfallversicherung für jede Person in Neuseeland, unabhängig vom Aufenthaltsstatus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arbeitgebergebundenes Fachkräfte-Arbeitsvisum; der Arbeitgeber muss vorab akkreditiert sein und einen Job Check bestehen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Active Investor Plus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Investorenvisum für reine Kapitalanlage ohne operative Geschäftsführung, Kategorien „Growth“ (ab 5 Mio. NZD) und „Balanced“ (ab 10 Mio. NZD)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auf höchstens vier Wochenmieten gedeckelte Mietkaution, treuhänderisch bei Tenancy Services hinterlegt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Investoren-Arbeitsvisum für aktive Unternehmensführung mit Mindestbeschäftigung, löst seit 2025 die frühere Entrepreneur-Kategorie ab</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Character Requirement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Vorgabe zum guten Leumund im Einwanderungsverfahren, geprüft ab 17 Jahren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Descent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der Staatsbürgerschaft für im Ausland geborene Kinder neuseeländischer Eltern, konstitutiv statt automatisch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Common Law</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britisch geprägtes Fallrecht, Grundlage des neuseeländischen Rechtssystems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(DIA)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 die Einbürgerungsanträge bearbeitet und den guten Leumund prüft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nach der die staatliche Rente NZ Super Dollar für Dollar um eine ausländische Sozialversicherungsrente gekürzt wird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von ACC, ab April 2026 1,75 % des beitragspflichtigen Einkommens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Vorab-Akkreditierung eines Arbeitgebers, Voraussetzung für das AEWV-System</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New Zealand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Arbeitsbereich des Wirtschaftsministeriums MBIE, kostenlose Information und Beratung zum Arbeitsrecht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 (English for Speakers of Other Languages)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Sprachförderung für Kinder ohne Englisch als Erstsprache, vom Bildungsministerium bezuschusst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Exempt Countries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Verkehrsbehörde NZTA anerkannte Länderliste, deren Führerscheine ohne Prüfung umgetauscht werden können; Deutschland zählt dazu</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 Practitioner (GP)</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meist über eine Primary Health Organisation organisiert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Give Way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2012 geltende Vorfahrtsregel, wonach abbiegender Verkehr nicht mehr automatisch Vorrang hat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 Faith</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 und Glauben, zentraler Grundsatz des neuseeländischen Arbeitsrechts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Verbrauchsteuer von 15 %, anders als die US-Sales-Tax bereits im Preis enthalten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Mangelberufe-Liste mit direktem (Tier 1) oder verkürztem (Tier 2) Weg zur Residency für rund 200 Berufe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Einwanderungsabgabe, die bei fast jedem Visumantrag zur Antragsgebühr hinzukommt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(INZ)</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Einwanderungsbehörde, Teil des Wirtschaftsministeriums MBIE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Steuerbehörde, vergibt die kostenlose, lebenslange IRD-Nummer als Voraussetzung für Gehalt, Bankkonto und KiwiSaver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behördliche Prüfung einer konkreten Stelle im AEWV-Verfahren, weist marktübliche Bezahlung und Bedingungen nach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Karakia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einleitendes Ritual beziehungsweise stilles Gebet zur Eröffnung von Zeremonien und Besprechungen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Kia ora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Māori-Gruß, im neuseeländischen Alltagsenglisch fest für „Hallo“ verankert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freiwilliges, staatlich gefördertes Rentensparsystem mit Pflichtbeitrag des Arbeitgebers, nur für Bürger und Personen mit unbefristetem Aufenthaltsrecht offen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Licensed Immigration Adviser (LIA)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lizenzierter Einwanderungsberater, reguliert durch die Immigration Advisers Authority</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Certificate of Educational Achievement (NCEA)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Schulabschluss über Einzelfächer und Kredit-Punkte, etwa Year 11 bis 13</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Bill of Rights Act 1990</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Grundrechtecharta, gilt für jeden im Land unabhängig von der Staatsangehörigkeit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Transport Agency Waka Kotahi (NZTA)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Verkehrsbehörde, zuständig für Führerschein-Umtausch und Verkehrsregeln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(NZTD)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digitale Einreise-, Zoll- und Biosecurity-Erklärung, vor der Landung 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No-notification Rate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pauschaler Höchststeuersatz von 45 % auf Gehalt und Zinsen ohne hinterlegte IRD-Nummer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Ordinarily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der ausländischen Käufern erst den Kauf einer Bestandsimmobilie erlaubt; verlangt Resident-Visum, 12 Monate Aufenthalt, 183-Tage-Anwesenheit und Steuerresidenz gleichzeitig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Person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rechtlicher Status nach dem Overseas Investment Act, der den Kauf von Bestandsimmobilien grundsätzlich verbietet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(PAYE)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laufender Lohnsteuerabzug direkt vom Arbeitgeber nach den progressiven Steuerstufen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Visa (PRV)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Daueraufenthaltstitel ohne Reisebeschränkung, meist im Anschluss an das zunächst reisebeschränkte Resident Visa</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 Grievance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arbeitsrechtliche Beschwerde bei ungerechter Behandlung, ohne Mindestbeschäftigungszeit möglich, Frist 90 Tage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gemeinnützige Organisation für frühkindliche Gesundheit und Krabbelgruppen, guter Ort für erste Kontakte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 Certificate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für den Visumantrag höchstens sechs Monate alt, ohne Apostille, nur mit beglaubigter Übersetzung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Pōwhiri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traditionelle Māori-Willkommenszeremonie mit Reden, Gesang und Ritual</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Redundancy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betriebsbedingte Kündigung; anders als in Deutschland keine automatische gesetzliche Abfindungspflicht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Daueraufenthaltstitel, funktional vergleichbar mit der Green Card, zunächst zwei Jahre reisebeschränkt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She’ll Be Right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Redewendung im Sinne von „wird schon werden“, typisch für die neuseeländische Gelassenheit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(SMC)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Hauptvisum für Fachkräfte zum Daueraufenthalt, seit der Reform 2025/26 mit einer Schwelle von 6 Punkten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Smoko</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Kaffee- oder Teepause während der Arbeitszeit, ursprünglich die Raucherpause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Ao Māori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Māori-Weltsicht, prägt zunehmend Alltag und Arbeitswelt Neuseelands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Ruhestandsweg ohne dort lebendes Kind, verlangt hohe Investitions- und Einkommensschwellen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 Services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Stelle, die Mietkautionen treuhänderisch verwaltet und bei Mietstreitigkeiten vermittelt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 Tū Ake (Natural Hazards Commission)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Naturgefahrenversicherung, deckt die ersten 300.000 NZD Erdbebenschaden am Wohngebäude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mehrtägiges Wandern mit Hüttenübernachtung, eigenständiger neuseeländischer Begriff</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Befreiung für Neuankömmlinge auf die meisten ausländischen Kapital-, Miet- und Beteiligungseinkünfte, 48 Monate lang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Trial Period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90-tägige Probezeit ohne Kündigungsschutz, seit 2023 für jeden Arbeitgeber unabhängig von der Betriebsgröße möglich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Warrant of Fitness (WoF)</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neuseeländisches Pendant zum TÜV, bei Verkauf höchstens einen Monat 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Visum für 18- bis 30-jährige Deutsche ohne Jobangebot, bis zu 12 Monate, kein Weg zum Daueraufenthalt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Gesetze, Formularnummern und Programmdetails ändern sich; prüfe bei einem konkreten Vorhaben die aktuelle Fassung auf der zuständigen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6" w:name="__RefHeading___Toc56636_3457424410"/>
      <w:bookmarkStart w:id="207" w:name="anhang_c"/>
      <w:bookmarkEnd w:id="206"/>
      <w:r>
        <w:rPr>
          <w:rFonts w:eastAsia="Amazon Ember" w:cs="Amazon Ember" w:ascii="Amazon Ember" w:hAnsi="Amazon Ember"/>
          <w:b/>
          <w:bCs/>
          <w:color w:val="0000FF"/>
          <w:sz w:val="36"/>
          <w:szCs w:val="36"/>
        </w:rPr>
        <w:t>Anhang C: Umrechnungstabellen</w:t>
      </w:r>
      <w:bookmarkEnd w:id="2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liefert aber einen schnellen Ausgangswert.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Nur die USA messen nicht metrisch – dort brauchst du für fast alles eine Umrechnung, deshalb ist der folgende Abschnitt entsprechend ausführlich. Kanada, Australien und Neuseeland sind, wie Deutschland, metrische Länder. Ihre Abschnitte fallen deshalb deutlich kürzer aus und konzentrieren sich auf das, was tatsächlich abweicht – vor allem Steckertyp/Spannung sowie Kleider- und Schuhgrößen.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Temperatur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 °C = (°F − 32) × 5/9. Umgekehrt: °F = °C × 9/5 + 32.</w:t>
      </w:r>
    </w:p>
    <w:tbl>
      <w:tblPr>
        <w:tblW w:w="6480" w:type="dxa"/>
        <w:jc w:val="left"/>
        <w:tblInd w:w="0" w:type="dxa"/>
        <w:tblLayout w:type="fixed"/>
        <w:tblCellMar>
          <w:top w:w="50" w:type="dxa"/>
          <w:left w:w="80" w:type="dxa"/>
          <w:bottom w:w="50" w:type="dxa"/>
          <w:right w:w="80" w:type="dxa"/>
        </w:tblCellMar>
      </w:tblPr>
      <w:tblGrid>
        <w:gridCol w:w="1632"/>
        <w:gridCol w:w="1633"/>
        <w:gridCol w:w="3215"/>
      </w:tblGrid>
      <w:tr>
        <w:trPr>
          <w:tblHeader w:val="true"/>
          <w:cantSplit w:val="true"/>
        </w:trPr>
        <w:tc>
          <w:tcPr>
            <w:tcW w:w="1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3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Wert</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18</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Kälte</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Gefrierpunkt Wasser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Angenehme Raumtemperatur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Warm</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Sehr 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Hitzewelle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Längen und Distanzen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Meile (</w:t>
      </w:r>
      <w:r>
        <w:rPr>
          <w:rFonts w:eastAsia="Cambria" w:cs="Cambria"/>
          <w:b w:val="false"/>
          <w:bCs w:val="false"/>
          <w:i/>
          <w:iCs/>
          <w:sz w:val="22"/>
          <w:szCs w:val="22"/>
        </w:rPr>
        <w:t>mile</w:t>
      </w:r>
      <w:r>
        <w:rPr>
          <w:rFonts w:eastAsia="Cambria" w:cs="Cambria"/>
          <w:b w:val="false"/>
          <w:bCs w:val="false"/>
          <w:i w:val="false"/>
          <w:iCs w:val="false"/>
          <w:sz w:val="22"/>
          <w:szCs w:val="22"/>
        </w:rPr>
        <w:t>) = 1,61 km. 1 Fuß (</w:t>
      </w:r>
      <w:r>
        <w:rPr>
          <w:rFonts w:eastAsia="Cambria" w:cs="Cambria"/>
          <w:b w:val="false"/>
          <w:bCs w:val="false"/>
          <w:i/>
          <w:iCs/>
          <w:sz w:val="22"/>
          <w:szCs w:val="22"/>
        </w:rPr>
        <w:t>foot</w:t>
      </w:r>
      <w:r>
        <w:rPr>
          <w:rFonts w:eastAsia="Cambria" w:cs="Cambria"/>
          <w:b w:val="false"/>
          <w:bCs w:val="false"/>
          <w:i w:val="false"/>
          <w:iCs w:val="false"/>
          <w:sz w:val="22"/>
          <w:szCs w:val="22"/>
        </w:rPr>
        <w:t>, ft) = 30,48 cm. 1 Zoll (</w:t>
      </w:r>
      <w:r>
        <w:rPr>
          <w:rFonts w:eastAsia="Cambria" w:cs="Cambria"/>
          <w:b w:val="false"/>
          <w:bCs w:val="false"/>
          <w:i/>
          <w:iCs/>
          <w:sz w:val="22"/>
          <w:szCs w:val="22"/>
        </w:rPr>
        <w:t>inch</w:t>
      </w:r>
      <w:r>
        <w:rPr>
          <w:rFonts w:eastAsia="Cambria" w:cs="Cambria"/>
          <w:b w:val="false"/>
          <w:bCs w:val="false"/>
          <w:i w:val="false"/>
          <w:iCs w:val="false"/>
          <w:sz w:val="22"/>
          <w:szCs w:val="22"/>
        </w:rPr>
        <w:t>, in) = 2,54 cm.</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Kilometer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Körpergröße (Fuß und Zoll zu cm):</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(ft/in)</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cm</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188</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Gewicht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Pfund (</w:t>
      </w:r>
      <w:r>
        <w:rPr>
          <w:rFonts w:eastAsia="Cambria" w:cs="Cambria"/>
          <w:b w:val="false"/>
          <w:bCs w:val="false"/>
          <w:i/>
          <w:iCs/>
          <w:sz w:val="22"/>
          <w:szCs w:val="22"/>
        </w:rPr>
        <w:t>pound</w:t>
      </w:r>
      <w:r>
        <w:rPr>
          <w:rFonts w:eastAsia="Cambria" w:cs="Cambria"/>
          <w:b w:val="false"/>
          <w:bCs w:val="false"/>
          <w:i w:val="false"/>
          <w:iCs w:val="false"/>
          <w:sz w:val="22"/>
          <w:szCs w:val="22"/>
        </w:rPr>
        <w:t>, lb) = 0,4536 kg. 1 kg = 2,2046 lb.</w:t>
      </w:r>
    </w:p>
    <w:tbl>
      <w:tblPr>
        <w:tblW w:w="6480" w:type="dxa"/>
        <w:jc w:val="left"/>
        <w:tblInd w:w="0" w:type="dxa"/>
        <w:tblLayout w:type="fixed"/>
        <w:tblCellMar>
          <w:top w:w="50" w:type="dxa"/>
          <w:left w:w="80" w:type="dxa"/>
          <w:bottom w:w="50" w:type="dxa"/>
          <w:right w:w="80" w:type="dxa"/>
        </w:tblCellMar>
      </w:tblPr>
      <w:tblGrid>
        <w:gridCol w:w="3004"/>
        <w:gridCol w:w="3475"/>
      </w:tblGrid>
      <w:tr>
        <w:trPr>
          <w:tblHeader w:val="true"/>
          <w:cantSplit w:val="true"/>
        </w:trPr>
        <w:tc>
          <w:tcPr>
            <w:tcW w:w="30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Pfund</w:t>
            </w:r>
          </w:p>
        </w:tc>
        <w:tc>
          <w:tcPr>
            <w:tcW w:w="3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Kilogramm</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und Backen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Hohlmaße (</w:t>
      </w:r>
      <w:r>
        <w:rPr>
          <w:rFonts w:eastAsia="Cambria" w:cs="Cambria"/>
          <w:b w:val="false"/>
          <w:bCs w:val="false"/>
          <w:i/>
          <w:iCs/>
          <w:sz w:val="22"/>
          <w:szCs w:val="22"/>
        </w:rPr>
        <w:t>teaspoon</w:t>
      </w:r>
      <w:r>
        <w:rPr>
          <w:rFonts w:eastAsia="Cambria" w:cs="Cambria"/>
          <w:b w:val="false"/>
          <w:bCs w:val="false"/>
          <w:i w:val="false"/>
          <w:iCs w:val="false"/>
          <w:sz w:val="22"/>
          <w:szCs w:val="22"/>
        </w:rPr>
        <w:t xml:space="preserve">, tsp; </w:t>
      </w:r>
      <w:r>
        <w:rPr>
          <w:rFonts w:eastAsia="Cambria" w:cs="Cambria"/>
          <w:b w:val="false"/>
          <w:bCs w:val="false"/>
          <w:i/>
          <w:iCs/>
          <w:sz w:val="22"/>
          <w:szCs w:val="22"/>
        </w:rPr>
        <w:t>tablespoon</w:t>
      </w:r>
      <w:r>
        <w:rPr>
          <w:rFonts w:eastAsia="Cambria" w:cs="Cambria"/>
          <w:b w:val="false"/>
          <w:bCs w:val="false"/>
          <w:i w:val="false"/>
          <w:iCs w:val="false"/>
          <w:sz w:val="22"/>
          <w:szCs w:val="22"/>
        </w:rPr>
        <w:t xml:space="preserve">, tbsp; </w:t>
      </w:r>
      <w:r>
        <w:rPr>
          <w:rFonts w:eastAsia="Cambria" w:cs="Cambria"/>
          <w:b w:val="false"/>
          <w:bCs w:val="false"/>
          <w:i/>
          <w:iCs/>
          <w:sz w:val="22"/>
          <w:szCs w:val="22"/>
        </w:rPr>
        <w:t>cup</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tbsp (3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¼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⅓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⅔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¾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Gewichte (</w:t>
      </w:r>
      <w:r>
        <w:rPr>
          <w:rFonts w:eastAsia="Cambria" w:cs="Cambria"/>
          <w:b w:val="false"/>
          <w:bCs w:val="false"/>
          <w:i/>
          <w:iCs/>
          <w:sz w:val="22"/>
          <w:szCs w:val="22"/>
        </w:rPr>
        <w:t>ounce</w:t>
      </w:r>
      <w:r>
        <w:rPr>
          <w:rFonts w:eastAsia="Cambria" w:cs="Cambria"/>
          <w:b w:val="false"/>
          <w:bCs w:val="false"/>
          <w:i w:val="false"/>
          <w:iCs w:val="false"/>
          <w:sz w:val="22"/>
          <w:szCs w:val="22"/>
        </w:rPr>
        <w:t>, oz):</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Gramm</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227</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(1 lb)</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Backofentemperaturen:</w:t>
      </w:r>
    </w:p>
    <w:tbl>
      <w:tblPr>
        <w:tblW w:w="6480" w:type="dxa"/>
        <w:jc w:val="left"/>
        <w:tblInd w:w="0" w:type="dxa"/>
        <w:tblLayout w:type="fixed"/>
        <w:tblCellMar>
          <w:top w:w="50" w:type="dxa"/>
          <w:left w:w="80" w:type="dxa"/>
          <w:bottom w:w="50" w:type="dxa"/>
          <w:right w:w="80" w:type="dxa"/>
        </w:tblCellMar>
      </w:tblPr>
      <w:tblGrid>
        <w:gridCol w:w="2047"/>
        <w:gridCol w:w="2047"/>
        <w:gridCol w:w="2386"/>
      </w:tblGrid>
      <w:tr>
        <w:trPr>
          <w:tblHeader w:val="true"/>
          <w:cantSplit w:val="true"/>
        </w:trPr>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23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Gasstufe</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Kleidergrößen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weichen von deutschen ab und schwanken zusätzlich je Marke (</w:t>
      </w:r>
      <w:r>
        <w:rPr>
          <w:rFonts w:eastAsia="Cambria" w:cs="Cambria"/>
          <w:b w:val="false"/>
          <w:bCs w:val="false"/>
          <w:i/>
          <w:iCs/>
          <w:sz w:val="22"/>
          <w:szCs w:val="22"/>
        </w:rPr>
        <w:t>Vanity Sizing</w:t>
      </w:r>
      <w:r>
        <w:rPr>
          <w:rFonts w:eastAsia="Cambria" w:cs="Cambria"/>
          <w:b w:val="false"/>
          <w:bCs w:val="false"/>
          <w:i w:val="false"/>
          <w:iCs w:val="false"/>
          <w:sz w:val="22"/>
          <w:szCs w:val="22"/>
        </w:rPr>
        <w:t>). Die folgenden Tabellen sind Näherungswerte; maßgeblich bleibt die Maßtabelle der Marke, bei der du kaufst (ausführlich: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nach Brustumfang, Hemden nach Kragenweite, Jeans nach Bundweite/Schrittlänge, jeweils in Zoll)</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(US-Größe folgt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Kleinkind)</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getrennt)</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Bettgrößen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sind anders genormt als deutsche; Bettwäsche kaufst du deshalb in den USA neu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Papierformat</w:t>
      </w:r>
    </w:p>
    <w:tbl>
      <w:tblPr>
        <w:tblW w:w="6480" w:type="dxa"/>
        <w:jc w:val="left"/>
        <w:tblInd w:w="0" w:type="dxa"/>
        <w:tblLayout w:type="fixed"/>
        <w:tblCellMar>
          <w:top w:w="50" w:type="dxa"/>
          <w:left w:w="80" w:type="dxa"/>
          <w:bottom w:w="50" w:type="dxa"/>
          <w:right w:w="80" w:type="dxa"/>
        </w:tblCellMar>
      </w:tblPr>
      <w:tblGrid>
        <w:gridCol w:w="1091"/>
        <w:gridCol w:w="1013"/>
        <w:gridCol w:w="1623"/>
        <w:gridCol w:w="2752"/>
      </w:tblGrid>
      <w:tr>
        <w:trPr>
          <w:tblHeader w:val="true"/>
          <w:cantSplit w:val="true"/>
        </w:trPr>
        <w:tc>
          <w:tcPr>
            <w:tcW w:w="1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Format</w:t>
            </w:r>
          </w:p>
        </w:tc>
        <w:tc>
          <w:tcPr>
            <w:tcW w:w="10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Verbreitung</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Letter</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11</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27,9</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(Standard)</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Legal</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14</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35,6</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(Verträge, Gerichtsdokumente)</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A4</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8,27 × 11,69</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21,0 × 29,7</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(Standard)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Ordner und Locher folgen in den USA einer anderen Lochung als in Deutschland; beides kaufst du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Datumsformat und Wochenstart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steht der Monat vor dem Tag, in Deutschland der Tag vor dem Monat. Dieselbe Zahlenfolge kann deshalb zwei verschiedene Daten bedeuten.</w:t>
      </w:r>
    </w:p>
    <w:tbl>
      <w:tblPr>
        <w:tblW w:w="6480" w:type="dxa"/>
        <w:jc w:val="left"/>
        <w:tblInd w:w="0" w:type="dxa"/>
        <w:tblLayout w:type="fixed"/>
        <w:tblCellMar>
          <w:top w:w="50" w:type="dxa"/>
          <w:left w:w="80" w:type="dxa"/>
          <w:bottom w:w="50" w:type="dxa"/>
          <w:right w:w="80" w:type="dxa"/>
        </w:tblCellMar>
      </w:tblPr>
      <w:tblGrid>
        <w:gridCol w:w="2617"/>
        <w:gridCol w:w="1885"/>
        <w:gridCol w:w="1978"/>
      </w:tblGrid>
      <w:tr>
        <w:trPr>
          <w:tblHeader w:val="true"/>
          <w:cantSplit w:val="true"/>
        </w:trPr>
        <w:tc>
          <w:tcPr>
            <w:tcW w:w="26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Schreibweise</w:t>
            </w:r>
          </w:p>
        </w:tc>
        <w:tc>
          <w:tcPr>
            <w:tcW w:w="18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c>
          <w:tcPr>
            <w:tcW w:w="1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MM/DD/YYYY (USA)</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09/23/2026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TT.MM.JJJJ (Deutschland)</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23.09.2026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w:t>
      </w:r>
    </w:p>
    <w:tbl>
      <w:tblPr>
        <w:tblW w:w="6480" w:type="dxa"/>
        <w:jc w:val="left"/>
        <w:tblInd w:w="0" w:type="dxa"/>
        <w:tblLayout w:type="fixed"/>
        <w:tblCellMar>
          <w:top w:w="50" w:type="dxa"/>
          <w:left w:w="80" w:type="dxa"/>
          <w:bottom w:w="50" w:type="dxa"/>
          <w:right w:w="80" w:type="dxa"/>
        </w:tblCellMar>
      </w:tblPr>
      <w:tblGrid>
        <w:gridCol w:w="1752"/>
        <w:gridCol w:w="2730"/>
        <w:gridCol w:w="1998"/>
      </w:tblGrid>
      <w:tr>
        <w:trPr>
          <w:tblHeader w:val="true"/>
          <w:cantSplit w:val="true"/>
        </w:trPr>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7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19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 schwankt zwischen ca. 100 und 127 V)</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(zwei Flachstifte) / Typ B (mit Erdungsstift)</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misst wie Deutschland metrisch: Grad Celsius, Kilometer, Kilogramm, Milliliter und Liter gelten im Alltag, in Wetterberichten und auf Supermarkt-Etiketten. Bei Temperatur, Entfernung, Gewicht und Küchenmaßen brauchst du deshalb – anders als in den USA – keine eigene Umrechnungstabelle; die deutschen Gewohnheiten übertragen sich fast eins zu 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Trotzdem tauchen imperiale Einheiten gelegentlich noch auf: in Kochrezepten (</w:t>
      </w:r>
      <w:r>
        <w:rPr>
          <w:rFonts w:eastAsia="Cambria" w:cs="Cambria"/>
          <w:b w:val="false"/>
          <w:bCs w:val="false"/>
          <w:i/>
          <w:iCs/>
          <w:sz w:val="22"/>
          <w:szCs w:val="22"/>
        </w:rPr>
        <w:t>cups</w:t>
      </w:r>
      <w:r>
        <w:rPr>
          <w:rFonts w:eastAsia="Cambria" w:cs="Cambria"/>
          <w:b w:val="false"/>
          <w:bCs w:val="false"/>
          <w:i w:val="false"/>
          <w:iCs w:val="false"/>
          <w:sz w:val="22"/>
          <w:szCs w:val="22"/>
        </w:rPr>
        <w:t>, °F), in manchen umgangssprachlichen Wetterangaben und vor allem bei Körpergröße und Gewicht im lockeren Gespräch („5 foot 10“, „180 pounds“) – häufiger bei älteren Generationen und in Grenznähe zu den USA, wo US-Fernsehen und US-Handel den Sprachgebrauch prägen. Behörden, Wetterdienst und Handel bleiben in offiziellen Angaben durchgehend metrisch.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Kleidergrößen folgen im kanadischen Handel meist dem US-System (siehe Tabellen im Abschnitt USA oben); die meisten dort verkauften Marken sind ohnehin US-amerikanisch oder international.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Strom gilt trotz metrischem Alltag der nordamerikanische Standard – wie in den USA, nicht wie in Deutschland:</w:t>
      </w:r>
    </w:p>
    <w:tbl>
      <w:tblPr>
        <w:tblW w:w="6480" w:type="dxa"/>
        <w:jc w:val="left"/>
        <w:tblInd w:w="0" w:type="dxa"/>
        <w:tblLayout w:type="fixed"/>
        <w:tblCellMar>
          <w:top w:w="50" w:type="dxa"/>
          <w:left w:w="80" w:type="dxa"/>
          <w:bottom w:w="50" w:type="dxa"/>
          <w:right w:w="80" w:type="dxa"/>
        </w:tblCellMar>
      </w:tblPr>
      <w:tblGrid>
        <w:gridCol w:w="2527"/>
        <w:gridCol w:w="3952"/>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3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 Typ B (identisch mit den USA)</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Meter und Kilogramm gelten in Kanada wie zu Hause – die Steckdose tut es nicht. Wer nur an die Maßeinheiten denkt und keinen Adapter für nordamerikanische Stecker einpackt, steht mit dem deutschen Ladegerät vor einer Typ-A-Dose (mehr dazu in Kapitel </w:t>
            </w:r>
            <w:hyperlink w:anchor="k21">
              <w:r>
                <w:rPr>
                  <w:rStyle w:val="ListLabel114"/>
                  <w:rFonts w:eastAsia="Cambria" w:cs="Cambria"/>
                  <w:b w:val="false"/>
                  <w:bCs w:val="false"/>
                  <w:i w:val="false"/>
                  <w:iCs w:val="false"/>
                  <w:sz w:val="20"/>
                  <w:szCs w:val="20"/>
                </w:rPr>
                <w:t>21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Datum ist Kanada uneinheitlich: Im Alltag sind sowohl MM/DD/YYYY (US-Einfluss) als auch DD/MM/YYYY (britisch-französisch geprägt, vor allem in Québec) gebräuchlich. Behörden und offizielle Formulare nutzen meist das eindeutige Format JJJJ-MM-TT.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misst durchgehend metrisch wie Deutschland: Grad Celsius, Kilometer, Kilogramm, Milliliter und Liter gelten ausnahmslos. Für Temperatur, Länge und Gewicht brauchst du in Australien keine einzige Tabelle – eine echte Erleichterung gegenüber den USA: Was 22 °C, 5 km oder 2 kg bedeuten, weißt du bereits.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wirklich abweicht, ist der Stecker: Australien nutzt Typ I (zwei schräg gestellte Flachstifte, oft mit geradem Erdungsstift) – bei Spannung und Frequenz wie in Deutschland.</w:t>
      </w:r>
    </w:p>
    <w:tbl>
      <w:tblPr>
        <w:tblW w:w="6480" w:type="dxa"/>
        <w:jc w:val="left"/>
        <w:tblInd w:w="0" w:type="dxa"/>
        <w:tblLayout w:type="fixed"/>
        <w:tblCellMar>
          <w:top w:w="50" w:type="dxa"/>
          <w:left w:w="80" w:type="dxa"/>
          <w:bottom w:w="50" w:type="dxa"/>
          <w:right w:w="80" w:type="dxa"/>
        </w:tblCellMar>
      </w:tblPr>
      <w:tblGrid>
        <w:gridCol w:w="2026"/>
        <w:gridCol w:w="2025"/>
        <w:gridCol w:w="2429"/>
      </w:tblGrid>
      <w:tr>
        <w:trPr>
          <w:tblHeader w:val="true"/>
          <w:cantSplit w:val="true"/>
        </w:trPr>
        <w:tc>
          <w:tcPr>
            <w:tcW w:w="2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Australien</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I</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deutsches Gerät läuft an australischem Strom also ohne Spannungswandler; ein einfacher Steckeradapter genügt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Kleidung und Schuhen hat Australien dagegen ein eigenes System, das weder der deutschen noch der US-Größe entspricht, sondern der britischen ähnelt.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(Kleidung; AU entspricht der britischen Größe)</w:t>
      </w:r>
    </w:p>
    <w:tbl>
      <w:tblPr>
        <w:tblW w:w="6480" w:type="dxa"/>
        <w:jc w:val="left"/>
        <w:tblInd w:w="0" w:type="dxa"/>
        <w:tblLayout w:type="fixed"/>
        <w:tblCellMar>
          <w:top w:w="50" w:type="dxa"/>
          <w:left w:w="80" w:type="dxa"/>
          <w:bottom w:w="50" w:type="dxa"/>
          <w:right w:w="80" w:type="dxa"/>
        </w:tblCellMar>
      </w:tblPr>
      <w:tblGrid>
        <w:gridCol w:w="1916"/>
        <w:gridCol w:w="2647"/>
        <w:gridCol w:w="1917"/>
      </w:tblGrid>
      <w:tr>
        <w:trPr>
          <w:tblHeader w:val="true"/>
          <w:cantSplit w:val="true"/>
        </w:trPr>
        <w:tc>
          <w:tcPr>
            <w:tcW w:w="19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AU/UK</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(EU)</w:t>
            </w:r>
          </w:p>
        </w:tc>
        <w:tc>
          <w:tcPr>
            <w:tcW w:w="19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Herrenanzügen und -hemden gelten in Australien dieselben Zoll-Nummern wie in den USA (siehe Tabelle im Abschnitt USA); die deutsche Entsprechung ist identisch.</w:t>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unterschiedlich zur EU-Skala versetzt)</w:t>
      </w:r>
    </w:p>
    <w:tbl>
      <w:tblPr>
        <w:tblW w:w="6480" w:type="dxa"/>
        <w:jc w:val="left"/>
        <w:tblInd w:w="0" w:type="dxa"/>
        <w:tblLayout w:type="fixed"/>
        <w:tblCellMar>
          <w:top w:w="50" w:type="dxa"/>
          <w:left w:w="80" w:type="dxa"/>
          <w:bottom w:w="50" w:type="dxa"/>
          <w:right w:w="80" w:type="dxa"/>
        </w:tblCellMar>
      </w:tblPr>
      <w:tblGrid>
        <w:gridCol w:w="1579"/>
        <w:gridCol w:w="1581"/>
        <w:gridCol w:w="1659"/>
        <w:gridCol w:w="1660"/>
      </w:tblGrid>
      <w:tr>
        <w:trPr>
          <w:tblHeader w:val="true"/>
          <w:cantSplit w:val="true"/>
        </w:trPr>
        <w:tc>
          <w:tcPr>
            <w:tcW w:w="1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15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Damen (AU = US)</w:t>
            </w:r>
          </w:p>
        </w:tc>
        <w:tc>
          <w:tcPr>
            <w:tcW w:w="1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AU/UK</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US</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Damenschuhen entspricht die australische Größe der US-Größe, bei Herrenschuhen der britischen – die US-Größe liegt dort eine Nummer höher. Wie überall gilt: Näherungswerte, im Zweifel nach Fußlänge in Zentimetern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Papierformat und Datum folgen ebenfalls dem deutschen Muster: Australien nutzt A4 als Standardformat (kein Letter oder Legal), und das Datum wird TT/MM/JJJJ geschrieben – wie in Deutschland, nur mit Schrägstrich statt Punkt (23/09/2026 statt 23.09.2026).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 ist beim Messen praktisch ein zweites Deutschland. Die einzige Umstellung, die wirklich zählt, betrifft Stecker und Kleidergröße – nicht Kilo, Meter oder Grad.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misst wie Australien vollständig metrisch (Grad Celsius, Kilometer, Kilogramm, Milliliter und Liter) und nutzt denselben Steckertyp I bei 230 V und 50 Hz. Auch Papierformat (A4) und Datumsformat (TT/MM/JJJJ) folgen derselben Logik wie in Australien und Deutschland – ausführliche Tabellen dazu stehen im Abschnitt Australien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Kleider- und Schuhgrößen orientiert sich Neuseeland eng an Australien, mit einer Abweichung: Während australische Herrenschuhe der britischen Größe folgen, rechnen viele neuseeländische Marken und Händler inzwischen direkt in US-Größen. Ein neuseeländischer Herren-„9“ ist damit oft schon die US-Größe, nicht die eine Nummer kleinere australische. Bei Damenschuhen und bei Kleidung gilt dagegen dieselbe Skala wie in Australien (siehe Tabellen oben).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beim Schuhkauf in Neuseeland im Zweifel nach, ob die angegebene Größe „AU“ oder „US“ meint. Beide Systeme sind im Umlauf, und bei Herrenschuhen liegt genau eine Nummer dazwischen.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8" w:name="__RefHeading___Toc56638_3457424410"/>
      <w:bookmarkStart w:id="209" w:name="anhang_d"/>
      <w:bookmarkEnd w:id="208"/>
      <w:r>
        <w:rPr>
          <w:rFonts w:eastAsia="Amazon Ember" w:cs="Amazon Ember" w:ascii="Amazon Ember" w:hAnsi="Amazon Ember"/>
          <w:b/>
          <w:bCs/>
          <w:color w:val="0000FF"/>
          <w:sz w:val="36"/>
          <w:szCs w:val="36"/>
        </w:rPr>
        <w:t>Anhang D: Formulare und Abkürzungen</w:t>
      </w:r>
      <w:bookmarkEnd w:id="2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nennt für die USA, Kanada, Australien und Neuseeland eine Reihe von Formularnummern, Behörden und Kürzeln, meist nur einmal im jeweiligen Kapitel erklärt. Dieser Anhang sammelt sie an einem Ort – als schnelles Nachschlagewerk, wenn ein Kürzel im Text wieder auftaucht und die Erklärung nicht mehr präsent ist. Er ersetzt nicht die ausführliche Einordnung im Kapitel oder Länderteil, auf den jede Zeile verweist.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Formulare</w:t>
      </w:r>
    </w:p>
    <w:tbl>
      <w:tblPr>
        <w:tblW w:w="6480" w:type="dxa"/>
        <w:jc w:val="left"/>
        <w:tblInd w:w="0" w:type="dxa"/>
        <w:tblLayout w:type="fixed"/>
        <w:tblCellMar>
          <w:top w:w="50" w:type="dxa"/>
          <w:left w:w="80" w:type="dxa"/>
          <w:bottom w:w="50" w:type="dxa"/>
          <w:right w:w="80" w:type="dxa"/>
        </w:tblCellMar>
      </w:tblPr>
      <w:tblGrid>
        <w:gridCol w:w="1076"/>
        <w:gridCol w:w="3465"/>
        <w:gridCol w:w="970"/>
        <w:gridCol w:w="968"/>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w:t>
            </w:r>
          </w:p>
        </w:tc>
        <w:tc>
          <w:tcPr>
            <w:tcW w:w="3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US-Einkommensteuererklärung für Ansässige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1040-NR</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US-Steuererklärung für nicht ansässige Ausländer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3520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ausländischer Schenkungen, Erbschaften und Trusts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8621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von Anteilen an PFIC-Fonds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8843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Befreiungserklärung für Studierende und Austauschgäste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8938</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FATCA-Meldung ausländischer Konten und Depots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6, 17, 28, 39, 41–42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AR-11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der neuen Adresse an die USCIS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23, 30–31, 40–41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Nichteinwanderungsvisum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10–11, 15, 19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G-1055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Aktuelle Übersicht aller USCIS-Gebühren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9–11, 30,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Arbeitsberechtigung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29, 38,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oder Verlängerung der Green-Card-Karte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Elektronischer Nachweis von Einreise und Aufenthaltsstatus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7–11, 13, 20, 23–25, 27,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Nichteinwanderungs-Arbeitsvisa wie H-1B</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8–9, 11,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I-129F</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ein Verlobtenvisum (K-1)</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I-129S</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Zusatzantrag zur konzerninternen Blanket-L-1-Petition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für Familienangehörige zur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Reisedokument: Advance Parole oder Wiedereinreiseerlaubnis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die Green Card (Arbeitsmigration)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10,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Aufgabe der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40–42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Green Card im Inland (Statusanpassung)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 19, 24,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I-526E</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Investorenpetition für die EB-5-Green-Card (Regional Center)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Verlängerung oder Wechsel des Nichteinwanderungsstatus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I-693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und Impfnachweis für die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I-751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befristeten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I-765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Arbeitserlaubnis (EAD)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 8–10,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I-797 / I-797A</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USCIS-Bescheid; I-797A enthält zugleich die I-94</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11, 19, 23–24,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EB-5-Green-Card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I-864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für nachziehende Angehörige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für die Studierendendatenbank SEVIS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 (SEVP)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beschleunigte Bearbeitung (Premium Processing)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befristete Einreise für Start-up-Gründer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I-983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Ausbildungsplan für die STEM-OPT-Verlängerung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Einbürgerung (Naturalization)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N-470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Erhalt der Aufenthaltszeit bei längerem Auslandsaufenthalt</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N-600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Staatsbürgerschaft durch Abstammung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Sozialversicherungsnummer (SSN)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24, 38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W-2</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Lohnsteuerbescheinigung des Arbeitgebers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20, 28, 30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zum Steuerabzug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Steuernummer ITIN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13, 24</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Abkürzungen</w:t>
      </w:r>
    </w:p>
    <w:tbl>
      <w:tblPr>
        <w:tblW w:w="6480" w:type="dxa"/>
        <w:jc w:val="left"/>
        <w:tblInd w:w="0" w:type="dxa"/>
        <w:tblLayout w:type="fixed"/>
        <w:tblCellMar>
          <w:top w:w="50" w:type="dxa"/>
          <w:left w:w="80" w:type="dxa"/>
          <w:bottom w:w="50" w:type="dxa"/>
          <w:right w:w="80" w:type="dxa"/>
        </w:tblCellMar>
      </w:tblPr>
      <w:tblGrid>
        <w:gridCol w:w="749"/>
        <w:gridCol w:w="2632"/>
        <w:gridCol w:w="3099"/>
      </w:tblGrid>
      <w:tr>
        <w:trPr>
          <w:tblHeader w:val="true"/>
          <w:cantSplit w:val="true"/>
        </w:trPr>
        <w:tc>
          <w:tcPr>
            <w:tcW w:w="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Kürzel</w:t>
            </w:r>
          </w:p>
        </w:tc>
        <w:tc>
          <w:tcPr>
            <w:tcW w:w="2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Ausgeschrieben</w:t>
            </w:r>
          </w:p>
        </w:tc>
        <w:tc>
          <w:tcPr>
            <w:tcW w:w="30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Kurzerklärung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 Citizenship and Immigration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Einwanderungsbehörde, entscheidet über Anträge im Inland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Customs and Border Protection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Grenzschutz, entscheidet über die Einreise selbst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State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Außenministerium; seine Konsulate stellen Visa aus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Labor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Arbeitsministerium, prüft Löhne und Arbeitsbedingungen (LCA, PERM)</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Administration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Sozialversicherungsbehörde, vergibt die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Internal Revenue Service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Bundessteuerbehörde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Homeland Security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Heimatschutzministerium, Dachbehörde von USCIS, CBP und ICE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Centers for Medicare &amp; Medicaid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 für Medicare/Medicaid; nimmt Beschwerden zum No Surprises Act entgegen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Customs Enforcement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und Einwanderungsfahndung; verwaltet über die SEVP auch Studierendenstatus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Motor Vehicles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Kfz-Zulassungs- und Führerscheinstelle des jeweiligen Bundesstaats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Eigentümergemeinschaft mit monatlicher Umlage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Mortgage Insurance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Kreditausfallversicherung bei Anzahlung unter 20 %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Insurance Contributions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Lohnabgabe für Social Security und Medicare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Bank Account Report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für ausländische Konten ab 10.000 $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Account Tax Compliance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ausländischer Finanzinstitute an den IRS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PFIC</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Passive Foreign Investment Company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nachteilige Einstufung ausländischer Fonds und ETFs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 Taxpayer Identification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Steuernummer für Personen ohne Anspruch auf eine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 zentrale US-Identifikationsnummer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EAD</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Authorization Document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Arbeitserlaubniskarte, ausgestellt nach Form I-765</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Labor Condition Application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Erklärung des Arbeitgebers zu Lohn und Arbeitsbedingungen vor H-1B-Petitionen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 Electronic Review Management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des DOL vor der arbeitgebergestützten Green-Card-Petition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Competitiveness in the Twenty-First Century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Arbeitgeberwechsel bei lange anhängigem Green-Card-Verfahren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CSPA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Status Protection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Kinder vor dem Verlust des Antragsalters bei Verfahrensverzögerungen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Consolidated Omnibus Budget Reconciliation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Fortführung der Arbeitgeber-Krankenversicherung nach Jobverlust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FMLA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and Medical Leave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Unbezahlter, arbeitsplatzgeschützter Familien- und Pflegeurlaub (Bund)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gesetzliche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private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Gesetz, regelt unter anderem die Wegzugsteuer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Einkommensteuerrecht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Bürgerliches 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Zivilrecht, etwa Miet- und Maklerrecht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Sozialrecht; SGB V regelt die Krankenversicherung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DBA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Abkommen Deutschland–USA gegen doppelte Besteuerung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 Formulare und Abkürzungen</w:t>
      </w:r>
    </w:p>
    <w:tbl>
      <w:tblPr>
        <w:tblW w:w="6480" w:type="dxa"/>
        <w:jc w:val="left"/>
        <w:tblInd w:w="0" w:type="dxa"/>
        <w:tblLayout w:type="fixed"/>
        <w:tblCellMar>
          <w:top w:w="50" w:type="dxa"/>
          <w:left w:w="80" w:type="dxa"/>
          <w:bottom w:w="50" w:type="dxa"/>
          <w:right w:w="80" w:type="dxa"/>
        </w:tblCellMar>
      </w:tblPr>
      <w:tblGrid>
        <w:gridCol w:w="896"/>
        <w:gridCol w:w="2706"/>
        <w:gridCol w:w="1620"/>
        <w:gridCol w:w="1257"/>
      </w:tblGrid>
      <w:tr>
        <w:trPr>
          <w:tblHeader w:val="true"/>
          <w:cantSplit w:val="true"/>
        </w:trPr>
        <w:tc>
          <w:tcPr>
            <w:tcW w:w="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6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Sozialversicherungs- und Steuer-Identifikationsnummer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 kanadische Einwanderungsbehörde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Online-Verwaltungssystem für die wichtigsten PR-Wege (FSW, CEC, FST, viele PNP)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 Punktewert, der über die Einladung zum PR-Antrag entscheidet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FSW</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 – Bundesprogramm für Fachkräfte innerhalb Express Entry</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 Bundesprogramm für bereits in Kanada Berufstätige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FST</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Trades Program – Bundesprogramm für Handwerksberufe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 Nominierungsprogramm der einzelnen Provinzen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jeweilige Provinzbehörde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 Arbeitsmarktprüfung vor arbeitgebergebundenem Arbeitsvisum</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 Berufscode-System für Visa und Punktetest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ESDC/Statistics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 offenes Arbeitsvisum nach kanadischem Studienabschluss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 Bewertung eines ausländischen Bildungsabschlusses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anerkannte Bewertungsstelle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CLB/NCLC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 Sprachniveau-Skala für Englisch beziehungsweise Französisch</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den GST/HST-Credit für Neuankömmlinge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RC66</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Canada Child Benefit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 kanadische Steuerbehörde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 gesetzliche Rentenversicherung</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 Online-Konto für SIN, Employment Insurance und CPP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RCIC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 zugelassene Einwanderungsberaterin oder zugelassener Einwanderungsberater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 Aufsichtsstelle für RCIC</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Parents and Grandparents Program – Familiennachzugsprogramm für Eltern und Großeltern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 kanadischer Grenzschutz</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 Formulare und Abkürzungen</w:t>
      </w:r>
    </w:p>
    <w:tbl>
      <w:tblPr>
        <w:tblW w:w="6480" w:type="dxa"/>
        <w:jc w:val="left"/>
        <w:tblInd w:w="0" w:type="dxa"/>
        <w:tblLayout w:type="fixed"/>
        <w:tblCellMar>
          <w:top w:w="50" w:type="dxa"/>
          <w:left w:w="80" w:type="dxa"/>
          <w:bottom w:w="50" w:type="dxa"/>
          <w:right w:w="80" w:type="dxa"/>
        </w:tblCellMar>
      </w:tblPr>
      <w:tblGrid>
        <w:gridCol w:w="1279"/>
        <w:gridCol w:w="2402"/>
        <w:gridCol w:w="1199"/>
        <w:gridCol w:w="1599"/>
      </w:tblGrid>
      <w:tr>
        <w:trPr>
          <w:tblHeader w:val="true"/>
          <w:cantSplit w:val="true"/>
        </w:trPr>
        <w:tc>
          <w:tcPr>
            <w:tcW w:w="1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File Number – australische Steuer-Identifikationsnummer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Taxation Office – australische Steuerbehörde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Online-Antragsportal für praktisch alle australischen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Plattform für Interessensbekundungen bei punktebasierten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EOI</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 Interessensbekundung vor der Einladung zum Visumantrag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 unabhängiges Punkte-Daueraufenthaltsvisum ohne Sponsor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 Punktevisum mit Nominierung durch einen Bundesstaat</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Work Regional – befristetes Punktevisum mit Regionalbindung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 befristetes, arbeitgebergesponsertes Arbeitsvisum</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186</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 arbeitgebergesponserte Daueraufenthaltserlaubnis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417</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 Staatsangehörige der einschlägige Weg (nicht 462)</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500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 Aufenthaltstitel für ein Studium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820/801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befristete, dann dauerhafte Aufenthaltserlaubnis (Antragstellung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CSOL</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 Berufsliste für Subclass 482 (Core Skills) und 186 (Direct Entry)</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Jobs and Skills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Krankenversicherungssystem für Berechtigte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Pflichtabgabe zur Mitfinanzierung von Medicare (2,0 % des zu versteuernden Einkommens)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MLS</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 Zuschlag für Besserverdiener ohne private Krankenhausversicherung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Visitor Health Cover – private Krankenversicherung für die meisten befristeten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 Pflichtkrankenversicherung für Studierende (Subclass 500)</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Pflicht-Altersvorsorge („Super“)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ATO/Fondsanbieter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 prüft Immobilienkäufe durch Ausländer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 Arbeitgeberabgabe bei Sponsoring-Visa (Subclass 482/186)</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vor der Einbürgerung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 Formulare und Abkürzungen</w:t>
      </w:r>
    </w:p>
    <w:tbl>
      <w:tblPr>
        <w:tblW w:w="6480" w:type="dxa"/>
        <w:jc w:val="left"/>
        <w:tblInd w:w="0" w:type="dxa"/>
        <w:tblLayout w:type="fixed"/>
        <w:tblCellMar>
          <w:top w:w="50" w:type="dxa"/>
          <w:left w:w="80" w:type="dxa"/>
          <w:bottom w:w="50" w:type="dxa"/>
          <w:right w:w="80" w:type="dxa"/>
        </w:tblCellMar>
      </w:tblPr>
      <w:tblGrid>
        <w:gridCol w:w="1078"/>
        <w:gridCol w:w="2495"/>
        <w:gridCol w:w="1244"/>
        <w:gridCol w:w="1662"/>
      </w:tblGrid>
      <w:tr>
        <w:trPr>
          <w:tblHeader w:val="true"/>
          <w:cantSplit w:val="true"/>
        </w:trPr>
        <w:tc>
          <w:tcPr>
            <w:tcW w:w="1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6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Steuer-Identifikationsnummer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IR330</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zur Angabe des Steuercodes beim Arbeitgeber (Tax Code Declaration)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myIR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Online-Konto für Steuerangelegenheiten beim IRD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 neuseeländische Einwanderungsbehörde</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Business, Innovation &amp; Employment – Mutterministerium von INZ</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 befristetes Arbeitsvisum bei akkreditiertem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 Punktesystem für den Daueraufenthalt (Resident Visa)</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 mit direktem oder verkürztem Zugang zur Residency</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 1028</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 offizielle Gebührenübersicht für alle Visumkategorien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Separater Gebührenaufschlag, der bei den meisten Visa zur Antragsgebühr hinzukommt</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 digitale Einreiseerklärung vor Abflug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Customs Service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 staatliche Unfallversicherung für jede Person in Neuseeland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der ACC-Unfallversicherung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gefördertes, freiwilliges Altersvorsorge-Sparsystem</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IRD/Fondsanbieter</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 neuseeländische Verbrauchsteuer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 laufender Lohnsteuerabzug durch den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 zuständig für die Einbürgerung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 Grundbuchbehörde, prüft Immobilienkäufe durch Ausländer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ANZSCO</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Berufsklassifikationscode, maßgeblich für Green List und AEWV-Lohnschwellen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INZ/Stats 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Prüfverfahren des Arbeitgebers vor jedem AEWV-Antrag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0" w:name="__RefHeading___Toc56640_3457424410"/>
      <w:bookmarkStart w:id="211" w:name="anhang_e"/>
      <w:bookmarkEnd w:id="210"/>
      <w:r>
        <w:rPr>
          <w:rFonts w:eastAsia="Amazon Ember" w:cs="Amazon Ember" w:ascii="Amazon Ember" w:hAnsi="Amazon Ember"/>
          <w:b/>
          <w:bCs/>
          <w:color w:val="0000FF"/>
          <w:sz w:val="36"/>
          <w:szCs w:val="36"/>
        </w:rPr>
        <w:t>Anhang E: Budgetbeispiele</w:t>
      </w:r>
      <w:bookmarkEnd w:id="2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Monatsbudgets bauen auf den Netto-Vergleichsrechnungen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sowie den Wohn-, Lebensmittel- und Fahrzeugkosten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xml:space="preserve"> und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Sie zeigen für dieselbe vierköpfige Familie mit demselben Bruttogehalt, wie unterschiedlich viel am Monatsende übrig bleibt – je nachdem, ob sie in eine günstige, mittlere oder teure Metropolregion zieht.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Annahmen für alle drei Budgets</w:t>
      </w:r>
    </w:p>
    <w:p>
      <w:pPr>
        <w:pStyle w:val="ListParagraph"/>
        <w:numPr>
          <w:ilvl w:val="0"/>
          <w:numId w:val="1"/>
        </w:numPr>
        <w:spacing w:lineRule="exact" w:line="288" w:before="0" w:after="60"/>
        <w:rPr/>
      </w:pPr>
      <w:r>
        <w:rPr>
          <w:rFonts w:eastAsia="Cambria" w:cs="Cambria"/>
          <w:b w:val="false"/>
          <w:bCs w:val="false"/>
          <w:i w:val="false"/>
          <w:iCs w:val="false"/>
          <w:sz w:val="22"/>
          <w:szCs w:val="22"/>
        </w:rPr>
        <w:t>Gleiche Familie in allen drei Beispielen: Ehepaar mit zwei Kindern unter 17 Jahren, ein Einkommen von 150.000 $ im Jahr, Kinder mit ITIN statt Sozialversicherungsnummer – der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durchgerechnete Fall, typisch bei H-4- oder L-2-Status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drei Budgets rechnen mit Miete, nicht mit einer Hypothek; für das erste Jahr empfehlen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ohnehin das Mieten.</w:t>
      </w:r>
    </w:p>
    <w:p>
      <w:pPr>
        <w:pStyle w:val="ListParagraph"/>
        <w:numPr>
          <w:ilvl w:val="0"/>
          <w:numId w:val="1"/>
        </w:numPr>
        <w:spacing w:lineRule="exact" w:line="288" w:before="0" w:after="60"/>
        <w:rPr/>
      </w:pPr>
      <w:r>
        <w:rPr>
          <w:rFonts w:eastAsia="Cambria" w:cs="Cambria"/>
          <w:b w:val="false"/>
          <w:bCs w:val="false"/>
          <w:i w:val="false"/>
          <w:iCs w:val="false"/>
          <w:sz w:val="22"/>
          <w:szCs w:val="22"/>
        </w:rPr>
        <w:t>Krankenversicherung (571 $), Auto und Versicherung (662 $) sowie Nebenkosten (285 $) sind bundesweite Durchschnittswerte aus den gelesenen Kapiteln; städtespezifische Zahlen liegen dort nicht vor.</w:t>
      </w:r>
    </w:p>
    <w:p>
      <w:pPr>
        <w:pStyle w:val="ListParagraph"/>
        <w:numPr>
          <w:ilvl w:val="0"/>
          <w:numId w:val="1"/>
        </w:numPr>
        <w:spacing w:lineRule="exact" w:line="288" w:before="0" w:after="60"/>
        <w:rPr/>
      </w:pPr>
      <w:r>
        <w:rPr>
          <w:rFonts w:eastAsia="Cambria" w:cs="Cambria"/>
          <w:b w:val="false"/>
          <w:bCs w:val="false"/>
          <w:i w:val="false"/>
          <w:iCs w:val="false"/>
          <w:sz w:val="22"/>
          <w:szCs w:val="22"/>
        </w:rPr>
        <w:t>Weil in allen drei Beispielen ein Elternteil zu Hause bleibt, fällt keine Fremdbetreuung an. Arbeiten beide Eltern, kommen im Schnitt 13.184 $ je Kind und Jahr hinzu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 bei zwei Kindern mehr als 2.000 $ im Monat.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Beträge sind gerundet und vereinfacht, wie die Beispiele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sie ersetzen keine eigene Rechnung mit deinem tatsächlichen Gehalt und Wohnort.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Großraum Detroit, Michigan – günstige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Michigan erhebt 4,25 % Einkommensteuer, dazu in Detroit selbst eine Stadtsteuer (hier nicht enthalten,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Wohnkosten und Miete gehören zu den niedrigsten der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22"/>
        <w:gridCol w:w="1031"/>
        <w:gridCol w:w="2727"/>
      </w:tblGrid>
      <w:tr>
        <w:trPr>
          <w:tblHeader w:val="true"/>
          <w:cantSplit w:val="true"/>
        </w:trPr>
        <w:tc>
          <w:tcPr>
            <w:tcW w:w="27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Michigan-Steuer; Kinder mit ITIN; ohne mögliche Detroit-Stadtsteuer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9.900 $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(Reihenhaus, 3 Schlafzimmer)</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1.290 $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4.442 $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44,9 %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Austin, Texas – mittlere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erhebt keine Einkommensteuer, gleicht das aber über höhere Grundsteuer und Sales Tax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Wohnkosten liegen über Detroit, aber deutlich unter denen der Westküste.</w:t>
      </w:r>
    </w:p>
    <w:tbl>
      <w:tblPr>
        <w:tblW w:w="6480" w:type="dxa"/>
        <w:jc w:val="left"/>
        <w:tblInd w:w="0" w:type="dxa"/>
        <w:tblLayout w:type="fixed"/>
        <w:tblCellMar>
          <w:top w:w="50" w:type="dxa"/>
          <w:left w:w="80" w:type="dxa"/>
          <w:bottom w:w="50" w:type="dxa"/>
          <w:right w:w="80" w:type="dxa"/>
        </w:tblCellMar>
      </w:tblPr>
      <w:tblGrid>
        <w:gridCol w:w="2801"/>
        <w:gridCol w:w="1063"/>
        <w:gridCol w:w="2616"/>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Texas ohne Einkommensteuer;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10.349 $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1.380 $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„Moderate“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5.389 $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52,1 %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San Francisco Bay Area, Kalifornien – teure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Kalifornien hat mit bis zu 13,3 % den höchsten Spitzensteuersatz im Buch, dazu die zusätzliche Staatsumlage SDI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Kaufpreise zählen zu den höchsten aller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65"/>
        <w:gridCol w:w="1045"/>
        <w:gridCol w:w="2670"/>
      </w:tblGrid>
      <w:tr>
        <w:trPr>
          <w:tblHeader w:val="true"/>
          <w:cantSplit w:val="true"/>
        </w:trPr>
        <w:tc>
          <w:tcPr>
            <w:tcW w:w="2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2.697 $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Kalifornien-Steuer inklusive SDI;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9.803 $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 San Francisco)</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1.670 $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„Liberal“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1.367 $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13,9 %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Vergleich zeigt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identischem Bruttogehalt bleibt der Familie in Texas mit 5.389 $ am meisten, in Michigan mit 4.442 $ deutlich weniger und in Kalifornien mit 1.367 $ nur ein kleiner Rest – nicht wegen der Steuer allein, sondern vor allem wegen der Miete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zeigen denselben Effekt). Ein zweites Einkommen würde das verfügbare Geld erhöhen, aber gleichzeitig Kinderbetreuungskosten auslösen, die einen Teil des Zugewinns aufzehren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Baue mit dem 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deine eigene Version mit deinem tatsächlichen Gehalt, Wohnort und deiner Familiengröße.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Referenzfamilie folgt demselben Muster wie die USA-Beispiele: Ehepaar mit zwei Kindern unter 17 Jahren, ein Einkommen, ein Elternteil betreut die Kinder zu Hause, öffentliche Schule kostenfrei. Die Familie lebt mit Permanent Residence in Vancouver, British Columbia – der teuersten Stadt Kanadas (Kanada: Wohnen) – und ist damit beim seit 2020 beitragsfreien Provinz-Gesundheitssystem MSP versichert, ohne die Wartefrist, die Neuankömmlinge in BC sonst betrifft (Kanada: Gesundheitssystem). Das Bruttogehalt orientiert sich an einem in Vancouver üblichen Softwareentwickler-Gehalt (Kanada: Wohnen); Steuern und CPP-Beiträge sind vereinfacht nach den Bundes- und British-Columbia-Tabellen berechnet, ohne einzelne Steuergutschriften (Kanada: Steuern).</w:t>
      </w:r>
    </w:p>
    <w:tbl>
      <w:tblPr>
        <w:tblW w:w="6480" w:type="dxa"/>
        <w:jc w:val="left"/>
        <w:tblInd w:w="0" w:type="dxa"/>
        <w:tblLayout w:type="fixed"/>
        <w:tblCellMar>
          <w:top w:w="50" w:type="dxa"/>
          <w:left w:w="80" w:type="dxa"/>
          <w:bottom w:w="50" w:type="dxa"/>
          <w:right w:w="80" w:type="dxa"/>
        </w:tblCellMar>
      </w:tblPr>
      <w:tblGrid>
        <w:gridCol w:w="2387"/>
        <w:gridCol w:w="904"/>
        <w:gridCol w:w="3189"/>
      </w:tblGrid>
      <w:tr>
        <w:trPr>
          <w:tblHeader w:val="true"/>
          <w:cantSplit w:val="true"/>
        </w:trPr>
        <w:tc>
          <w:tcPr>
            <w:tcW w:w="23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1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9.080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Softwareentwickler-Gehalt, Vancouver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British-Columbia-Steuer, CPP; vereinfacht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6.710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Bundes- und Provinztabelle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(Wohnung, Vancouver)</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Kanadas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 beitragsfrei seit 2020 (Kanada: Gesundheitssystem); Zahn/Medikamente ggf. über Extended Health Benefits des Arbeitgebers</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Kfz-Versicherung, British Columbia (Kanada: Führerschein und Auto)</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(Kanada: Kinder, Schule und Sprache)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1.635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24,4 %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australische Referenzfamilie hält dieselbe Konstellation: Ehepaar mit zwei Kindern unter 17 Jahren, ein Einkommen, ein Elternteil betreut die Kinder zu Hause, öffentliche Schule kostenlos. Die Familie lebt mit einem Permanent-Visum wie dem Skilled Independent Visa (Subclass 189) in Sydney, New South Wales – der teuersten Stadt Australiens (Australien: Wohnen) – und ist damit ab der Einreise bei Medicare versichert; die Medicare Levy von 2 % steckt bereits in der Steuerzeile, eine Medicare Levy Surcharge fällt unterhalb der Familien-Schwelle von 210.000 AUD nicht an (Australien: Gesundheitssystem). Das Bruttogehalt orientiert sich an den genannten Ingenieursgehältern (Australien: Wohnen); Steuern sind vereinfacht nach der australischen Einkommensteuertabelle 2026/27 berechnet (Australien: Steuern).</w:t>
      </w:r>
    </w:p>
    <w:tbl>
      <w:tblPr>
        <w:tblW w:w="6480" w:type="dxa"/>
        <w:jc w:val="left"/>
        <w:tblInd w:w="0" w:type="dxa"/>
        <w:tblLayout w:type="fixed"/>
        <w:tblCellMar>
          <w:top w:w="50" w:type="dxa"/>
          <w:left w:w="80" w:type="dxa"/>
          <w:bottom w:w="50" w:type="dxa"/>
          <w:right w:w="80" w:type="dxa"/>
        </w:tblCellMar>
      </w:tblPr>
      <w:tblGrid>
        <w:gridCol w:w="2569"/>
        <w:gridCol w:w="972"/>
        <w:gridCol w:w="2939"/>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9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Ingenieursgehalt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3.298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plus Medicare Levy; vereinfacht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9.202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Sydney)</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3.683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Haus, teuerste Stadt Australiens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bereits in der Steuerzeile; keine Surcharge unterhalb der Familien-Schwelle (Australien: Gesundheitssystem)</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inkl. CTP plus Kfz-Versicherung, grobe Schätzung (Australien: Führerschein und Auto)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kostenlos (Australien: Kinder, Schule und Sprache)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3.369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36,6 %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neuseeländische Referenzfamilie hält dieselbe Konstellation: Ehepaar mit zwei Kindern unter 17 Jahren, ein Einkommen, ein Elternteil betreut die Kinder zu Hause, öffentliche Schule gebührenfrei. Die Familie zieht mit einem Resident-Visum wie dem Skilled Migrant Category Resident Visa nach Auckland – der teuersten Stadt Neuseelands (Neuseeland: Wohnen) – und hat damit ab dem ersten Tag Zugang zum öffentlichen Gesundheitssystem, ohne die Zwei-Jahres-Wartefrist befristeter Arbeitsvisa (Neuseeland: Gesundheitssystem). Das Bruttogehalt orientiert sich an den für Auckland genannten Senior-Ingenieursgehältern von 140.000 bis 170.000 NZD (Neuseeland: Wohnen); Steuern und ACC-Arbeitnehmerbeitrag sind vereinfacht nach der neuseeländischen Steuertabelle 2026/27 berechnet (Neuseeland: Steuern).</w:t>
      </w:r>
    </w:p>
    <w:tbl>
      <w:tblPr>
        <w:tblW w:w="6480" w:type="dxa"/>
        <w:jc w:val="left"/>
        <w:tblInd w:w="0" w:type="dxa"/>
        <w:tblLayout w:type="fixed"/>
        <w:tblCellMar>
          <w:top w:w="50" w:type="dxa"/>
          <w:left w:w="80" w:type="dxa"/>
          <w:bottom w:w="50" w:type="dxa"/>
          <w:right w:w="80" w:type="dxa"/>
        </w:tblCellMar>
      </w:tblPr>
      <w:tblGrid>
        <w:gridCol w:w="2476"/>
        <w:gridCol w:w="937"/>
        <w:gridCol w:w="3067"/>
      </w:tblGrid>
      <w:tr>
        <w:trPr>
          <w:tblHeader w:val="true"/>
          <w:cantSplit w:val="true"/>
        </w:trPr>
        <w:tc>
          <w:tcPr>
            <w:tcW w:w="2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Senior-Ingenieursgehalt, Auckland, 140.000–170.000 NZD Spanne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ohne Grundfreibetrag plus ACC Earner’s Levy; vereinfacht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Auckland)</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2.752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Neuseelands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System ab Tag 1 bei Resident-Visum (Neuseeland: Gesundheitssystem); Zahn/Augenoptik zusätzlich privat</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 Vollkaskoprämie (Neuseeland: Führerschein und Auto)</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gebührenfrei (Neuseeland: Kinder, Schule und Sprache)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Schulspende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4.239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47,1 % des Nettos nach Steuern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Budgets sind vereinfachte Näherungen auf Basis der in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w:t>
            </w:r>
            <w:hyperlink w:anchor="k35">
              <w:r>
                <w:rPr>
                  <w:rStyle w:val="ListLabel114"/>
                  <w:rFonts w:eastAsia="Cambria" w:cs="Cambria"/>
                  <w:b w:val="false"/>
                  <w:bCs w:val="false"/>
                  <w:i w:val="false"/>
                  <w:iCs w:val="false"/>
                  <w:sz w:val="20"/>
                  <w:szCs w:val="20"/>
                </w:rPr>
                <w:t>35</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Berechnung mit dem eigenen Gehalt, Wohnort und der eigenen Familiengröße. Mieten, Krankenversicherungsprämien, Lebensmittelpreise und Steuersätze ändern sich laufend – rechne vor jeder Entscheidung mit aktuellen Zahlen. Die Budgets für Kanada, Australien und Neuseeland beruhen ebenso vereinfacht auf den Steuer-, Gesundheits- und Wohnen-Kapiteln der jeweiligen Länderteile; Nebenkosten und Lebensmittel sind dort mangels landesspezifischer Zahlen grobe, gekennzeichnete Schätzungen.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2" w:name="__RefHeading___Toc56642_3457424410"/>
      <w:bookmarkStart w:id="213" w:name="anhang_f"/>
      <w:bookmarkEnd w:id="212"/>
      <w:r>
        <w:rPr>
          <w:rFonts w:eastAsia="Amazon Ember" w:cs="Amazon Ember" w:ascii="Amazon Ember" w:hAnsi="Amazon Ember"/>
          <w:b/>
          <w:bCs/>
          <w:color w:val="0000FF"/>
          <w:sz w:val="36"/>
          <w:szCs w:val="36"/>
        </w:rPr>
        <w:t>Anhang F: Offizielle Quellen und Adressen</w:t>
      </w:r>
      <w:bookmarkEnd w:id="2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 die Kapitelzählung dieser drei Länderteile eigenständig ist. Die ausführliche Quellenliste mit Kontext steht zusätzlich am Ende jedes Kapitels. Kurzadressen stehen ohne „https://“.</w:t>
      </w:r>
      <w:r>
        <w:br w:type="page"/>
      </w:r>
    </w:p>
    <w:p>
      <w:pPr>
        <w:pStyle w:val="Heading2"/>
        <w:keepNext w:val="true"/>
        <w:spacing w:lineRule="exact" w:line="340" w:before="0" w:after="300"/>
        <w:jc w:val="center"/>
        <w:rPr/>
      </w:pPr>
      <w:bookmarkStart w:id="214" w:name="__RefHeading___Toc56644_3457424410"/>
      <w:bookmarkStart w:id="215" w:name="s101"/>
      <w:bookmarkEnd w:id="214"/>
      <w:r>
        <w:rPr>
          <w:rFonts w:eastAsia="Amazon Ember" w:cs="Amazon Ember" w:ascii="Amazon Ember" w:hAnsi="Amazon Ember"/>
          <w:b/>
          <w:bCs/>
          <w:color w:val="0000FF"/>
          <w:sz w:val="36"/>
          <w:szCs w:val="36"/>
        </w:rPr>
        <w:t>USA</w:t>
      </w:r>
      <w:bookmarkEnd w:id="21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US-Einwanderungsbehörden</w:t>
      </w:r>
    </w:p>
    <w:tbl>
      <w:tblPr>
        <w:tblW w:w="6480" w:type="dxa"/>
        <w:jc w:val="left"/>
        <w:tblInd w:w="0" w:type="dxa"/>
        <w:tblLayout w:type="fixed"/>
        <w:tblCellMar>
          <w:top w:w="50" w:type="dxa"/>
          <w:left w:w="80" w:type="dxa"/>
          <w:bottom w:w="50" w:type="dxa"/>
          <w:right w:w="80" w:type="dxa"/>
        </w:tblCellMar>
      </w:tblPr>
      <w:tblGrid>
        <w:gridCol w:w="3569"/>
        <w:gridCol w:w="2161"/>
        <w:gridCol w:w="750"/>
      </w:tblGrid>
      <w:tr>
        <w:trPr>
          <w:tblHeader w:val="true"/>
          <w:cantSplit w:val="true"/>
        </w:trPr>
        <w:tc>
          <w:tcPr>
            <w:tcW w:w="3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ceac.state.gov/genniv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ausfüllen, Statusabfrage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 (auch esta.cbp.dhs.gov, cbp.gov/travel/international-visitors/visa-waiver-program)</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und Visa Waiver Program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cbp.gov/travel/international-visitors/i-94 (auch i94.cbp.dhs.gov)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Einreisenachweis I-94, elektronischer Abruf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cbp.gov/document/forms/form-3299-declaration-free-entry-unaccompanied-articles (auch cbp.gov, Suche „household effects“)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Zollerklärung für Umzugsgut, Form 3299</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cbp.gov/trade/basic-import-export/importing-car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Fahrzeuge in die USA einführen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Lebensmitteln (Suche: prohibited and restricted items), Reisen mit Medikamenten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de.usembassy.gov/visas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und Konsulate in Deutschland, Visaverfahren und Terminportal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dol.gov/agencies/eta/foreign-labor/programs/h-1b</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Lohnbescheid (LCA) und Prevailing Wage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dol.gov/agencies/whd/immigration/h1b/projectfirewall</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Project Firewall, H-1B-Kontrollen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dvprogram.state.gov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zur Green-Card-Lotterie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„20 CFR 656.12“)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der Arbeitserlaubnis-Zertifizierung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exchanges.state.gov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J-1-Austauschprogramme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federalregister.gov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Regelentwürfe und Endregeln: H-1B, Public Charge, Biometrie bei Ein- und Ausreise, 60-Tage-Frist, Section-232-Zölle auf Holzprodukte u. 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flag.dol.gov/processingtimes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Lohnbescheid und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ice.gov/sevis (auch /sevis/i901)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(Form I-901) und Studierendenstatus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j1visa.state.gov/programs/au-pair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Au-pair-Programm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law.cornell.edu/cfr/text/8/103.2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Übersetzungen und Nachweise (8 CFR 103.2)</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reginfo.gov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Regelungsagenda der US-Regierung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Registrierungspflicht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studyinthestates.dhs.gov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CPT, OPT, Cap-Gap</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supremecourt.gov/opinions/25pdf/25-365_4hdj.pdf</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Trump v. Barbara, Staatsangehörigkeit von Geburt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 (auch /visa)</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Visakategorien, Gebühren, Wartezeiten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travel.state.gov/visa-bulletin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Stichtage für die Green Card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Formulare, Statusfragen; Suchbegriffe für Spezialthemen: „H-4 employment authorization“ (Arbeitserlaubnis für H-4-Ehepartner), „marijuana“ im Policy Manual (Cannabis und Einwanderungsrecht)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uscis.gov/alienregistration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Registrierungspflicht, Mitführen von Dokumenten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uscis.gov/ar-11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uscis.gov/avoid-scams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erkennen und vermeiden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uscis.gov/citizenship (auch /n-400)</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Staatskundetest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uscis.gov/g-1055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Gebührenverzeichnis aller Formulare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uscis.gov/green-card</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Wege, Kategorien, Formular I-485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uscis.gov/i-131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Wiedereinreisegenehmigung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uscis.gov/i-765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 (Form I-765)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uscis.gov/i-9</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I-9, Beschäftigungsnachweis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uscis.gov/policy-manual/volume-6-part-b-chapter-6 (auch .../volume-7-part-a-chapter-7, .../volume-7-part-e-chapter-5)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und Ehepartner, Child Status Protection Act, Job-Portabilität (AC21)</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uscis.gov/processing-times (auch egov.uscis.gov/processing-times)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Arbeitsvisa im Überblick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4">
              <w:r>
                <w:rPr>
                  <w:rStyle w:val="ListLabel112"/>
                  <w:rFonts w:eastAsia="Cambria" w:cs="Cambria"/>
                  <w:b w:val="false"/>
                  <w:bCs w:val="false"/>
                  <w:i w:val="false"/>
                  <w:iCs w:val="false"/>
                  <w:sz w:val="18"/>
                  <w:szCs w:val="18"/>
                </w:rPr>
                <w:t>4</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uscis.gov/working-in-the-united-states/h-1b-specialty-occupations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Specialty Occupations, aktuelle FAQ zur Zahlungspflicht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uscis.gov/working-in-the-united-states/international-entrepreneur-rule</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Gründervisum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uscis.gov/working-in-the-united-states/students-and-exchange-visitors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STEM-OPT, Statuswechsel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uscis.gov/working-in-the-united-states/temporary-workers (auch .../l-1a-intracompany-transferee-executive-or-manager)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O-1, E-1/E-2, Arbeitserlaubnis der L-2-Ehepartner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und Sozialversicherung</w:t>
      </w:r>
    </w:p>
    <w:tbl>
      <w:tblPr>
        <w:tblW w:w="6480" w:type="dxa"/>
        <w:jc w:val="left"/>
        <w:tblInd w:w="0" w:type="dxa"/>
        <w:tblLayout w:type="fixed"/>
        <w:tblCellMar>
          <w:top w:w="50" w:type="dxa"/>
          <w:left w:w="80" w:type="dxa"/>
          <w:bottom w:w="50" w:type="dxa"/>
          <w:right w:w="80" w:type="dxa"/>
        </w:tblCellMar>
      </w:tblPr>
      <w:tblGrid>
        <w:gridCol w:w="3641"/>
        <w:gridCol w:w="2089"/>
        <w:gridCol w:w="750"/>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Steuersätze, Standardabzug, Startseite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irs.gov/individuals/tax-withholding-estimator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Withholding Estimator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irs.gov/pub/irs-trty/germany.pdf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irs.gov/businesses/comparison-of-form-8938-and-fbar-requirements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 Form 8938 und FBAR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irs.gov/businesses/small-businesses-self-employed/report-of-foreign-bank-and-financial-accounts-fbar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Meldepflicht für Auslandskonten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für Auslandsansässige, Exit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irs.gov/individuals/international-taxpayers/taxation-of-nonresident-aliens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Besteuerung von Nichtansässigen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irs.gov/publications/p519</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519, Steuerleitfaden für Ausländer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irs.gov/credits-deductions/individuals/child-tax-credit</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irs.gov/payments/failure-to-file-penalty</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bei verspäteter Erklärung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irs.gov/tax-professionals/choosing-a-tax-professional (auch /newsroom/tax-scams-consumer-alerts)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Steuerberater finden, Betrugswarnungen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irs.gov/retirement-plans/401k-plans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401(k)-Pläne und Grenzen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irs.gov/instructions/i8621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8621, PFIC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irs.gov/publications/p936 (auch /taxtopics/tc701)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Hypothekenzinsen und Hausverkauf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irs.gov/individuals/how-do-i-apply-for-an-itin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beantragen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irs.gov/identity-theft-fraud-scams/get-an-identity-protection-pin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 Protection PIN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irs.gov/forms-pubs/about-form-w-4</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W-4, Lohnsteuerabzug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irs.gov/businesses/small-businesses-self-employed/whats-new-estate-and-gift-tax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Nachlass- und Schenkungsteuer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irs.gov/instructions/i3520</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3520, Meldepflicht bei Erbschaften und Schenkungen aus dem Ausland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irs.gov/individuals/international-taxpayers/expatriation-tax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Expatriation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irs.gov/individuals/international-taxpayers/firpta-withholding</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FIRPTA Withholding beim Immobilienverkauf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ssa.gov/forms/ss-5.pdf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SS-5, Antrag auf die SSN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ssa.gov/international/Agreement_Pamphlets/germany.html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ssa.gov/number-card</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 und Karte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ssa.gov/benefits/retirement/social-security-fairness-act.html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Fairness Act (Abschaffung von WEP/GPO)</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US-Gesundheit</w:t>
      </w:r>
    </w:p>
    <w:tbl>
      <w:tblPr>
        <w:tblW w:w="6480" w:type="dxa"/>
        <w:jc w:val="left"/>
        <w:tblInd w:w="0" w:type="dxa"/>
        <w:tblLayout w:type="fixed"/>
        <w:tblCellMar>
          <w:top w:w="50" w:type="dxa"/>
          <w:left w:w="80" w:type="dxa"/>
          <w:bottom w:w="50" w:type="dxa"/>
          <w:right w:w="80" w:type="dxa"/>
        </w:tblCellMar>
      </w:tblPr>
      <w:tblGrid>
        <w:gridCol w:w="2638"/>
        <w:gridCol w:w="2857"/>
        <w:gridCol w:w="985"/>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healthcare.gov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 Plantypen, Sonderfenster, Einwanderungsstatus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cms.gov/nosurprises/consumers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 Kostenvoranschlag, Beschwerdestelle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irs.gov/publications/p969</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und HDHP, jährliche Grenzwerte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dol.gov/agencies/ebsa (auch dol.gov/general/topic/health-plans/cobra)</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Wartefristen, Newborns’ Act</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cdc.gov/vaccines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Empfohlener Impfplan für Kinder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cdc.gov/importation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Hunden und Katzen, Dog Import Form</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kff.org/health-costs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Health Benefits Survey: Prämien, Selbstbehalte, Wartefristen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medicare.gov/basics/costs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und Anspruchsvoraussetzungen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988lifeline.org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samhsa.gov/mental-health/988/faqs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Häufige Fragen zu 988</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findtreatment.gov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Therapeutensuche der Bundesbehörde SAMHSA</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psychologytoday.com/us/therapists/german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Therapeutensuche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openpathcollective.org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reduzierte Therapiepreise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US-Wohnen und Finanzen</w:t>
      </w:r>
    </w:p>
    <w:tbl>
      <w:tblPr>
        <w:tblW w:w="6480" w:type="dxa"/>
        <w:jc w:val="left"/>
        <w:tblInd w:w="0" w:type="dxa"/>
        <w:tblLayout w:type="fixed"/>
        <w:tblCellMar>
          <w:top w:w="50" w:type="dxa"/>
          <w:left w:w="80" w:type="dxa"/>
          <w:bottom w:w="50" w:type="dxa"/>
          <w:right w:w="80" w:type="dxa"/>
        </w:tblCellMar>
      </w:tblPr>
      <w:tblGrid>
        <w:gridCol w:w="2779"/>
        <w:gridCol w:w="2948"/>
        <w:gridCol w:w="753"/>
      </w:tblGrid>
      <w:tr>
        <w:trPr>
          <w:tblHeader w:val="true"/>
          <w:cantSplit w:val="true"/>
        </w:trPr>
        <w:tc>
          <w:tcPr>
            <w:tcW w:w="27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consumerfinance.gov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CFPB: Credit Score, Kredite, Loan Estimate, Rate Lock, PMI, Hauskauf</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hud.gov/fairhousing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 Diskriminierung melden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hud.gov/sites/default/files/OCHCO/documents/2025-09hsgml.pdf</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FHA-Regel für Nicht-Daueraufenthaltsberechtigte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annualcreditreport.com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aller drei Bureaus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myfico.com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 und Faktoren des FICO-Scores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federalreserve.gov/releases/g19</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Statistik zu Kreditkartenzinsen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novacredit.com/credit-passport</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Kredithistorie übertragen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freddiemac.com/pmms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wöchentliche Hypothekenzins-Umfrage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selling-guide.fanniemae.com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 Guide zu Nicht-US-Bürgern und Kredithistorie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fhfa.gov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Conforming Loan Limits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fema.gov/flood-maps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Flutkarten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nar.realtor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Metro-Kaufpreise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zumper.com/rent-research</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 National Rent Report</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taxfoundation.org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im Bundesstaatenvergleich</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nyc.gov/site/dca/about/FAQ-Broker-Fees.page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FARE Act, Maklergebühren in New York City</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seattle.gov/rentinginseattle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Einzugsgebühren, Mieterrechte Seattle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michiganlegalhelp.org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und Mietrückstand in Michigan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commerce.wa.gov/housing-policy/hb1217-landlord-resource-center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Mieterhöhungen in Washington State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letsmakeaplan.org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gebührenbasierter Finanzplaner (CFP Board)</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Beispiel für einen Fintech-Anbieter für Auslandsüberweisungen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US-Bildung</w:t>
      </w:r>
    </w:p>
    <w:tbl>
      <w:tblPr>
        <w:tblW w:w="6480" w:type="dxa"/>
        <w:jc w:val="left"/>
        <w:tblInd w:w="0" w:type="dxa"/>
        <w:tblLayout w:type="fixed"/>
        <w:tblCellMar>
          <w:top w:w="50" w:type="dxa"/>
          <w:left w:w="80" w:type="dxa"/>
          <w:bottom w:w="50" w:type="dxa"/>
          <w:right w:w="80" w:type="dxa"/>
        </w:tblCellMar>
      </w:tblPr>
      <w:tblGrid>
        <w:gridCol w:w="2919"/>
        <w:gridCol w:w="2594"/>
        <w:gridCol w:w="967"/>
      </w:tblGrid>
      <w:tr>
        <w:trPr>
          <w:tblHeader w:val="true"/>
          <w:cantSplit w:val="true"/>
        </w:trPr>
        <w:tc>
          <w:tcPr>
            <w:tcW w:w="2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Schulrecht, IDEA, Office for Civil Rights, English Learners, Title III</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nces.ed.gov/fastfacts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Schüler, Schulfinanzen, Charter-Schulen, Sicherheit, Schuluniformen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nces.ed.gov/programs/digest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Digest of Education Statistics: Sicherheitsübungen, Privatschulen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greatschools.org/gk/ratings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Methodik der Schulbewertungen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mischooldata.org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Schulberichte am Beispiel Michigan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collegeboard.org (auch research.collegeboard.org/trends/college-pricing)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AP, Studienplanung, Entwicklung der College-Kosten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studentaid.gov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Student Aid, Berechtigung für Bundeshilfe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wida.wisc.edu/assess/screener</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 Screener und ACCESS for ELLs</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law.cornell.edu/uscode/text/20/6312</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Elternbenachrichtigung und Umstufung, 20 U.S.C. § 6312</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aefla.ed.gov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Adult Education and Family Literacy Act, Erwachsenenbildung und ESL</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ets.org/toefl (auch ielts.org)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und IELTS, Termine und Gebühren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opendoorsdata.org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internationaler Studierender (Open Doors, IIE)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Behörden</w:t>
      </w:r>
    </w:p>
    <w:tbl>
      <w:tblPr>
        <w:tblW w:w="6480" w:type="dxa"/>
        <w:jc w:val="left"/>
        <w:tblInd w:w="0" w:type="dxa"/>
        <w:tblLayout w:type="fixed"/>
        <w:tblCellMar>
          <w:top w:w="50" w:type="dxa"/>
          <w:left w:w="80" w:type="dxa"/>
          <w:bottom w:w="50" w:type="dxa"/>
          <w:right w:w="80" w:type="dxa"/>
        </w:tblCellMar>
      </w:tblPr>
      <w:tblGrid>
        <w:gridCol w:w="3243"/>
        <w:gridCol w:w="2329"/>
        <w:gridCol w:w="908"/>
      </w:tblGrid>
      <w:tr>
        <w:trPr>
          <w:tblHeader w:val="true"/>
          <w:cantSplit w:val="true"/>
        </w:trPr>
        <w:tc>
          <w:tcPr>
            <w:tcW w:w="32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gesetze-im-internet.de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Gesetzestexte: BGB, SGB V, EStG, AStG, AO, ErbStG, AufenthG, Bundesmeldegesetz, TKG, VVG, Wehrpflichtgesetz u. 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deutsche-rentenversicherung.de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vor dem Umzug, Broschüre „Arbeit und Rente in Deutschland und in den USA“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bundesfinanzministerium.de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FAQ zur Reform der privaten Altersvorsorge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 und Erstattung der Kapitalertragsteuer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 und Sicherheitshinweise USA, Krisenvorsorgeliste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familienportal.de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und Elterngeld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arbeitsagentur.de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Familienkasse, Kindergeld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 Abmeldung einer Wohnung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deutschepost.de/de/n/nachsendeservice.html</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Nachsendeservice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vorsorgeregister.de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Vorsorgeregister der Bundesnotarkammer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bmvg.de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Wehrdienst und Auslandsaufenthalt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bfaa.diplo.de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für Bundesbehörden</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bundesjustizamt.de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Antrag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 und Ausfuhr, Umzugsgut, Heimtiere, Übersiedlungsgut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destatis.de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Statistisches Bundesamt, Wohnen und Mieten in Deutschland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bva.bund.de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Bundesverwaltungsamt, Mehrstaatigkeit und Beibehaltung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bundeswahlleiterin.de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auslandsschulwesen.de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Zentralstelle für das Auslandsschulwesen, deutsche Schulen im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Auslandsvertretungen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Washington, D. C.; für die übrigen Bundesstaaten sind mehrere Generalkonsulate zuständig. germany.info führt zur zuständigen Vertretung und bündelt Formulare und Terminbuchung.</w:t>
      </w:r>
    </w:p>
    <w:tbl>
      <w:tblPr>
        <w:tblW w:w="6480" w:type="dxa"/>
        <w:jc w:val="left"/>
        <w:tblInd w:w="0" w:type="dxa"/>
        <w:tblLayout w:type="fixed"/>
        <w:tblCellMar>
          <w:top w:w="50" w:type="dxa"/>
          <w:left w:w="80" w:type="dxa"/>
          <w:bottom w:w="50" w:type="dxa"/>
          <w:right w:w="80" w:type="dxa"/>
        </w:tblCellMar>
      </w:tblPr>
      <w:tblGrid>
        <w:gridCol w:w="2037"/>
        <w:gridCol w:w="3181"/>
        <w:gridCol w:w="1262"/>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1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Auslandsvertretungen weltweit finden, Startseite</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germany.info/us-en/service (auch /us-de/service)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Beglaubigungen, Pässe, Führungszeugnis, Staatsangehörigkeit, Wahlen</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germany.info/us-de/service/hilfe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Nothilfe für Deutsche in den USA</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Sonstige nützliche Adressen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Statistik, Verbraucherschutz und Betrug melden</w:t>
      </w:r>
    </w:p>
    <w:tbl>
      <w:tblPr>
        <w:tblW w:w="6480" w:type="dxa"/>
        <w:jc w:val="left"/>
        <w:tblInd w:w="0" w:type="dxa"/>
        <w:tblLayout w:type="fixed"/>
        <w:tblCellMar>
          <w:top w:w="50" w:type="dxa"/>
          <w:left w:w="80" w:type="dxa"/>
          <w:bottom w:w="50" w:type="dxa"/>
          <w:right w:w="80" w:type="dxa"/>
        </w:tblCellMar>
      </w:tblPr>
      <w:tblGrid>
        <w:gridCol w:w="3819"/>
        <w:gridCol w:w="1911"/>
        <w:gridCol w:w="750"/>
      </w:tblGrid>
      <w:tr>
        <w:trPr>
          <w:tblHeader w:val="true"/>
          <w:cantSplit w:val="true"/>
        </w:trPr>
        <w:tc>
          <w:tcPr>
            <w:tcW w:w="3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9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data.worldbank.org (Suche „intentional homicides“)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Kriminalstatistik im Ländervergleich (Weltbank/UNODC)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bls.gov/oes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Gehälter und Berufsausblick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2">
              <w:r>
                <w:rPr>
                  <w:rStyle w:val="ListLabel112"/>
                  <w:rFonts w:eastAsia="Cambria" w:cs="Cambria"/>
                  <w:b w:val="false"/>
                  <w:bCs w:val="false"/>
                  <w:i w:val="false"/>
                  <w:iCs w:val="false"/>
                  <w:sz w:val="18"/>
                  <w:szCs w:val="18"/>
                </w:rPr>
                <w:t>12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bls.gov/ebs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Krankheit, Altersvorsorge (Employee Benefits)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 (Suche „average retail food and energy prices“)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Durchschnittspreise für Lebensmittel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census.gov (u. a. /topics/population/migration, /library/publications/2026/demo/p60-291.html)</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Bevölkerungs-, Wanderungs- und Versichertenstatistik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(Suche: noncompete), versteckte Gebühren (Suche: unfair or deceptive fees), Pflegekennzeichnung Kleidung (Suche: care labeling rule)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consumer.ftc.gov (auch /articles/what-know-about-credit-freezes-fraud-alerts)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Mietbetrug-Warnungen, Credit Freeze und Fraud Alert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reportfraud.ftc.gov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bei der Bundesbehörde FTC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identitytheft.gov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nach Identitätsdiebstahl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Arbeitsrecht und Arbeitsmarkt (allgemein)</w:t>
      </w:r>
    </w:p>
    <w:tbl>
      <w:tblPr>
        <w:tblW w:w="6480" w:type="dxa"/>
        <w:jc w:val="left"/>
        <w:tblInd w:w="0" w:type="dxa"/>
        <w:tblLayout w:type="fixed"/>
        <w:tblCellMar>
          <w:top w:w="50" w:type="dxa"/>
          <w:left w:w="80" w:type="dxa"/>
          <w:bottom w:w="50" w:type="dxa"/>
          <w:right w:w="80" w:type="dxa"/>
        </w:tblCellMar>
      </w:tblPr>
      <w:tblGrid>
        <w:gridCol w:w="2527"/>
        <w:gridCol w:w="2968"/>
        <w:gridCol w:w="985"/>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 (auch /fmla, /flsa)</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 and Hour Division: FMLA, Mindestlohn und Überstunden (FLSA), Mindestlohn für Trinkgeldempfänger (Suche: tipped employees)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dol.gov/agencies/eta/layoffs/warn</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 Ankündigungsfrist bei Massenentlassungen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eeoc.gov</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Gleichbehandlungsbehörde, Diskriminierung und Beschwerden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opm.gov/policy-data-oversight/pay-leave/federal-holidays</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Bundesfeiertage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Umzug, Zoll und Haustiere</w:t>
      </w:r>
    </w:p>
    <w:tbl>
      <w:tblPr>
        <w:tblW w:w="6480" w:type="dxa"/>
        <w:jc w:val="left"/>
        <w:tblInd w:w="0" w:type="dxa"/>
        <w:tblLayout w:type="fixed"/>
        <w:tblCellMar>
          <w:top w:w="50" w:type="dxa"/>
          <w:left w:w="80" w:type="dxa"/>
          <w:bottom w:w="50" w:type="dxa"/>
          <w:right w:w="80" w:type="dxa"/>
        </w:tblCellMar>
      </w:tblPr>
      <w:tblGrid>
        <w:gridCol w:w="3085"/>
        <w:gridCol w:w="2443"/>
        <w:gridCol w:w="952"/>
      </w:tblGrid>
      <w:tr>
        <w:trPr>
          <w:tblHeader w:val="true"/>
          <w:cantSplit w:val="true"/>
        </w:trPr>
        <w:tc>
          <w:tcPr>
            <w:tcW w:w="30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„19 CFR 148.52“)</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zollfreies Umzugsgut, Haushalts- und persönliche Gegenstände</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Einfuhrregeln für Pflanzen, Erde und Lebensmittel</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aphis.usda.gov/pet-travel</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Haustieren, Rückreise in die EU</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irs.gov/pub/irs-pdf/p15b.pdf</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15-B, steuerliche Behandlung von Arbeitgeberleistungen beim Umzug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fidi.org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zertifizierter Umzugsunternehmen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fmcsa.dot.gov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von Frachtführern (USDOT- und MC-Nummer)</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nhtsa.gov/vehicle-safety/car-seats-and-booster-seats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 in den USA</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cpsc.gov/recalls (auch Suche „children’s sleepwear“)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Produktrückrufe, Kinderschlafkleidung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iec.ch/world-plugs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Steckertypen und Netzspannung nach Land</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dab.hawaii.gov/ai</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Quarantäneprogramm für Tiere in Hawaii</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maricopa.gov/226/Dog-License</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Hundelizenz, Beispiel eines Landkreises</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fws.gov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geschützter Arten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Führerschein, Fahrzeug und Verkehr</w:t>
      </w:r>
    </w:p>
    <w:tbl>
      <w:tblPr>
        <w:tblW w:w="6480" w:type="dxa"/>
        <w:jc w:val="left"/>
        <w:tblInd w:w="0" w:type="dxa"/>
        <w:tblLayout w:type="fixed"/>
        <w:tblCellMar>
          <w:top w:w="50" w:type="dxa"/>
          <w:left w:w="80" w:type="dxa"/>
          <w:bottom w:w="50" w:type="dxa"/>
          <w:right w:w="80" w:type="dxa"/>
        </w:tblCellMar>
      </w:tblPr>
      <w:tblGrid>
        <w:gridCol w:w="2464"/>
        <w:gridCol w:w="2854"/>
        <w:gridCol w:w="1162"/>
      </w:tblGrid>
      <w:tr>
        <w:trPr>
          <w:tblHeader w:val="true"/>
          <w:cantSplit w:val="true"/>
        </w:trPr>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dmv.ca.gov, dmv.ny.gov, dps.texas.gov, dol.wa.gov, dmv.colorado.gov, ncdot.gov/dmv, flhsmv.gov, oregon.gov/odot/dmv, dld.utah.gov</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ausgewählter Bundesstaaten (Beispiele)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tsa.gov/real-id</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 ID und ConfirmID</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eia.gov/petroleum/gasdiesel</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Benzinpreise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Anerkennung von Abschlüssen und Qualifikationen</w:t>
      </w:r>
    </w:p>
    <w:tbl>
      <w:tblPr>
        <w:tblW w:w="6480" w:type="dxa"/>
        <w:jc w:val="left"/>
        <w:tblInd w:w="0" w:type="dxa"/>
        <w:tblLayout w:type="fixed"/>
        <w:tblCellMar>
          <w:top w:w="50" w:type="dxa"/>
          <w:left w:w="80" w:type="dxa"/>
          <w:bottom w:w="50" w:type="dxa"/>
          <w:right w:w="80" w:type="dxa"/>
        </w:tblCellMar>
      </w:tblPr>
      <w:tblGrid>
        <w:gridCol w:w="2882"/>
        <w:gridCol w:w="2522"/>
        <w:gridCol w:w="1076"/>
      </w:tblGrid>
      <w:tr>
        <w:trPr>
          <w:tblHeader w:val="true"/>
          <w:cantSplit w:val="true"/>
        </w:trPr>
        <w:tc>
          <w:tcPr>
            <w:tcW w:w="2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wes.org/evaluations (auch ece.org)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naces.org/members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anerkannter Bewertungsstellen (NACES)</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ncees.org/engineering/pe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für Ingenieure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ecfmg.org/certification-pathways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Zertifizierungswege für Ärzte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trumerit.org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 für Pflegekräfte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nclex.com</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für Pflegekräfte (NCLEX)</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daad.de (auch daad.org)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Anerkennung von US-Abschlüssen</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fulbright.de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für ein Auslandsstudium</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Alltag, Kultur, Sicherheit und Integration</w:t>
      </w:r>
    </w:p>
    <w:tbl>
      <w:tblPr>
        <w:tblW w:w="6480" w:type="dxa"/>
        <w:jc w:val="left"/>
        <w:tblInd w:w="0" w:type="dxa"/>
        <w:tblLayout w:type="fixed"/>
        <w:tblCellMar>
          <w:top w:w="50" w:type="dxa"/>
          <w:left w:w="80" w:type="dxa"/>
          <w:bottom w:w="50" w:type="dxa"/>
          <w:right w:w="80" w:type="dxa"/>
        </w:tblCellMar>
      </w:tblPr>
      <w:tblGrid>
        <w:gridCol w:w="3670"/>
        <w:gridCol w:w="2047"/>
        <w:gridCol w:w="763"/>
      </w:tblGrid>
      <w:tr>
        <w:trPr>
          <w:tblHeader w:val="true"/>
          <w:cantSplit w:val="true"/>
        </w:trPr>
        <w:tc>
          <w:tcPr>
            <w:tcW w:w="3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dea.gov/marijuana-rescheduling-regulatory-actions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 der Cannabis-Umstufung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law.cornell.edu/uscode/text/18/922</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für Nichteinwanderer, 18 U.S.C. § 922</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alcoholpolicy.niaaa.nih.gov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Alkoholgesetze der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fec.gov (Suche „foreign nationals“)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Wahlspenden von Ausländern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pewresearch.org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Religion und Waffenbesitz in den USA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ready.gov (auch weather.gov/safety)</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Katastrophenvorsorge, Warnungen, Windchill</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 (Suche „employee assistance program“)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Beratungsangebote (EAP)</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news.ku.edu (Suche „hours to make a friend“)</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 zur Zeit, die Freundschaft braucht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ekd.de/auslandsgemeinden-amerika-47196.htm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Auslandsgemeinden in Amerika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goethe.de/ins/us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USA, Standorte und Sprachprüfungen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idealist.org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finden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help.meetup.com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Hilfebereich zu Gebühren und Abos</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aad.org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Academy of Dermatology, Sonnenschutz</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tax.ny.gov, revenue.pa.gov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Kleidung, Beispiele einzelner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fna.usda.gov/research/cnpp/usda-food-plans (auch /nslp)</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Richtwerte für Lebensmittelkosten, Schulmahlzeiten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usda.gov/topics/organic</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Bio-Kennzeichnung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fda.gov/food (Suche „Red No. 3“)</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Farbstoffe und Zusatzstoffe</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epa.gov/ground-water-and-drinking-water</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Trinkwasser, Blei, Wasserqualitätsbericht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6" w:name="__RefHeading___Toc56646_3457424410"/>
      <w:bookmarkStart w:id="217" w:name="s102"/>
      <w:bookmarkEnd w:id="216"/>
      <w:r>
        <w:rPr>
          <w:rFonts w:eastAsia="Amazon Ember" w:cs="Amazon Ember" w:ascii="Amazon Ember" w:hAnsi="Amazon Ember"/>
          <w:b/>
          <w:bCs/>
          <w:color w:val="0000FF"/>
          <w:sz w:val="36"/>
          <w:szCs w:val="36"/>
        </w:rPr>
        <w:t>Kanada</w:t>
      </w:r>
      <w:bookmarkEnd w:id="217"/>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Einwanderungsbehörden</w:t>
      </w:r>
    </w:p>
    <w:tbl>
      <w:tblPr>
        <w:tblW w:w="6480" w:type="dxa"/>
        <w:jc w:val="left"/>
        <w:tblInd w:w="0" w:type="dxa"/>
        <w:tblLayout w:type="fixed"/>
        <w:tblCellMar>
          <w:top w:w="50" w:type="dxa"/>
          <w:left w:w="80" w:type="dxa"/>
          <w:bottom w:w="50" w:type="dxa"/>
          <w:right w:w="80" w:type="dxa"/>
        </w:tblCellMar>
      </w:tblPr>
      <w:tblGrid>
        <w:gridCol w:w="2733"/>
        <w:gridCol w:w="2187"/>
        <w:gridCol w:w="1560"/>
      </w:tblGrid>
      <w:tr>
        <w:trPr>
          <w:tblHeader w:val="true"/>
          <w:cantSplit w:val="true"/>
        </w:trPr>
        <w:tc>
          <w:tcPr>
            <w:tcW w:w="2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ircc.canada.ca/english/information/fees (auch /fees.asp)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für Permanent Residence, Arbeitsvisum, Visa und Biometrie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CRS und Einladungsrunden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comprehensive-ranking-system)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CRS-Kriterien und Punkteberechnung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federal-skilled-workers)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provincial-nominees)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Übersicht je Provinz</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ontario.ca/page/ontario-immigrant-nominee-program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Immigrant Nominee Program (OINP)</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welcomebc.ca/immigrate-to-b-c/about-the-bc-pnp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Provincial Nominee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 (auch /services/foreign-workers)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 Labour Market Impact Assessment (LMIA), Gebühren und Bearbeitungszeiten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study-permit, post-graduation-work-permit)</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und Post-Graduation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start-visa)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Program, Zulässigkeit und designierte Organisationen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sponsor-spouse-partner-child)</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Lebenspartner-Sponsoring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sponsor-parents-grandparents)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Großeltern-Programm, Einkommensvoraussetzungen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super-visa)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für Eltern und Großeltern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check-processing-times)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Anträge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panel-physicians)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Panel Physicians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police-certificates germany)</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Polizeiliches Führungszeugnis aus Deutschland beibringen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college-ic.ca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Register zugelassener Berater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visa.vfsglobal.com/deu/de/can</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Application Centre Berlin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Einreise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canada.ca/en/employment-social-development/services/sin.html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 beantragen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 Arbeitgeberwechsel, Bridging Open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canada.ca/en/immigration-refugees-citizenship/services/work-canada/permit/temporary/vulnerable-workers.html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Offenes Arbeitsvisum für gefährdete Arbeitnehmer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(Citizenship: physical presence calculator, requirements, fees)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Aufenthaltsrechner, Voraussetzungen, Gebühren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(Understand permanent resident status)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IRPA-Aufenthaltspflichten für Permanent Residents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 (Mehrstaatigkeit)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Steuern und Sozialversicherung</w:t>
      </w:r>
    </w:p>
    <w:tbl>
      <w:tblPr>
        <w:tblW w:w="6480" w:type="dxa"/>
        <w:jc w:val="left"/>
        <w:tblInd w:w="0" w:type="dxa"/>
        <w:tblLayout w:type="fixed"/>
        <w:tblCellMar>
          <w:top w:w="50" w:type="dxa"/>
          <w:left w:w="80" w:type="dxa"/>
          <w:bottom w:w="50" w:type="dxa"/>
          <w:right w:w="80" w:type="dxa"/>
        </w:tblCellMar>
      </w:tblPr>
      <w:tblGrid>
        <w:gridCol w:w="1667"/>
        <w:gridCol w:w="3835"/>
        <w:gridCol w:w="978"/>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8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canada.ca/en/revenue-agency</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 Einkommensteuersätze, CPP-Beitragssätze, Startseite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newcomers to Canada tax)</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für Neuankömmlinge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 (auch www2.gov.bc.ca, Suche: income tax rates)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British-Columbia-Einkommensteuersätze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taxtips.ca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Steuer-Referenzseite: Ontario- und Provinztabellen, Verkaufssteuern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rbc.com, td.com, scotiabank.com, bmo.com, cibc.com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der „Big Five“-Banken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equifax.ca, transunion.ca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Kreditauskunft und Score-Aufbau in Kanada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(Competent Authority Notices)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 deutsche 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cra-arc.gc.ca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Ansässigkeit für Nichtansässige (Non-Residents of Canada)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Gesundheit</w:t>
      </w:r>
    </w:p>
    <w:tbl>
      <w:tblPr>
        <w:tblW w:w="6480" w:type="dxa"/>
        <w:jc w:val="left"/>
        <w:tblInd w:w="0" w:type="dxa"/>
        <w:tblLayout w:type="fixed"/>
        <w:tblCellMar>
          <w:top w:w="50" w:type="dxa"/>
          <w:left w:w="80" w:type="dxa"/>
          <w:bottom w:w="50" w:type="dxa"/>
          <w:right w:w="80" w:type="dxa"/>
        </w:tblCellMar>
      </w:tblPr>
      <w:tblGrid>
        <w:gridCol w:w="2842"/>
        <w:gridCol w:w="2575"/>
        <w:gridCol w:w="1063"/>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 Grundprinzipien der Provinz-Krankenversicherung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ontario.ca/page/apply-ohip-and-get-health-card</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OHIP-Anmeldung, keine Wartefrist</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www2.gov.bc.ca/gov/content/health/health-drug-coverage/msp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MSP-Anmeldung und Wartefrist in British Columbia</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ramq.gouv.qc.ca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und Wartefrist in Québec</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alberta.ca/ahcip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Health Care Insurance Plan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saskatchewan.ca/residents/health</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 Health Coverage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 Krisenhilfe rund um die Uhr</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kidshelpphone.ca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 Help Phone, Hilfe für Kinder und Jugendliche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und Führerschein</w:t>
      </w:r>
    </w:p>
    <w:tbl>
      <w:tblPr>
        <w:tblW w:w="6480" w:type="dxa"/>
        <w:jc w:val="left"/>
        <w:tblInd w:w="0" w:type="dxa"/>
        <w:tblLayout w:type="fixed"/>
        <w:tblCellMar>
          <w:top w:w="50" w:type="dxa"/>
          <w:left w:w="80" w:type="dxa"/>
          <w:bottom w:w="50" w:type="dxa"/>
          <w:right w:w="80" w:type="dxa"/>
        </w:tblCellMar>
      </w:tblPr>
      <w:tblGrid>
        <w:gridCol w:w="2258"/>
        <w:gridCol w:w="2850"/>
        <w:gridCol w:w="1372"/>
      </w:tblGrid>
      <w:tr>
        <w:trPr>
          <w:tblHeader w:val="true"/>
          <w:cantSplit w:val="true"/>
        </w:trPr>
        <w:tc>
          <w:tcPr>
            <w:tcW w:w="22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statcan.gc.ca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Statistics Canada: Quarterly Rent Statistics</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cmhc-schl.gc.ca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 Rental- und Kaufmarktberichte, Hypothekenregeln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(Prohibition on the Purchase of Residential Property by Non-Canadians Act)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Kaufverbot für Nicht-Kanadier bei Wohnimmobilien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Additional Property Transfer Tax, Home Buyer Rescission Period</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Non-Resident Speculation Tax, Residential Tenancies Act</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drivetest.ca, icbc.com, saaq.gouv.qc.ca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Ontario, British Columbia und Québec: Umtausch, Fristen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Verkehrskontrollen für Neuankömmlinge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wildlifecollisions.ca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Wildunfallstatistik, Wildlife Collision Prevention Program</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rates.ca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Kfz-Versicherungsvergleich, Provinzunterschiede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Recht und Sicherheit</w:t>
      </w:r>
    </w:p>
    <w:tbl>
      <w:tblPr>
        <w:tblW w:w="6480" w:type="dxa"/>
        <w:jc w:val="left"/>
        <w:tblInd w:w="0" w:type="dxa"/>
        <w:tblLayout w:type="fixed"/>
        <w:tblCellMar>
          <w:top w:w="50" w:type="dxa"/>
          <w:left w:w="80" w:type="dxa"/>
          <w:bottom w:w="50" w:type="dxa"/>
          <w:right w:w="80" w:type="dxa"/>
        </w:tblCellMar>
      </w:tblPr>
      <w:tblGrid>
        <w:gridCol w:w="2365"/>
        <w:gridCol w:w="2883"/>
        <w:gridCol w:w="1232"/>
      </w:tblGrid>
      <w:tr>
        <w:trPr>
          <w:tblHeader w:val="true"/>
          <w:cantSplit w:val="true"/>
        </w:trPr>
        <w:tc>
          <w:tcPr>
            <w:tcW w:w="23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2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rcmp.ca/en/bc/corporate-information/newcomers-guide/interactions-police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Newcomers Guide, Verhalten bei Polizeikontakt</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rcmp.ca/en/firearms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und Lizenzierung</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Assault-Style Firearms Compensation Program)</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für Waffen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canada.ca/en/health-canada/services/drugs-medication/cannabis.html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 Regeln zu Besitz und Anbau</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 (Suche: CBSA cannabis travellers)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Einfuhrbestimmungen für Cannabis</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alertready.ca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 Ready, nationales Warnsystem</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weather.gc.ca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Wetterwarnungen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(Sprachgesetz Bill 96 / Loi 96)</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Sprachgesetz und Auswirkungen auf Alltag und Beruf</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(Multiculturalism Policy, Charter of Rights and Freedoms)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und Multikulturalismus-Politik</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Bildung, Arbeit und Alltag</w:t>
      </w:r>
    </w:p>
    <w:tbl>
      <w:tblPr>
        <w:tblW w:w="6480" w:type="dxa"/>
        <w:jc w:val="left"/>
        <w:tblInd w:w="0" w:type="dxa"/>
        <w:tblLayout w:type="fixed"/>
        <w:tblCellMar>
          <w:top w:w="50" w:type="dxa"/>
          <w:left w:w="80" w:type="dxa"/>
          <w:bottom w:w="50" w:type="dxa"/>
          <w:right w:w="80" w:type="dxa"/>
        </w:tblCellMar>
      </w:tblPr>
      <w:tblGrid>
        <w:gridCol w:w="3466"/>
        <w:gridCol w:w="1863"/>
        <w:gridCol w:w="1151"/>
      </w:tblGrid>
      <w:tr>
        <w:trPr>
          <w:tblHeader w:val="true"/>
          <w:cantSplit w:val="true"/>
        </w:trPr>
        <w:tc>
          <w:tcPr>
            <w:tcW w:w="34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ontario.ca/page/education-and-training (auch education.gouv.qc.ca)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Bildungsministerien der Provinzen</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(Suche: certificate of eligibility english instruction)</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Charter of the French Language, Zulassung zu englischsprachigem Unterricht</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canada.ca/en/employment-social-development/campaigns/child-care.html</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Canada-Wide Early Learning and Child Care, Gebühren je Provinz</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gistonline.ca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vwgs.org, calgarygermanschool.com</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Calgary German Language School</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jobbank.gc.ca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(ESDC): Stellensuche, Lebenslauf-Hilfe, Lohnvergleiche</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ontario.ca/document/your-guide-employment-standards-act-0</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 Kündigungsfristen und Urlaub</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alberta.ca/employment-standards</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Code Alberta</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bpb.de</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Multikulturalismus in Kanada, Einordnung für Deutschland</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Ottawa; kanada.diplo.de führt zu den Generalkonsulaten und Honorarkonsuln.</w:t>
      </w:r>
    </w:p>
    <w:tbl>
      <w:tblPr>
        <w:tblW w:w="6480" w:type="dxa"/>
        <w:jc w:val="left"/>
        <w:tblInd w:w="0" w:type="dxa"/>
        <w:tblLayout w:type="fixed"/>
        <w:tblCellMar>
          <w:top w:w="50" w:type="dxa"/>
          <w:left w:w="80" w:type="dxa"/>
          <w:bottom w:w="50" w:type="dxa"/>
          <w:right w:w="80" w:type="dxa"/>
        </w:tblCellMar>
      </w:tblPr>
      <w:tblGrid>
        <w:gridCol w:w="2201"/>
        <w:gridCol w:w="2467"/>
        <w:gridCol w:w="1812"/>
      </w:tblGrid>
      <w:tr>
        <w:trPr>
          <w:tblHeader w:val="true"/>
          <w:cantSplit w:val="true"/>
        </w:trPr>
        <w:tc>
          <w:tcPr>
            <w:tcW w:w="22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kanada.diplo.de</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Ottawa und Generalkonsulate, zuständige Vertretung finden</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goethe.de/ins/ca</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Kanada, Standorte Toronto, Ottawa, Montréal</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8" w:name="__RefHeading___Toc56648_3457424410"/>
      <w:bookmarkStart w:id="219" w:name="s103"/>
      <w:bookmarkEnd w:id="218"/>
      <w:r>
        <w:rPr>
          <w:rFonts w:eastAsia="Amazon Ember" w:cs="Amazon Ember" w:ascii="Amazon Ember" w:hAnsi="Amazon Ember"/>
          <w:b/>
          <w:bCs/>
          <w:color w:val="0000FF"/>
          <w:sz w:val="36"/>
          <w:szCs w:val="36"/>
        </w:rPr>
        <w:t>Australien</w:t>
      </w:r>
      <w:bookmarkEnd w:id="21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Einwanderungsbehörden</w:t>
      </w:r>
    </w:p>
    <w:tbl>
      <w:tblPr>
        <w:tblW w:w="6480" w:type="dxa"/>
        <w:jc w:val="left"/>
        <w:tblInd w:w="0" w:type="dxa"/>
        <w:tblLayout w:type="fixed"/>
        <w:tblCellMar>
          <w:top w:w="50" w:type="dxa"/>
          <w:left w:w="80" w:type="dxa"/>
          <w:bottom w:w="50" w:type="dxa"/>
          <w:right w:w="80" w:type="dxa"/>
        </w:tblCellMar>
      </w:tblPr>
      <w:tblGrid>
        <w:gridCol w:w="2822"/>
        <w:gridCol w:w="2135"/>
        <w:gridCol w:w="1523"/>
      </w:tblGrid>
      <w:tr>
        <w:trPr>
          <w:tblHeader w:val="true"/>
          <w:cantSplit w:val="true"/>
        </w:trPr>
        <w:tc>
          <w:tcPr>
            <w:tcW w:w="2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Visa-Übersicht, Gebühren und ImmiAccount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immi.homeaffairs.gov.au/visas/working-in-australia/skillselect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 und Einladungsrunden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work-holiday-417)</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 Subclass 417</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student-visa-500)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Subclass 500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immi.homeaffairs.gov.au/visas/getting-a-visa/fees-and-charges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Bearbeitungszeiten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(Migration Program)</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Migration Program, jährliches Planungsniveau</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skilled-independent-189)</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visa, Subclass 189</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skilled-nominated-190)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visa, Subclass 190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skills-in-demand-visa-subclass-482)</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visa, Subclass 482</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employer-nomination-scheme-186)</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Subclass 186</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dewr.gov.au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partner-visa)</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Partnervisa, Subclass 820/801 und 309/100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parent-visa, balance-of-family-test)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Parent-Visa-Kategorien und Balance-of-Family-Test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sponsored-parent-870)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 Parent (Temporary) Visa, Subclass 870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national-innovation-visa-858)</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Innovation Visa, Subclass 858</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immi.homeaffairs.gov.au/visas/getting-a-visa/visa-processing-times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Visa-Bearbeitungszeiten und -prioritäten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portal.mara.gov.au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OMARA, Register der Migration Agents</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Border Force, Biosecurity und Zoll bei der Einreise</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Conferral: Voraussetzungen, Test, Gebühren, Residence Calculator</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Steuern und Sozialversicherung</w:t>
      </w:r>
    </w:p>
    <w:tbl>
      <w:tblPr>
        <w:tblW w:w="6480" w:type="dxa"/>
        <w:jc w:val="left"/>
        <w:tblInd w:w="0" w:type="dxa"/>
        <w:tblLayout w:type="fixed"/>
        <w:tblCellMar>
          <w:top w:w="50" w:type="dxa"/>
          <w:left w:w="80" w:type="dxa"/>
          <w:bottom w:w="50" w:type="dxa"/>
          <w:right w:w="80" w:type="dxa"/>
        </w:tblCellMar>
      </w:tblPr>
      <w:tblGrid>
        <w:gridCol w:w="2739"/>
        <w:gridCol w:w="2557"/>
        <w:gridCol w:w="1184"/>
      </w:tblGrid>
      <w:tr>
        <w:trPr>
          <w:tblHeader w:val="true"/>
          <w:cantSplit w:val="true"/>
        </w:trPr>
        <w:tc>
          <w:tcPr>
            <w:tcW w:w="27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Einkommensteuersätze, Tax File Number, Medicare Levy und Surcharge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ato.gov.au/super</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Departing Australia Superannuation Payment (DASP), Superannuation Guarantee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Centrelink, Medicare-Anmeldung</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moneysmart.gov.au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der ASIC, u. a. Kreditauskünfte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equifax.com.au, experian.com.au, illion.com.au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commbank.com.au, westpac.com.au, nab.com.au, anz.com.au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Online-Portal für Steuererklärung und Behördengänge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(Doppelbesteuerungsabkommen)</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Australien–Deutschland</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(Your tax residency)</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Steuerresidenz, Foreign and worldwide income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Gesundheit</w:t>
      </w:r>
    </w:p>
    <w:tbl>
      <w:tblPr>
        <w:tblW w:w="6480" w:type="dxa"/>
        <w:jc w:val="left"/>
        <w:tblInd w:w="0" w:type="dxa"/>
        <w:tblLayout w:type="fixed"/>
        <w:tblCellMar>
          <w:top w:w="50" w:type="dxa"/>
          <w:left w:w="80" w:type="dxa"/>
          <w:bottom w:w="50" w:type="dxa"/>
          <w:right w:w="80" w:type="dxa"/>
        </w:tblCellMar>
      </w:tblPr>
      <w:tblGrid>
        <w:gridCol w:w="2634"/>
        <w:gridCol w:w="2533"/>
        <w:gridCol w:w="1313"/>
      </w:tblGrid>
      <w:tr>
        <w:trPr>
          <w:tblHeader w:val="true"/>
          <w:cantSplit w:val="true"/>
        </w:trPr>
        <w:tc>
          <w:tcPr>
            <w:tcW w:w="26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 (Reciprocal Health Care Agreements)</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Medicare-Anmeldung, Reciprocal Health Care Agreements</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(OVHC, OSHC)</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Visumbedingte Gesundheitsversicherung</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privatehealth.gov.au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Unabhängiger Vergleich privater Krankenversicherungen (Private Health Insurance Ombudsman)</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und Führerschein</w:t>
      </w:r>
    </w:p>
    <w:tbl>
      <w:tblPr>
        <w:tblW w:w="6480" w:type="dxa"/>
        <w:jc w:val="left"/>
        <w:tblInd w:w="0" w:type="dxa"/>
        <w:tblLayout w:type="fixed"/>
        <w:tblCellMar>
          <w:top w:w="50" w:type="dxa"/>
          <w:left w:w="80" w:type="dxa"/>
          <w:bottom w:w="50" w:type="dxa"/>
          <w:right w:w="80" w:type="dxa"/>
        </w:tblCellMar>
      </w:tblPr>
      <w:tblGrid>
        <w:gridCol w:w="2956"/>
        <w:gridCol w:w="2378"/>
        <w:gridCol w:w="1146"/>
      </w:tblGrid>
      <w:tr>
        <w:trPr>
          <w:tblHeader w:val="true"/>
          <w:cantSplit w:val="true"/>
        </w:trPr>
        <w:tc>
          <w:tcPr>
            <w:tcW w:w="2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Established-Dwelling-Verbot</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fairtrading.nsw.gov.au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Mietrecht, Rental Bonds Online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domain.com.au (auch cotality.com)</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 Rental Report und Cotality Home Value Index, Miet- und Kaufpreise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transport.vic.gov.au, service.nsw.gov.au, tmr.qld.gov.au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Fristen der Bundesstaaten (Beispiele)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austroads.gov.au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Tempolimits, Verkehrsregeln im Ländervergleich</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kangaroomanagementtaskforce.com.au (auch csiro.au)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Wildtierunfälle im Outback</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nrma.com.au, racv.com.au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Praxisratgeber der Motorclubs für Neuankömmlinge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Recht und Sicherheit</w:t>
      </w:r>
    </w:p>
    <w:tbl>
      <w:tblPr>
        <w:tblW w:w="6480" w:type="dxa"/>
        <w:jc w:val="left"/>
        <w:tblInd w:w="0" w:type="dxa"/>
        <w:tblLayout w:type="fixed"/>
        <w:tblCellMar>
          <w:top w:w="50" w:type="dxa"/>
          <w:left w:w="80" w:type="dxa"/>
          <w:bottom w:w="50" w:type="dxa"/>
          <w:right w:w="80" w:type="dxa"/>
        </w:tblCellMar>
      </w:tblPr>
      <w:tblGrid>
        <w:gridCol w:w="2509"/>
        <w:gridCol w:w="2614"/>
        <w:gridCol w:w="1357"/>
      </w:tblGrid>
      <w:tr>
        <w:trPr>
          <w:tblHeader w:val="true"/>
          <w:cantSplit w:val="true"/>
        </w:trPr>
        <w:tc>
          <w:tcPr>
            <w:tcW w:w="2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6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afdrs.com.au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Fire Danger Rating System, Warnstufen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bom.gov.au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Bureau of Meteorology, Wetter- und Zyklonwarnungen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cfa.vic.gov.au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Landesfeuerwehrbehörden New South Wales und Victoria</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health.gov.au (auch tga.gov.au)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Zulassung und Verschreibung</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legislation.act.gov.au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in der Australian Capital Territory</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Firearms Agreement 1996</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transport.nsw.gov.au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und Drogenkontrollen im Straßenverkehr</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Bildung, Arbeit und Alltag</w:t>
      </w:r>
    </w:p>
    <w:tbl>
      <w:tblPr>
        <w:tblW w:w="6480" w:type="dxa"/>
        <w:jc w:val="left"/>
        <w:tblInd w:w="0" w:type="dxa"/>
        <w:tblLayout w:type="fixed"/>
        <w:tblCellMar>
          <w:top w:w="50" w:type="dxa"/>
          <w:left w:w="80" w:type="dxa"/>
          <w:bottom w:w="50" w:type="dxa"/>
          <w:right w:w="80" w:type="dxa"/>
        </w:tblCellMar>
      </w:tblPr>
      <w:tblGrid>
        <w:gridCol w:w="2857"/>
        <w:gridCol w:w="2198"/>
        <w:gridCol w:w="1425"/>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abs.gov.au/statistics/people/education/schools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Schulstatistik, Anteile der Schulsektoren</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acara.edu.au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Rahmenlehrplan, NAPLAN, EAL/D-Förderung</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und Ferientermine (Beispiel New South Wales)</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uac.edu.au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Universities Admissions Centre, Erklärung und Berechnung des ATAR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fairwork.gov.au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Kündigungsfristen, Urlaub, Right to Disconnect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fwc.gov.au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Commission: Unfair Dismissal, Mindestlohn, High Income Threshold</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culturalatlas.sbs.com.au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SBS Cultural Atlas, Kommunikationsstil und Alltagskultur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australia.com</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 Australia, Alltag und Umgangsformen für Neuankömmlinge</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sls.com.au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Surf Life Saving Australia, Clubs und Mitgliedschaft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(auch ses.nsw.gov.au)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Feuerwehr und Katastrophenschutz</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Canberra, das für weite Teile des Landes zuständige Generalkonsulat in Sydney; australien.diplo.de führt zur zuständigen Vertretung.</w:t>
      </w:r>
    </w:p>
    <w:tbl>
      <w:tblPr>
        <w:tblW w:w="6480" w:type="dxa"/>
        <w:jc w:val="left"/>
        <w:tblInd w:w="0" w:type="dxa"/>
        <w:tblLayout w:type="fixed"/>
        <w:tblCellMar>
          <w:top w:w="50" w:type="dxa"/>
          <w:left w:w="80" w:type="dxa"/>
          <w:bottom w:w="50" w:type="dxa"/>
          <w:right w:w="80" w:type="dxa"/>
        </w:tblCellMar>
      </w:tblPr>
      <w:tblGrid>
        <w:gridCol w:w="2619"/>
        <w:gridCol w:w="2117"/>
        <w:gridCol w:w="174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7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australien.diplo.de</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Canberra und Generalkonsulat Sydney, zuständige Vertretung finden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goethe.de/ins/au</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Australien, Standorte Sydney und Melbourne</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Konsularische Hilfe für Deutsche in Australien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0" w:name="__RefHeading___Toc56650_3457424410"/>
      <w:bookmarkStart w:id="221" w:name="s104"/>
      <w:bookmarkEnd w:id="220"/>
      <w:r>
        <w:rPr>
          <w:rFonts w:eastAsia="Amazon Ember" w:cs="Amazon Ember" w:ascii="Amazon Ember" w:hAnsi="Amazon Ember"/>
          <w:b/>
          <w:bCs/>
          <w:color w:val="0000FF"/>
          <w:sz w:val="36"/>
          <w:szCs w:val="36"/>
        </w:rPr>
        <w:t>Neuseeland</w:t>
      </w:r>
      <w:bookmarkEnd w:id="22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Einwanderungsbehörden</w:t>
      </w:r>
    </w:p>
    <w:tbl>
      <w:tblPr>
        <w:tblW w:w="6480" w:type="dxa"/>
        <w:jc w:val="left"/>
        <w:tblInd w:w="0" w:type="dxa"/>
        <w:tblLayout w:type="fixed"/>
        <w:tblCellMar>
          <w:top w:w="50" w:type="dxa"/>
          <w:left w:w="80" w:type="dxa"/>
          <w:bottom w:w="50" w:type="dxa"/>
          <w:right w:w="80" w:type="dxa"/>
        </w:tblCellMar>
      </w:tblPr>
      <w:tblGrid>
        <w:gridCol w:w="3026"/>
        <w:gridCol w:w="2016"/>
        <w:gridCol w:w="1438"/>
      </w:tblGrid>
      <w:tr>
        <w:trPr>
          <w:tblHeader w:val="true"/>
          <w:cantSplit w:val="true"/>
        </w:trPr>
        <w:tc>
          <w:tcPr>
            <w:tcW w:w="3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Visakategorien, Gesundheitsanforderungen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immigration.govt.nz/new-zealand-visas/visas/visa/skilled-migrant-category-resident-visa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immigration.govt.nz/new-zealand-visas/visas/visa/accredited-employer-work-visa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 Job Check</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(Green List)</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bevorzugte Berufe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immigration.govt.nz/visas/germany-working-holiday-visa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immigration.govt.nz/assets/inz/documents/forms-and-guides/Fees-Guide-INZ-1028.pdf</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INZ 1028, vollständige Gebührentabelle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(Gesundheits- und Charakteranforderungen)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 und Charakteranforderungen, Führungszeugnisse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(SMC-Lohnschwellen)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SMC-Lohnschwellen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immigration.govt.nz/new-zealand-visas/visas/visa/partner-of-a-new-zealander-resident-visa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(Newsroom: Business Investor 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Entrepreneur-Kategorie geschlossen, Business Investor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immigration.govt.nz/new-zealand-visas/visas/visa/active-investor-plus-visa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 Category / Active Investor Plus</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immigration.govt.nz/new-zealand-visas/visas/visa/parent-resident-visa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Eltern-Kategorien, Parent Boost Visitor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workandincome.govt.nz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Superannuation, Direct Deduction Policy</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iaa.govt.nz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Advisers Authority, Register zugelassener Berater</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travellerdeclaration.govt.nz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mpi.govt.nz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Primary Industries, Biosecurity bei der Einreise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Grant: Voraussetzungen, Gebühren, Staatskundetest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Steuern und Sozialversicherung</w:t>
      </w:r>
    </w:p>
    <w:tbl>
      <w:tblPr>
        <w:tblW w:w="6480" w:type="dxa"/>
        <w:jc w:val="left"/>
        <w:tblInd w:w="0" w:type="dxa"/>
        <w:tblLayout w:type="fixed"/>
        <w:tblCellMar>
          <w:top w:w="50" w:type="dxa"/>
          <w:left w:w="80" w:type="dxa"/>
          <w:bottom w:w="50" w:type="dxa"/>
          <w:right w:w="80" w:type="dxa"/>
        </w:tblCellMar>
      </w:tblPr>
      <w:tblGrid>
        <w:gridCol w:w="1955"/>
        <w:gridCol w:w="2938"/>
        <w:gridCol w:w="1587"/>
      </w:tblGrid>
      <w:tr>
        <w:trPr>
          <w:tblHeader w:val="true"/>
          <w:cantSplit w:val="true"/>
        </w:trPr>
        <w:tc>
          <w:tcPr>
            <w:tcW w:w="19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Einkommensteuersätze, GST, Steuerresidenz, KiwiSaver</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Leistungen und Finanzierung der Unfallversicherung (ACC)</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centrix.co.nz, equifax.co.nz, illion.co.nz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und Score-Aufbau</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anz.co.nz, asb.co.nz, westpac.co.nz, bnz.co.nz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zu Kreditreports</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Gesundheit</w:t>
      </w:r>
    </w:p>
    <w:tbl>
      <w:tblPr>
        <w:tblW w:w="6480" w:type="dxa"/>
        <w:jc w:val="left"/>
        <w:tblInd w:w="0" w:type="dxa"/>
        <w:tblLayout w:type="fixed"/>
        <w:tblCellMar>
          <w:top w:w="50" w:type="dxa"/>
          <w:left w:w="80" w:type="dxa"/>
          <w:bottom w:w="50" w:type="dxa"/>
          <w:right w:w="80" w:type="dxa"/>
        </w:tblCellMar>
      </w:tblPr>
      <w:tblGrid>
        <w:gridCol w:w="2262"/>
        <w:gridCol w:w="2883"/>
        <w:gridCol w:w="1335"/>
      </w:tblGrid>
      <w:tr>
        <w:trPr>
          <w:tblHeader w:val="true"/>
          <w:cantSplit w:val="true"/>
        </w:trPr>
        <w:tc>
          <w:tcPr>
            <w:tcW w:w="2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health.govt.nz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Health, Aufbau des öffentlichen Gesundheitssystems</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 (Leistungen im Unfallfall)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ACC-Deckung, Earner’s Levy</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southerncross.co.nz, nib.co.nz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Krankenversicherungstarife für Neuankömmlinge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healthpoint.co.nz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von Hausarztpraxen und Gesundheitsdiensten nach Region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1737.org.nz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Beratung rund um die Uhr</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und Führerschein</w:t>
      </w:r>
    </w:p>
    <w:tbl>
      <w:tblPr>
        <w:tblW w:w="6480" w:type="dxa"/>
        <w:jc w:val="left"/>
        <w:tblInd w:w="0" w:type="dxa"/>
        <w:tblLayout w:type="fixed"/>
        <w:tblCellMar>
          <w:top w:w="50" w:type="dxa"/>
          <w:left w:w="80" w:type="dxa"/>
          <w:bottom w:w="50" w:type="dxa"/>
          <w:right w:w="80" w:type="dxa"/>
        </w:tblCellMar>
      </w:tblPr>
      <w:tblGrid>
        <w:gridCol w:w="2709"/>
        <w:gridCol w:w="2419"/>
        <w:gridCol w:w="1352"/>
      </w:tblGrid>
      <w:tr>
        <w:trPr>
          <w:tblHeader w:val="true"/>
          <w:cantSplit w:val="true"/>
        </w:trPr>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Mietrecht, Bond Hub</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Overseas Investment Act, „ordinarily resident“-Kriterien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reinz.co.nz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Kaufpreisberichte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naturalhazards.govt.nz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 Hazards Commission Toka Tū Ake, Erdbebenversicherung</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nzta.govt.nz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 Transport Agency Waka Kotahi: Führerschein-Umtausch, Verkehrsregeln, Geschwindigkeitskameras</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Automobile Association: Fahrzeugkauf, -prüfung, Umtauschstellen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Alkoholgrenzwerte und Verkehrssicherheit</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consumerprotection.govt.nz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Rechte beim Fahrzeugkauf</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(Verkehrsregeln)</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Verkehrsregeln, Bußgelder, Demeritpunkte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Recht und Sicherheit</w:t>
      </w:r>
    </w:p>
    <w:tbl>
      <w:tblPr>
        <w:tblW w:w="6480" w:type="dxa"/>
        <w:jc w:val="left"/>
        <w:tblInd w:w="0" w:type="dxa"/>
        <w:tblLayout w:type="fixed"/>
        <w:tblCellMar>
          <w:top w:w="50" w:type="dxa"/>
          <w:left w:w="80" w:type="dxa"/>
          <w:bottom w:w="50" w:type="dxa"/>
          <w:right w:w="80" w:type="dxa"/>
        </w:tblCellMar>
      </w:tblPr>
      <w:tblGrid>
        <w:gridCol w:w="2682"/>
        <w:gridCol w:w="2347"/>
        <w:gridCol w:w="1451"/>
      </w:tblGrid>
      <w:tr>
        <w:trPr>
          <w:tblHeader w:val="true"/>
          <w:cantSplit w:val="true"/>
        </w:trPr>
        <w:tc>
          <w:tcPr>
            <w:tcW w:w="2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(Verhalten bei Kontrollen)</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Polizeikontrollen, Notrufnummern</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firearmssafety.govt.nz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justice.govt.nz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 Reform,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drugfoundation.org.nz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Roadside Drug Testing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geonet.org.nz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Vulkan- und Tsunamiüberwachung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getready.govt.nz (auch civildefence.govt.nz)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Notfallvorsorge, Get Ready</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Bildung, Arbeit und Alltag</w:t>
      </w:r>
    </w:p>
    <w:tbl>
      <w:tblPr>
        <w:tblW w:w="6480" w:type="dxa"/>
        <w:jc w:val="left"/>
        <w:tblInd w:w="0" w:type="dxa"/>
        <w:tblLayout w:type="fixed"/>
        <w:tblCellMar>
          <w:top w:w="50" w:type="dxa"/>
          <w:left w:w="80" w:type="dxa"/>
          <w:bottom w:w="50" w:type="dxa"/>
          <w:right w:w="80" w:type="dxa"/>
        </w:tblCellMar>
      </w:tblPr>
      <w:tblGrid>
        <w:gridCol w:w="2522"/>
        <w:gridCol w:w="2400"/>
        <w:gridCol w:w="1558"/>
      </w:tblGrid>
      <w:tr>
        <w:trPr>
          <w:tblHeader w:val="true"/>
          <w:cantSplit w:val="true"/>
        </w:trPr>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Schulsystem, Term- und Ferientermine, ESOL-Förderung</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nzqa.govt.nz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Qualifications Authority, NCEA, Reformpläne ab 2028</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Act, Holidays Act, Musterverträge, 90-Day Trial Periods</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Authority, Verfahren bei Personal Grievance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(Trial Periods) Amendment Act 2023</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seek.co.nz, trademe.co.nz/jobs</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Stellenbörsen</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tpk.govt.nz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Puni Kōkiri, Te Ao Māori im Alltag und am Arbeitsplatz</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newzealand.govt.nz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Now, Einleben und Alltagskultur</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mch.govt.nz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Culture and Heritage, Vertrag von Waitangi, Te Reo Māori</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stats.govt.nz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 Herkunft und Lebensverhältnisse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plunket.org.nz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Krabbelgruppen und Familienangebote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fireandemergency.nz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Fire and Emergency New Zealand</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Wellington; wellington.diplo.de führt zu Botschaft und Honorarkonsuln.</w:t>
      </w:r>
    </w:p>
    <w:tbl>
      <w:tblPr>
        <w:tblW w:w="6480" w:type="dxa"/>
        <w:jc w:val="left"/>
        <w:tblInd w:w="0" w:type="dxa"/>
        <w:tblLayout w:type="fixed"/>
        <w:tblCellMar>
          <w:top w:w="50" w:type="dxa"/>
          <w:left w:w="80" w:type="dxa"/>
          <w:bottom w:w="50" w:type="dxa"/>
          <w:right w:w="80" w:type="dxa"/>
        </w:tblCellMar>
      </w:tblPr>
      <w:tblGrid>
        <w:gridCol w:w="2520"/>
        <w:gridCol w:w="2281"/>
        <w:gridCol w:w="1679"/>
      </w:tblGrid>
      <w:tr>
        <w:trPr>
          <w:tblHeader w:val="true"/>
          <w:cantSplit w:val="true"/>
        </w:trPr>
        <w:tc>
          <w:tcPr>
            <w:tcW w:w="2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wellington.diplo.de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Wellington und Honorarkonsulate, zuständige Vertretung finden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goethe.de/ins/nz</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Neuseeland, Standort Wellington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beziehungsweise bei der jeweiligen Referenz (Kanada, Australien, Neuseeland) und sollten vor jeder Entscheidung auf der Originalseite geprüft werden.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22" w:name="__RefHeading___Toc56652_3457424410"/>
      <w:bookmarkStart w:id="223" w:name="anhang_g"/>
      <w:bookmarkEnd w:id="222"/>
      <w:r>
        <w:rPr>
          <w:rFonts w:eastAsia="Amazon Ember" w:cs="Amazon Ember" w:ascii="Amazon Ember" w:hAnsi="Amazon Ember"/>
          <w:b/>
          <w:bCs/>
          <w:color w:val="0000FF"/>
          <w:sz w:val="36"/>
          <w:szCs w:val="36"/>
        </w:rPr>
        <w:t>Anhang G: Schnellfinder — Problem → Kapitel</w:t>
      </w:r>
      <w:bookmarkEnd w:id="2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eine konkrete Frage oder steckst mitten in einer Situation und willst schnell wissen, welches Kapitel weiterhilft? Diese Tabelle ordnet typische Leserfragen den passenden Kapiteln zu – zuerst für die USA, gegliedert nach den Phasen der Auswanderung von der ersten Entscheidung bis zur möglichen Rückkehr, danach kompakter für Kanada, Australien und Neuseeland.</w:t>
      </w:r>
      <w:r>
        <w:br w:type="page"/>
      </w:r>
    </w:p>
    <w:p>
      <w:pPr>
        <w:pStyle w:val="Heading2"/>
        <w:keepNext w:val="true"/>
        <w:spacing w:lineRule="exact" w:line="340" w:before="0" w:after="300"/>
        <w:jc w:val="center"/>
        <w:rPr/>
      </w:pPr>
      <w:bookmarkStart w:id="224" w:name="__RefHeading___Toc56654_3457424410"/>
      <w:bookmarkStart w:id="225" w:name="s106"/>
      <w:bookmarkEnd w:id="224"/>
      <w:r>
        <w:rPr>
          <w:rFonts w:eastAsia="Amazon Ember" w:cs="Amazon Ember" w:ascii="Amazon Ember" w:hAnsi="Amazon Ember"/>
          <w:b/>
          <w:bCs/>
          <w:color w:val="0000FF"/>
          <w:sz w:val="36"/>
          <w:szCs w:val="36"/>
        </w:rPr>
        <w:t>USA</w:t>
      </w:r>
      <w:bookmarkEnd w:id="22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w:t>
      </w:r>
    </w:p>
    <w:tbl>
      <w:tblPr>
        <w:tblW w:w="6480" w:type="dxa"/>
        <w:jc w:val="left"/>
        <w:tblInd w:w="0" w:type="dxa"/>
        <w:tblLayout w:type="fixed"/>
        <w:tblCellMar>
          <w:top w:w="50" w:type="dxa"/>
          <w:left w:w="80" w:type="dxa"/>
          <w:bottom w:w="50" w:type="dxa"/>
          <w:right w:w="80" w:type="dxa"/>
        </w:tblCellMar>
      </w:tblPr>
      <w:tblGrid>
        <w:gridCol w:w="4878"/>
        <w:gridCol w:w="1601"/>
      </w:tblGrid>
      <w:tr>
        <w:trPr>
          <w:tblHeader w:val="true"/>
          <w:cantSplit w:val="true"/>
        </w:trPr>
        <w:tc>
          <w:tcPr>
            <w:tcW w:w="48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aus den USA – welches Visum passt zu meiner Situation?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eigentlich der Unterschied zwischen einem Visum und meinem Aufenthaltsstatus?</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hoch sind meine Chancen, bei der H-1B-Lotterie gezogen zu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der Weg zur Green Card über meinen Arbeitgeber?</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Umweg über den H-1B, oder soll ich gleich auf die Green Card zielen?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erst in den USA studieren – wie komme ich danach in einen Job?</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Meine Firma hat eine US-Niederlassung – kann ich intern dorthin wechseln?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möchte mich mit eigenem Kapital in den USA selbständig machen – welches Visum passt?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Partner in den USA arbeiten?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unsere deutsche eingetragene Lebenspartnerschaft für ein Partnervisum?</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dem Status meiner Kinder, wenn sie 21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für das Visum-Interview persönlich zum Konsulat?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heraus, welche Stadt oder Region zu meinem Beruf passt?</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Bundesstaaten erheben keine Einkommensteuer?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als Neuankömmling ohne US-Kredithistorie eine Mietwohnung?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und Gebühren muss ich beim Einzug einplanen?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schütze ich mich vor Fake-Inseraten bei der Wohnungssuche?</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gleich nach der Ankunft ein Haus zu kaufen?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als Visuminhaber überhaupt eine Hypothek?</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mich der Hauskauf zusätzlich zum Kaufpreis?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w:t>
      </w:r>
    </w:p>
    <w:tbl>
      <w:tblPr>
        <w:tblW w:w="6480" w:type="dxa"/>
        <w:jc w:val="left"/>
        <w:tblInd w:w="0" w:type="dxa"/>
        <w:tblLayout w:type="fixed"/>
        <w:tblCellMar>
          <w:top w:w="50" w:type="dxa"/>
          <w:left w:w="80" w:type="dxa"/>
          <w:bottom w:w="50" w:type="dxa"/>
          <w:right w:w="80" w:type="dxa"/>
        </w:tblCellMar>
      </w:tblPr>
      <w:tblGrid>
        <w:gridCol w:w="5071"/>
        <w:gridCol w:w="1408"/>
      </w:tblGrid>
      <w:tr>
        <w:trPr>
          <w:tblHeader w:val="true"/>
          <w:cantSplit w:val="true"/>
        </w:trPr>
        <w:tc>
          <w:tcPr>
            <w:tcW w:w="5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spricht wirklich für und was gegen ein Leben in den USA?</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teuren Fehler machen andere beim Umzug in die USA am häufigsten?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Umzug für mich finanziell überhaupt?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welcher Reihenfolge plane ich Visum, Wohnungskündigung und Umzug?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melde mich beim Einwohnermeldeamt ab – was muss ich sonst noch kündigen?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meinem Kindergeld, wenn ich auswandere?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 ich nach dem Wegzug noch in Deutschland besteuert?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meiner Riester-Rente?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Sollte ich mein deutsches Aktien- oder ETF-Depot vor dem Umzug auflösen?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endet meine gesetzliche Krankenversicherung in Deutschland?</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für die Lücke zwischen den beiden Versicherungen eine Auslandskrankenversicherung?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 Zeugnisse und Diplome übersetzen oder mit Apostille versehen lassen?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lasse ich meinen ausländischen Studienabschluss für die USA bewerten?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w:t>
      </w:r>
    </w:p>
    <w:tbl>
      <w:tblPr>
        <w:tblW w:w="6480" w:type="dxa"/>
        <w:jc w:val="left"/>
        <w:tblInd w:w="0" w:type="dxa"/>
        <w:tblLayout w:type="fixed"/>
        <w:tblCellMar>
          <w:top w:w="50" w:type="dxa"/>
          <w:left w:w="80" w:type="dxa"/>
          <w:bottom w:w="50" w:type="dxa"/>
          <w:right w:w="80" w:type="dxa"/>
        </w:tblCellMar>
      </w:tblPr>
      <w:tblGrid>
        <w:gridCol w:w="4773"/>
        <w:gridCol w:w="1706"/>
      </w:tblGrid>
      <w:tr>
        <w:trPr>
          <w:tblHeader w:val="true"/>
          <w:cantSplit w:val="true"/>
        </w:trPr>
        <w:tc>
          <w:tcPr>
            <w:tcW w:w="4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Luftfracht oder doch nur Koffer – was lohnt sich für meinen Umzug?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mein Arbeitgeber den Umzug, und muss ich das versteuern?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darf ich zollfrei in die USA mitbringen?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Möbel und Geräte nehme ich mit, was kaufe ich lieber neu?</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Funktionieren meine deutschen Elektrogeräte an der US-Steckdose?</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kostet es, eine Wohnung in den USA neu einzurichten?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bekomme ich meinen Hund oder meine Katze legal in die USA?</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mein Hund für die Einreise eine Tollwutimpfung?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w:t>
      </w:r>
    </w:p>
    <w:tbl>
      <w:tblPr>
        <w:tblW w:w="6480" w:type="dxa"/>
        <w:jc w:val="left"/>
        <w:tblInd w:w="0" w:type="dxa"/>
        <w:tblLayout w:type="fixed"/>
        <w:tblCellMar>
          <w:top w:w="50" w:type="dxa"/>
          <w:left w:w="80" w:type="dxa"/>
          <w:bottom w:w="50" w:type="dxa"/>
          <w:right w:w="80" w:type="dxa"/>
        </w:tblCellMar>
      </w:tblPr>
      <w:tblGrid>
        <w:gridCol w:w="4863"/>
        <w:gridCol w:w="1616"/>
      </w:tblGrid>
      <w:tr>
        <w:trPr>
          <w:tblHeader w:val="true"/>
          <w:cantSplit w:val="true"/>
        </w:trPr>
        <w:tc>
          <w:tcPr>
            <w:tcW w:w="4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72 Stunden nach der Landung erledigen?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beantrage ich meine Social Security Number?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bekomme keine SSN – wie melde ich trotzdem meine Steuern an?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Bankkonto ohne SSN oder US-Kredithistorie?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US-Kreditwürdigkeit auf?</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die Krankenversicherung über meinen neuen Arbeitgeber?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Fieber – Hausarzt, Urgent Care oder Notaufnahme?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noch mit meinem deutschen Führerschein fahren?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kaufe ich mein erstes Auto in den USA?</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mein Auto aus Deutschland mitzubringen?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w:t>
      </w:r>
    </w:p>
    <w:tbl>
      <w:tblPr>
        <w:tblW w:w="6480" w:type="dxa"/>
        <w:jc w:val="left"/>
        <w:tblInd w:w="0" w:type="dxa"/>
        <w:tblLayout w:type="fixed"/>
        <w:tblCellMar>
          <w:top w:w="50" w:type="dxa"/>
          <w:left w:w="80" w:type="dxa"/>
          <w:bottom w:w="50" w:type="dxa"/>
          <w:right w:w="80" w:type="dxa"/>
        </w:tblCellMar>
      </w:tblPr>
      <w:tblGrid>
        <w:gridCol w:w="4909"/>
        <w:gridCol w:w="1570"/>
      </w:tblGrid>
      <w:tr>
        <w:trPr>
          <w:tblHeader w:val="true"/>
          <w:cantSplit w:val="true"/>
        </w:trPr>
        <w:tc>
          <w:tcPr>
            <w:tcW w:w="4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5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meine Steuererklärung in den USA?</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FBAR, und muss ich mein deutsches Konto beim Finanzamt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Arbeitgeber mir wirklich ohne Grund kündigen?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den USA eigentlich zu?</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schreibe ich eine Bewerbung nach US-Standard?</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Arbeitgeber hat mir gekündigt, was jetzt?</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zu einem anderen Arbeitgeber wechseln, ohne meinen Status zu gefährden?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ziehe innerhalb der USA um – muss ich das irgendwo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ein Jobwechsel mein laufendes Green-Card-Verfahren?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w:t>
      </w:r>
    </w:p>
    <w:tbl>
      <w:tblPr>
        <w:tblW w:w="6480" w:type="dxa"/>
        <w:jc w:val="left"/>
        <w:tblInd w:w="0" w:type="dxa"/>
        <w:tblLayout w:type="fixed"/>
        <w:tblCellMar>
          <w:top w:w="50" w:type="dxa"/>
          <w:left w:w="80" w:type="dxa"/>
          <w:bottom w:w="50" w:type="dxa"/>
          <w:right w:w="80" w:type="dxa"/>
        </w:tblCellMar>
      </w:tblPr>
      <w:tblGrid>
        <w:gridCol w:w="4703"/>
        <w:gridCol w:w="1776"/>
      </w:tblGrid>
      <w:tr>
        <w:trPr>
          <w:tblHeader w:val="true"/>
          <w:cantSplit w:val="true"/>
        </w:trPr>
        <w:tc>
          <w:tcPr>
            <w:tcW w:w="4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Trinkgeld gebe ich im Restaurant?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begrüßt mich hier jeder mit einer Frage, auf die niemand eine Antwort erwartet?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welche Themen sollte ich bei Fremden lieber schweigen?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einem neuen Land überhaupt Freunde?</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lädt mich niemand spontan nach Feierabend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fühle mich seit Monaten fremd und unglücklich – ist das normal?</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wen wende ich mich, wenn es mir psychisch richtig schlecht geht?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mir für den Job einen Anzug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 kaufe ich günstig Lebensmittel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ich in den USA Alkohol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die richtige Schule für mein Kind?</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ein US-Schulabschluss mit dem deutschen Abitur vergleichbar?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Kind spricht kaum Englisch – bekommt es in der Schule Unterstützung?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halte ich Deutsch als Familiensprache am Leben?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Unser Kind wird in den USA geboren – welchen Pass bekommt es?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eine Geburt in einem US-Krankenhaus?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Kinderbetreuung in den USA?</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mein Kind allein zu Hause bleiben?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Langfristig</w:t>
      </w:r>
    </w:p>
    <w:tbl>
      <w:tblPr>
        <w:tblW w:w="6480" w:type="dxa"/>
        <w:jc w:val="left"/>
        <w:tblInd w:w="0" w:type="dxa"/>
        <w:tblLayout w:type="fixed"/>
        <w:tblCellMar>
          <w:top w:w="50" w:type="dxa"/>
          <w:left w:w="80" w:type="dxa"/>
          <w:bottom w:w="50" w:type="dxa"/>
          <w:right w:w="80" w:type="dxa"/>
        </w:tblCellMar>
      </w:tblPr>
      <w:tblGrid>
        <w:gridCol w:w="4841"/>
        <w:gridCol w:w="1638"/>
      </w:tblGrid>
      <w:tr>
        <w:trPr>
          <w:tblHeader w:val="true"/>
          <w:cantSplit w:val="true"/>
        </w:trPr>
        <w:tc>
          <w:tcPr>
            <w:tcW w:w="48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später überhaupt eine US-Rente, wenn ich nicht lange genug arbeite?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in den USA ein Testament?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mit meinem 401(k), wenn ich den Job wechsle?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Trunkenheit am Steuer meinen Aufenthaltsstatus?</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Visuminhaber eine Waffe besitzen?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anhält?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muss ich die Green Card haben, bevor ich mich einbürgern lassen kann?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US-Bürger werde?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vor einer Rückkehr nach Deutschland alles regeln?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6" w:name="__RefHeading___Toc56656_3457424410"/>
      <w:bookmarkStart w:id="227" w:name="s107"/>
      <w:bookmarkEnd w:id="226"/>
      <w:r>
        <w:rPr>
          <w:rFonts w:eastAsia="Amazon Ember" w:cs="Amazon Ember" w:ascii="Amazon Ember" w:hAnsi="Amazon Ember"/>
          <w:b/>
          <w:bCs/>
          <w:color w:val="0000FF"/>
          <w:sz w:val="36"/>
          <w:szCs w:val="36"/>
        </w:rPr>
        <w:t>Kanada</w:t>
      </w:r>
      <w:bookmarkEnd w:id="2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Kanada reicht ein kompakterer Überblick als für die USA. Die folgenden rund 30 Fragen ordnen sich entlang des Kanada-Teils, von der Einwanderung bis zur Einbürgerung.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 und Visum</w:t>
      </w:r>
    </w:p>
    <w:tbl>
      <w:tblPr>
        <w:tblW w:w="6480" w:type="dxa"/>
        <w:jc w:val="left"/>
        <w:tblInd w:w="0" w:type="dxa"/>
        <w:tblLayout w:type="fixed"/>
        <w:tblCellMar>
          <w:top w:w="50" w:type="dxa"/>
          <w:left w:w="80" w:type="dxa"/>
          <w:bottom w:w="50" w:type="dxa"/>
          <w:right w:w="80" w:type="dxa"/>
        </w:tblCellMar>
      </w:tblPr>
      <w:tblGrid>
        <w:gridCol w:w="3963"/>
        <w:gridCol w:w="2516"/>
      </w:tblGrid>
      <w:tr>
        <w:trPr>
          <w:tblHeader w:val="true"/>
          <w:cantSplit w:val="true"/>
        </w:trPr>
        <w:tc>
          <w:tcPr>
            <w:tcW w:w="3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5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Kanada finanziell für mich, wenn ich Steuerkeil und Lebenshaltungskosten mit Deutschland vergleiche?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Die ehrliche Bilanz</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Express Entry und einem Provincial Nominee Program?</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berechne ich meinen CRS-Score realistisch, und bringt mir ein Jobangebot noch Zusatzpunkte?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Der Arbeitsweg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bedeutet LMIA-pflichtig, und wie unterscheidet es sich von LMIA-frei?</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oder Großeltern über das Super Visa nach Kanada holen?</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 Investor, Ruhestand</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Antrag auf die permanente Aufenthaltserlaubnis für meine ganze Familie, und brauche ich für mein Führungszeugnis eine Apostille?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Ankunft und Geld</w:t>
      </w:r>
    </w:p>
    <w:tbl>
      <w:tblPr>
        <w:tblW w:w="6480" w:type="dxa"/>
        <w:jc w:val="left"/>
        <w:tblInd w:w="0" w:type="dxa"/>
        <w:tblLayout w:type="fixed"/>
        <w:tblCellMar>
          <w:top w:w="50" w:type="dxa"/>
          <w:left w:w="80" w:type="dxa"/>
          <w:bottom w:w="50" w:type="dxa"/>
          <w:right w:w="80" w:type="dxa"/>
        </w:tblCellMar>
      </w:tblPr>
      <w:tblGrid>
        <w:gridCol w:w="3547"/>
        <w:gridCol w:w="2932"/>
      </w:tblGrid>
      <w:tr>
        <w:trPr>
          <w:tblHeader w:val="true"/>
          <w:cantSplit w:val="true"/>
        </w:trPr>
        <w:tc>
          <w:tcPr>
            <w:tcW w:w="3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Social Insurance Number?</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kanadisches Bankkonto schon vor der Ausreise?</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kanadische Kreditwürdigkeit auf, wenn meine Schufa nicht zählt?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zahle ich in manchen Provinzen keine Verkaufssteuer und in anderen 15 %?</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bin ich in meiner Provinz krankenversichert, und wo gibt es eine Wartefrist?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deckt die provinzielle Krankenversicherung nicht ab, und wie finde ich einen Hausarzt?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Führerschein und Verkehr</w:t>
      </w:r>
    </w:p>
    <w:tbl>
      <w:tblPr>
        <w:tblW w:w="6480" w:type="dxa"/>
        <w:jc w:val="left"/>
        <w:tblInd w:w="0" w:type="dxa"/>
        <w:tblLayout w:type="fixed"/>
        <w:tblCellMar>
          <w:top w:w="50" w:type="dxa"/>
          <w:left w:w="80" w:type="dxa"/>
          <w:bottom w:w="50" w:type="dxa"/>
          <w:right w:w="80" w:type="dxa"/>
        </w:tblCellMar>
      </w:tblPr>
      <w:tblGrid>
        <w:gridCol w:w="4048"/>
        <w:gridCol w:w="2431"/>
      </w:tblGrid>
      <w:tr>
        <w:trPr>
          <w:tblHeader w:val="true"/>
          <w:cantSplit w:val="true"/>
        </w:trPr>
        <w:tc>
          <w:tcPr>
            <w:tcW w:w="4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darf mein Vermieter verlangen?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Neuankömmling ohne Permanent-Resident-Status überhaupt eine Immobilie kaufen?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und Budget – Toronto, Calgary oder Montréal?</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mit meinem deutschen Führerschein in Kanada weiterfahren?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meine Kfz-Versicherung in Ontario so viel teurer als in Québec?</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Gilt in ganz Kanada Rechtsabbiegen bei Rot?</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Alltag und Kinder</w:t>
      </w:r>
    </w:p>
    <w:tbl>
      <w:tblPr>
        <w:tblW w:w="6480" w:type="dxa"/>
        <w:jc w:val="left"/>
        <w:tblInd w:w="0" w:type="dxa"/>
        <w:tblLayout w:type="fixed"/>
        <w:tblCellMar>
          <w:top w:w="50" w:type="dxa"/>
          <w:left w:w="80" w:type="dxa"/>
          <w:bottom w:w="50" w:type="dxa"/>
          <w:right w:w="80" w:type="dxa"/>
        </w:tblCellMar>
      </w:tblPr>
      <w:tblGrid>
        <w:gridCol w:w="3545"/>
        <w:gridCol w:w="2934"/>
      </w:tblGrid>
      <w:tr>
        <w:trPr>
          <w:tblHeader w:val="true"/>
          <w:cantSplit w:val="true"/>
        </w:trPr>
        <w:tc>
          <w:tcPr>
            <w:tcW w:w="35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entschuldigt sich in Kanada jeder ständig, auch wenn er gar nichts falsch gemacht hat?</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meine Familie in Québec zwingend Französisch lernen?</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Kanada schnell Anschluss und Freunde?</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überstehe ich den ersten kanadischen Winter psychisch?</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Kanada wirklich kostenlos?</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French Immersion, und lohnt sie sich für mein Kind?</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Arbeiten, Recht und Langfristig</w:t>
      </w:r>
    </w:p>
    <w:tbl>
      <w:tblPr>
        <w:tblW w:w="6480" w:type="dxa"/>
        <w:jc w:val="left"/>
        <w:tblInd w:w="0" w:type="dxa"/>
        <w:tblLayout w:type="fixed"/>
        <w:tblCellMar>
          <w:top w:w="50" w:type="dxa"/>
          <w:left w:w="80" w:type="dxa"/>
          <w:bottom w:w="50" w:type="dxa"/>
          <w:right w:w="80" w:type="dxa"/>
        </w:tblCellMar>
      </w:tblPr>
      <w:tblGrid>
        <w:gridCol w:w="3199"/>
        <w:gridCol w:w="3280"/>
      </w:tblGrid>
      <w:tr>
        <w:trPr>
          <w:tblHeader w:val="true"/>
          <w:cantSplit w:val="true"/>
        </w:trPr>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Kanada gesetzlich zu?</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mein Arbeitgeber mir ohne Grund kündigen, und wie wechsle ich mit einem LMIA-pflichtigen Work Permit den Arbeitgeber?</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verhalte ich mich bei einer Verkehrskontrolle durch die Polizei?</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Kanada wirklich überall legal?</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Kanada einbürgern lassen kann?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Kanadier werde, und muss ich nach einer Rückkehr weiter kanadische Steuern zahlen?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8" w:name="__RefHeading___Toc56658_3457424410"/>
      <w:bookmarkStart w:id="229" w:name="s108"/>
      <w:bookmarkEnd w:id="228"/>
      <w:r>
        <w:rPr>
          <w:rFonts w:eastAsia="Amazon Ember" w:cs="Amazon Ember" w:ascii="Amazon Ember" w:hAnsi="Amazon Ember"/>
          <w:b/>
          <w:bCs/>
          <w:color w:val="0000FF"/>
          <w:sz w:val="36"/>
          <w:szCs w:val="36"/>
        </w:rPr>
        <w:t>Australien</w:t>
      </w:r>
      <w:bookmarkEnd w:id="22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 und Visum</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Australien finanziell für mich, und wie stark unterscheidet sich der Steuerkeil von Deutschland?</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Die ehrliche Bilanz</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der Punktetest für ein Skilled-Visum, und wie viele Punkte brauche ich realistisch?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Der Arbeitsweg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ist der Punktetest-Weg für mich verschlossen?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Subclass 189, 190 und einem Arbeitgeber-Sponsoring über Subclass 482?</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nach Australien nachholen, und wie lange dauert das?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 Investor, Ruhestand</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wozu brauche ich eine Apostille für mein Führungszeugnis?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Ankunft und Geld</w:t>
      </w:r>
    </w:p>
    <w:tbl>
      <w:tblPr>
        <w:tblW w:w="6480" w:type="dxa"/>
        <w:jc w:val="left"/>
        <w:tblInd w:w="0" w:type="dxa"/>
        <w:tblLayout w:type="fixed"/>
        <w:tblCellMar>
          <w:top w:w="50" w:type="dxa"/>
          <w:left w:w="80" w:type="dxa"/>
          <w:bottom w:w="50" w:type="dxa"/>
          <w:right w:w="80" w:type="dxa"/>
        </w:tblCellMar>
      </w:tblPr>
      <w:tblGrid>
        <w:gridCol w:w="3512"/>
        <w:gridCol w:w="2967"/>
      </w:tblGrid>
      <w:tr>
        <w:trPr>
          <w:tblHeader w:val="true"/>
          <w:cantSplit w:val="true"/>
        </w:trPr>
        <w:tc>
          <w:tcPr>
            <w:tcW w:w="35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Tax File Number?</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 erste Wochen</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Tax File Number fast die Hälfte meines Lohns abgezogen?</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australisches Bankkonto, und wie baue ich mir eine Kreditwürdigkeit auf?</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Stimmt es, dass ich als Deutscher keinen automatischen Zugang zu Medicare habe?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Medicare und einer privaten Krankenversicherung (OVHC), und wann brauche ich welche?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Medicare Levy Surcharge, und wann betrifft sie mich?</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Führerschein und Verkehr</w:t>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eine Bestandsimmobilie in Australien kaufen?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 Sydney, Melbourne, Perth oder Brisbane?</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bei einer RBT-Kontrolle (Random Breath Testing), und muss ich da wirklich mitmachen?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Alltag und Kinder</w:t>
      </w:r>
    </w:p>
    <w:tbl>
      <w:tblPr>
        <w:tblW w:w="6480" w:type="dxa"/>
        <w:jc w:val="left"/>
        <w:tblInd w:w="0" w:type="dxa"/>
        <w:tblLayout w:type="fixed"/>
        <w:tblCellMar>
          <w:top w:w="50" w:type="dxa"/>
          <w:left w:w="80" w:type="dxa"/>
          <w:bottom w:w="50" w:type="dxa"/>
          <w:right w:w="80" w:type="dxa"/>
        </w:tblCellMar>
      </w:tblPr>
      <w:tblGrid>
        <w:gridCol w:w="3770"/>
        <w:gridCol w:w="2709"/>
      </w:tblGrid>
      <w:tr>
        <w:trPr>
          <w:tblHeader w:val="true"/>
          <w:cantSplit w:val="true"/>
        </w:trPr>
        <w:tc>
          <w:tcPr>
            <w:tcW w:w="37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nennt mich hier jeder „mate“, und heißt das schon, dass wir befreundet sind?</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unterscheidet sich der australische Kommunikationsstil vom deutschen, direkten Ton?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Australien schnell Anschluss und Freunde?</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großen Entfernung und der fehlenden Möglichkeit für spontane Heimatbesuche um?</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Australien wirklich kostenlos, und wie funktioniert die Schulzuteilung?</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australische Schuljahr im Sommer, und was bedeutet das für unseren Umzugstermin?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Arbeiten, Recht und Langfristig</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Australien gesetzlich zu?</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Subclass-482-Arbeitsvisum den Arbeitgeber, ohne meinen Status zu gefährden?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ohne Anlass zu einer Kontrolle anhält?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Australien legal, wenn ich ein ärztliches Rezept habe?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Australien einbürgern lassen kann?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Australier werde, und muss ich nach einer Rückkehr weiter australische Steuern zahlen?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30" w:name="__RefHeading___Toc56660_3457424410"/>
      <w:bookmarkStart w:id="231" w:name="s109"/>
      <w:bookmarkEnd w:id="230"/>
      <w:r>
        <w:rPr>
          <w:rFonts w:eastAsia="Amazon Ember" w:cs="Amazon Ember" w:ascii="Amazon Ember" w:hAnsi="Amazon Ember"/>
          <w:b/>
          <w:bCs/>
          <w:color w:val="0000FF"/>
          <w:sz w:val="36"/>
          <w:szCs w:val="36"/>
        </w:rPr>
        <w:t>Neuseeland</w:t>
      </w:r>
      <w:bookmarkEnd w:id="23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 und Visum</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Neuseeland finanziell für mich, und wie niedrig ist der Steuerkeil wirklich?</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Die ehrliche Bilanz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der Skilled Migrant Category (SMC) und dem Accredited Employer Work Visa (AEWV)?</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Green List, und wie verkürzt sie meinen Weg zur Residency?</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viele Punkte brauche ich für die SMC, und wie werden sie berechnet?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Der Arbeitsweg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Gibt es für Neuseeland einen Ruhestandsweg ohne bereits dort lebendes Kind?</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 Investor, Ruhestand</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brauche ich für mein Führungszeugnis eine Apostille?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Ankunft und Geld</w:t>
      </w:r>
    </w:p>
    <w:tbl>
      <w:tblPr>
        <w:tblW w:w="6480" w:type="dxa"/>
        <w:jc w:val="left"/>
        <w:tblInd w:w="0" w:type="dxa"/>
        <w:tblLayout w:type="fixed"/>
        <w:tblCellMar>
          <w:top w:w="50" w:type="dxa"/>
          <w:left w:w="80" w:type="dxa"/>
          <w:bottom w:w="50" w:type="dxa"/>
          <w:right w:w="80" w:type="dxa"/>
        </w:tblCellMar>
      </w:tblPr>
      <w:tblGrid>
        <w:gridCol w:w="3457"/>
        <w:gridCol w:w="3022"/>
      </w:tblGrid>
      <w:tr>
        <w:trPr>
          <w:tblHeader w:val="true"/>
          <w:cantSplit w:val="true"/>
        </w:trPr>
        <w:tc>
          <w:tcPr>
            <w:tcW w:w="34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IRD-Nummer?</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 erste Wochen</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IRD-Nummer ein sehr hoher Steuersatz auf mein Gehalt abgezogen?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neuseeländisches Bankkonto, und wie baue ich mir eine Kreditwürdigkeit auf?</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habe ich Zugang zum öffentlichen Gesundheitssystem, und stimmt es, dass mein Visum mindestens zwei Jahre laufen muss?</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ACC, und warum kann ich nach einem Unfall niemanden auf Schadensersatz verklagen?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kann ich der Altersvorsorge KiwiSaver beitreten?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Führerschein und Verkehr</w:t>
      </w:r>
    </w:p>
    <w:tbl>
      <w:tblPr>
        <w:tblW w:w="6480" w:type="dxa"/>
        <w:jc w:val="left"/>
        <w:tblInd w:w="0" w:type="dxa"/>
        <w:tblLayout w:type="fixed"/>
        <w:tblCellMar>
          <w:top w:w="50" w:type="dxa"/>
          <w:left w:w="80" w:type="dxa"/>
          <w:bottom w:w="50" w:type="dxa"/>
          <w:right w:w="80" w:type="dxa"/>
        </w:tblCellMar>
      </w:tblPr>
      <w:tblGrid>
        <w:gridCol w:w="3416"/>
        <w:gridCol w:w="3063"/>
      </w:tblGrid>
      <w:tr>
        <w:trPr>
          <w:tblHeader w:val="true"/>
          <w:cantSplit w:val="true"/>
        </w:trPr>
        <w:tc>
          <w:tcPr>
            <w:tcW w:w="3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 Haus in Neuseeland kaufen?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Region passt zu meinem Beruf – Auckland, Wellington oder Christchurch?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hat es mit den einspurigen Brücken und unbefestigten Straßen auf sich?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Alltag und Kinder</w:t>
      </w:r>
    </w:p>
    <w:tbl>
      <w:tblPr>
        <w:tblW w:w="6480" w:type="dxa"/>
        <w:jc w:val="left"/>
        <w:tblInd w:w="0" w:type="dxa"/>
        <w:tblLayout w:type="fixed"/>
        <w:tblCellMar>
          <w:top w:w="50" w:type="dxa"/>
          <w:left w:w="80" w:type="dxa"/>
          <w:bottom w:w="50" w:type="dxa"/>
          <w:right w:w="80" w:type="dxa"/>
        </w:tblCellMar>
      </w:tblPr>
      <w:tblGrid>
        <w:gridCol w:w="3667"/>
        <w:gridCol w:w="2812"/>
      </w:tblGrid>
      <w:tr>
        <w:trPr>
          <w:tblHeader w:val="true"/>
          <w:cantSplit w:val="true"/>
        </w:trPr>
        <w:tc>
          <w:tcPr>
            <w:tcW w:w="3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informell ist der Umgangston in Neuseeland wirklich, und darf ich meinen Chef beim Vornamen nennen?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über Te Ao Māori und Begrüßungen wie „Kia ora“ wissen?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Neuseeland schnell Anschluss und Freunde?</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größten Entfernung und Zeitverschiebung aller vier Länder um?</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Neuseeland wirklich kostenlos?</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neuseeländische Schuljahr im Sommer, und was bedeutet das für unseren Umzugstermin?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Arbeiten, Recht und Langfristig</w:t>
      </w:r>
    </w:p>
    <w:tbl>
      <w:tblPr>
        <w:tblW w:w="6480" w:type="dxa"/>
        <w:jc w:val="left"/>
        <w:tblInd w:w="0" w:type="dxa"/>
        <w:tblLayout w:type="fixed"/>
        <w:tblCellMar>
          <w:top w:w="50" w:type="dxa"/>
          <w:left w:w="80" w:type="dxa"/>
          <w:bottom w:w="50" w:type="dxa"/>
          <w:right w:w="80" w:type="dxa"/>
        </w:tblCellMar>
      </w:tblPr>
      <w:tblGrid>
        <w:gridCol w:w="3344"/>
        <w:gridCol w:w="3135"/>
      </w:tblGrid>
      <w:tr>
        <w:trPr>
          <w:tblHeader w:val="true"/>
          <w:cantSplit w:val="true"/>
        </w:trPr>
        <w:tc>
          <w:tcPr>
            <w:tcW w:w="33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Neuseeland gesetzlich zu, und was hat es mit der 90-Tage-Probezeit auf sich?</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AEWV den Arbeitgeber, ohne meinen Status zu gefährden?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die neuseeländische Polizei unbewaffnet, und wie verhalte ich mich bei einer Kontrolle?</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ernst muss ich das Erdbebenrisiko nehmen, und was deckt die staatliche Erdbebenversicherung ab?</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Neuseeland einbürgern lassen kann?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Neuseeländer werde, und muss ich nach einer Rückkehr weiter neuseeländische Steuern zahlen?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Kapitelnummern und -zuordnungen können sich bis zur Veröffentlichung noch leicht verschieben; prüfe bei Unstimmigkeiten das Inhaltsverzeichnis.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2" w:name="__RefHeading___Toc56662_3457424410"/>
      <w:bookmarkStart w:id="233" w:name="s110"/>
      <w:bookmarkEnd w:id="232"/>
      <w:r>
        <w:rPr>
          <w:rFonts w:eastAsia="Amazon Ember" w:cs="Amazon Ember" w:ascii="Amazon Ember" w:hAnsi="Amazon Ember"/>
          <w:b/>
          <w:bCs/>
          <w:color w:val="0000FF"/>
          <w:sz w:val="36"/>
          <w:szCs w:val="36"/>
        </w:rPr>
        <w:t>Über den Autor</w:t>
      </w:r>
      <w:bookmarkEnd w:id="2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Lothar J. Musiol hat an der Hochschule für angewandte Wissenschaften München studiert und mehr als vierzig Jahre in der Halbleiterindustrie gearbeitet: zuerst bei dem größten Unternehmen der Branche, das Deutschland zu bieten hatte, dann bei einer Reihe amerikanischer Start-ups, wo die Erkenntnisse schneller kamen als die Arbeitsplatzsicherheit. Nebenbei hat er Physik studiert, ernsthaft genug, um genau zu wissen, wie viel er in seinen Büchern vereinfacht und wie viel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doppelte Staatsbürgerschaft, sinnvoll eingesetzt, erlaubt ihm heute, seine Zeit zwischen San Clemente in Kalifornien und Passau in Bayern zu teilen. Dort beginnt Österreich direkt am Gartenzaun, und zum Haushalt gehören eine verheiratete Tochter, ein mürrischer Teacup-Pomeranian und elf Hühner unterschiedlicher Größe und unterschiedlichen Alters, aufgeführt in der Reihenfolge ihres Dienstalters und nicht ihrer Lautstärke.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 schreibt, um komplizierte Dinge klarer und ansprechender zu machen, ohne sie jemals einfacher darzustellen, als sie tatsächlich sind.</w:t>
      </w:r>
      <w:r>
        <w:br w:type="page"/>
      </w:r>
    </w:p>
    <w:p>
      <w:pPr>
        <w:pStyle w:val="Heading2"/>
        <w:keepNext w:val="true"/>
        <w:spacing w:lineRule="exact" w:line="340" w:before="0" w:after="300"/>
        <w:jc w:val="center"/>
        <w:rPr/>
      </w:pPr>
      <w:bookmarkStart w:id="234" w:name="__RefHeading___Toc56664_3457424410"/>
      <w:bookmarkStart w:id="235" w:name="s111"/>
      <w:bookmarkEnd w:id="234"/>
      <w:r>
        <w:rPr>
          <w:rFonts w:eastAsia="Amazon Ember" w:cs="Amazon Ember" w:ascii="Amazon Ember" w:hAnsi="Amazon Ember"/>
          <w:b/>
          <w:bCs/>
          <w:color w:val="0000FF"/>
          <w:sz w:val="36"/>
          <w:szCs w:val="36"/>
        </w:rPr>
        <w:t>Eine kleine Bitte</w:t>
      </w:r>
      <w:bookmarkEnd w:id="2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dir dieses Buch bei einer der größten Entscheidungen deines Lebens geholfen hat, ist das Beste, was du dafür tun kannst, eine Rezension dort zu hinterlassen, wo du es gekauft hast. Rezensionen sind der Weg, auf dem Bücher wie dieses, dicht, konkret und nicht auf den schnellen Effekt angelegt, die Menschen finden, die genau danach suchen.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Satz genügt. Zum Beispiel: Was hat dir am meisten Zeit oder Geld gespart?</w:t>
      </w:r>
      <w:r>
        <w:br w:type="page"/>
      </w:r>
    </w:p>
    <w:p>
      <w:pPr>
        <w:pStyle w:val="Heading2"/>
        <w:keepNext w:val="true"/>
        <w:spacing w:lineRule="exact" w:line="340" w:before="0" w:after="300"/>
        <w:jc w:val="center"/>
        <w:rPr/>
      </w:pPr>
      <w:bookmarkStart w:id="236" w:name="__RefHeading___Toc56666_3457424410"/>
      <w:bookmarkStart w:id="237" w:name="s112"/>
      <w:bookmarkEnd w:id="236"/>
      <w:r>
        <w:rPr>
          <w:rFonts w:eastAsia="Amazon Ember" w:cs="Amazon Ember" w:ascii="Amazon Ember" w:hAnsi="Amazon Ember"/>
          <w:b/>
          <w:bCs/>
          <w:color w:val="0000FF"/>
          <w:sz w:val="36"/>
          <w:szCs w:val="36"/>
        </w:rPr>
        <w:t>Weitere Bücher des Autors</w:t>
      </w:r>
      <w:bookmarkEnd w:id="2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mehr lesen möchtest, hier ein Regal vom selben Autor, in der Richtung, in die dich deine Neugier als Nächstes führt. Die folgenden Titel sind auf Englisch erschienen.</w:t>
      </w:r>
    </w:p>
    <w:p>
      <w:pPr>
        <w:pStyle w:val="Normal"/>
        <w:keepNext w:val="false"/>
        <w:keepLines w:val="false"/>
        <w:spacing w:lineRule="exact" w:line="288" w:before="0" w:after="140"/>
        <w:jc w:val="left"/>
        <w:rPr/>
      </w:pPr>
      <w:r>
        <w:rPr>
          <w:rFonts w:eastAsia="Cambria" w:cs="Cambria"/>
          <w:b/>
          <w:bCs/>
          <w:i w:val="false"/>
          <w:iCs w:val="false"/>
          <w:sz w:val="22"/>
          <w:szCs w:val="22"/>
        </w:rPr>
        <w:t>Wissenschaft für alle.</w:t>
      </w:r>
      <w:r>
        <w:rPr>
          <w:rFonts w:eastAsia="Cambria" w:cs="Cambria"/>
          <w:b w:val="false"/>
          <w:bCs w:val="false"/>
          <w:i w:val="false"/>
          <w:iCs w:val="false"/>
          <w:sz w:val="22"/>
          <w:szCs w:val="22"/>
        </w:rPr>
        <w:t xml:space="preserve"> </w:t>
      </w:r>
      <w:r>
        <w:rPr>
          <w:rFonts w:eastAsia="Cambria" w:cs="Cambria"/>
          <w:b w:val="false"/>
          <w:bCs w:val="false"/>
          <w:i/>
          <w:iCs/>
          <w:sz w:val="22"/>
          <w:szCs w:val="22"/>
        </w:rPr>
        <w:t>The Quantum World</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1 — Motion, Forces, Time, and Relativity</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2 — Gravity, Cosmology, and the Limits of Spacetime</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Vol. 3 — The Standard Model, Chaos, and the Edge of Knowledge</w:t>
      </w:r>
      <w:r>
        <w:rPr>
          <w:rFonts w:eastAsia="Cambria" w:cs="Cambria"/>
          <w:b w:val="false"/>
          <w:bCs w:val="false"/>
          <w:i w:val="false"/>
          <w:iCs w:val="false"/>
          <w:sz w:val="22"/>
          <w:szCs w:val="22"/>
        </w:rPr>
        <w:t xml:space="preserve"> · </w:t>
      </w:r>
      <w:r>
        <w:rPr>
          <w:rFonts w:eastAsia="Cambria" w:cs="Cambria"/>
          <w:b w:val="false"/>
          <w:bCs w:val="false"/>
          <w:i/>
          <w:iCs/>
          <w:sz w:val="22"/>
          <w:szCs w:val="22"/>
        </w:rPr>
        <w:t>The Quantum Conversation</w:t>
      </w:r>
    </w:p>
    <w:p>
      <w:pPr>
        <w:pStyle w:val="Normal"/>
        <w:keepNext w:val="false"/>
        <w:keepLines w:val="false"/>
        <w:spacing w:lineRule="exact" w:line="288" w:before="0" w:after="140"/>
        <w:jc w:val="left"/>
        <w:rPr/>
      </w:pPr>
      <w:r>
        <w:rPr>
          <w:rFonts w:eastAsia="Cambria" w:cs="Cambria"/>
          <w:b/>
          <w:bCs/>
          <w:i w:val="false"/>
          <w:iCs w:val="false"/>
          <w:sz w:val="22"/>
          <w:szCs w:val="22"/>
        </w:rPr>
        <w:t>Weitere Sachbücher.</w:t>
      </w:r>
      <w:r>
        <w:rPr>
          <w:rFonts w:eastAsia="Cambria" w:cs="Cambria"/>
          <w:b w:val="false"/>
          <w:bCs w:val="false"/>
          <w:i w:val="false"/>
          <w:iCs w:val="false"/>
          <w:sz w:val="22"/>
          <w:szCs w:val="22"/>
        </w:rPr>
        <w:t xml:space="preserve"> </w:t>
      </w:r>
      <w:r>
        <w:rPr>
          <w:rFonts w:eastAsia="Cambria" w:cs="Cambria"/>
          <w:b w:val="false"/>
          <w:bCs w:val="false"/>
          <w:i/>
          <w:iCs/>
          <w:sz w:val="22"/>
          <w:szCs w:val="22"/>
        </w:rPr>
        <w:t>The Mathematics Tower</w:t>
      </w:r>
      <w:r>
        <w:rPr>
          <w:rFonts w:eastAsia="Cambria" w:cs="Cambria"/>
          <w:b w:val="false"/>
          <w:bCs w:val="false"/>
          <w:i w:val="false"/>
          <w:iCs w:val="false"/>
          <w:sz w:val="22"/>
          <w:szCs w:val="22"/>
        </w:rPr>
        <w:t xml:space="preserve"> · </w:t>
      </w:r>
      <w:r>
        <w:rPr>
          <w:rFonts w:eastAsia="Cambria" w:cs="Cambria"/>
          <w:b w:val="false"/>
          <w:bCs w:val="false"/>
          <w:i/>
          <w:iCs/>
          <w:sz w:val="22"/>
          <w:szCs w:val="22"/>
        </w:rPr>
        <w:t>Foundations of Electronics</w:t>
      </w:r>
    </w:p>
    <w:p>
      <w:pPr>
        <w:pStyle w:val="Normal"/>
        <w:keepNext w:val="false"/>
        <w:keepLines w:val="false"/>
        <w:spacing w:lineRule="exact" w:line="288" w:before="0" w:after="140"/>
        <w:jc w:val="left"/>
        <w:rPr/>
      </w:pPr>
      <w:r>
        <w:rPr>
          <w:rFonts w:eastAsia="Cambria" w:cs="Cambria"/>
          <w:b/>
          <w:bCs/>
          <w:i w:val="false"/>
          <w:iCs w:val="false"/>
          <w:sz w:val="22"/>
          <w:szCs w:val="22"/>
        </w:rPr>
        <w:t>Romane.</w:t>
      </w:r>
      <w:r>
        <w:rPr>
          <w:rFonts w:eastAsia="Cambria" w:cs="Cambria"/>
          <w:b w:val="false"/>
          <w:bCs w:val="false"/>
          <w:i w:val="false"/>
          <w:iCs w:val="false"/>
          <w:sz w:val="22"/>
          <w:szCs w:val="22"/>
        </w:rPr>
        <w:t xml:space="preserve"> </w:t>
      </w:r>
      <w:r>
        <w:rPr>
          <w:rFonts w:eastAsia="Cambria" w:cs="Cambria"/>
          <w:b w:val="false"/>
          <w:bCs w:val="false"/>
          <w:i/>
          <w:iCs/>
          <w:sz w:val="22"/>
          <w:szCs w:val="22"/>
        </w:rPr>
        <w:t>The Relativistic Investigation Bureau</w:t>
      </w:r>
      <w:r>
        <w:rPr>
          <w:rFonts w:eastAsia="Cambria" w:cs="Cambria"/>
          <w:b w:val="false"/>
          <w:bCs w:val="false"/>
          <w:i w:val="false"/>
          <w:iCs w:val="false"/>
          <w:sz w:val="22"/>
          <w:szCs w:val="22"/>
        </w:rPr>
        <w:t xml:space="preserve"> · </w:t>
      </w:r>
      <w:r>
        <w:rPr>
          <w:rFonts w:eastAsia="Cambria" w:cs="Cambria"/>
          <w:b w:val="false"/>
          <w:bCs w:val="false"/>
          <w:i/>
          <w:iCs/>
          <w:sz w:val="22"/>
          <w:szCs w:val="22"/>
        </w:rPr>
        <w:t>Schrödinger’s Paperwork</w:t>
      </w:r>
    </w:p>
    <w:sectPr>
      <w:footerReference w:type="even" r:id="rId750"/>
      <w:footerReference w:type="default" r:id="rId751"/>
      <w:footerReference w:type="first" r:id="rId752"/>
      <w:type w:val="nextPage"/>
      <w:pgSz w:w="8640" w:h="12983"/>
      <w:pgMar w:left="1080" w:right="1080" w:gutter="0" w:header="0" w:top="1080" w:footer="708" w:bottom="11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mbria">
    <w:charset w:val="00"/>
    <w:family w:val="swiss"/>
    <w:pitch w:val="variable"/>
  </w:font>
  <w:font w:name="Liberation Sans">
    <w:altName w:val="Arial"/>
    <w:charset w:val="00"/>
    <w:family w:val="swiss"/>
    <w:pitch w:val="variable"/>
  </w:font>
  <w:font w:name="Amazon Ember">
    <w:charset w:val="00"/>
    <w:family w:val="roman"/>
    <w:pitch w:val="variable"/>
  </w:font>
  <w:font w:name="Segoe UI Symbol">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46</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97</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253</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321</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398</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448</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556</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595</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686</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746</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820</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1052</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1288</w:t>
    </w:r>
    <w:r>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1696</w:t>
    </w:r>
    <w:r>
      <w:rPr/>
      <w:fldChar w:fldCharType="end"/>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lvlOverride w:ilvl="0">
      <w:startOverride w:val="1"/>
    </w:lvlOverride>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lvlOverride w:ilvl="0">
      <w:startOverride w:val="1"/>
    </w:lvlOverride>
  </w:num>
  <w:num w:numId="88">
    <w:abstractNumId w:val="2"/>
  </w:num>
  <w:num w:numId="89">
    <w:abstractNumId w:val="2"/>
  </w:num>
  <w:num w:numId="90">
    <w:abstractNumId w:val="2"/>
  </w:num>
  <w:num w:numId="91">
    <w:abstractNumId w:val="2"/>
  </w:num>
  <w:num w:numId="92">
    <w:abstractNumId w:val="2"/>
  </w:num>
  <w:num w:numId="93">
    <w:abstractNumId w:val="2"/>
    <w:lvlOverride w:ilvl="0">
      <w:startOverride w:val="1"/>
    </w:lvlOverride>
  </w:num>
  <w:num w:numId="94">
    <w:abstractNumId w:val="2"/>
    <w:lvlOverride w:ilvl="0">
      <w:startOverride w:val="1"/>
    </w:lvlOverride>
  </w:num>
  <w:num w:numId="95">
    <w:abstractNumId w:val="2"/>
  </w:num>
  <w:num w:numId="96">
    <w:abstractNumId w:val="2"/>
  </w:num>
  <w:num w:numId="97">
    <w:abstractNumId w:val="2"/>
    <w:lvlOverride w:ilvl="0">
      <w:startOverride w:val="1"/>
    </w:lvlOverride>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num>
  <w:num w:numId="109">
    <w:abstractNumId w:val="2"/>
  </w:num>
  <w:num w:numId="110">
    <w:abstractNumId w:val="2"/>
    <w:lvlOverride w:ilvl="0">
      <w:startOverride w:val="1"/>
    </w:lvlOverride>
  </w:num>
  <w:num w:numId="111">
    <w:abstractNumId w:val="2"/>
  </w:num>
  <w:num w:numId="112">
    <w:abstractNumId w:val="2"/>
  </w:num>
  <w:num w:numId="113">
    <w:abstractNumId w:val="2"/>
  </w:num>
  <w:num w:numId="114">
    <w:abstractNumId w:val="2"/>
    <w:lvlOverride w:ilvl="0">
      <w:startOverride w:val="1"/>
    </w:lvlOverride>
  </w:num>
  <w:num w:numId="115">
    <w:abstractNumId w:val="2"/>
    <w:lvlOverride w:ilvl="0">
      <w:startOverride w:val="1"/>
    </w:lvlOverride>
  </w:num>
  <w:num w:numId="116">
    <w:abstractNumId w:val="2"/>
  </w:num>
  <w:num w:numId="117">
    <w:abstractNumId w:val="2"/>
  </w:num>
  <w:num w:numId="118">
    <w:abstractNumId w:val="2"/>
  </w:num>
  <w:num w:numId="119">
    <w:abstractNumId w:val="2"/>
    <w:lvlOverride w:ilvl="0">
      <w:startOverride w:val="1"/>
    </w:lvlOverride>
  </w:num>
  <w:num w:numId="120">
    <w:abstractNumId w:val="2"/>
    <w:lvlOverride w:ilvl="0">
      <w:startOverride w:val="1"/>
    </w:lvlOverride>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lvlOverride w:ilvl="0">
      <w:startOverride w:val="1"/>
    </w:lvlOverride>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lvlOverride w:ilvl="0">
      <w:startOverride w:val="1"/>
    </w:lvlOverride>
  </w:num>
  <w:num w:numId="150">
    <w:abstractNumId w:val="2"/>
    <w:lvlOverride w:ilvl="0">
      <w:startOverride w:val="1"/>
    </w:lvlOverride>
  </w:num>
  <w:num w:numId="151">
    <w:abstractNumId w:val="2"/>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lvlOverride w:ilvl="0">
      <w:startOverride w:val="1"/>
    </w:lvlOverride>
  </w:num>
  <w:num w:numId="160">
    <w:abstractNumId w:val="2"/>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lvlOverride w:ilvl="0">
      <w:startOverride w:val="1"/>
    </w:lvlOverride>
  </w:num>
  <w:num w:numId="168">
    <w:abstractNumId w:val="2"/>
  </w:num>
  <w:num w:numId="169">
    <w:abstractNumId w:val="2"/>
  </w:num>
  <w:num w:numId="170">
    <w:abstractNumId w:val="2"/>
  </w:num>
  <w:num w:numId="171">
    <w:abstractNumId w:val="2"/>
  </w:num>
  <w:num w:numId="172">
    <w:abstractNumId w:val="2"/>
    <w:lvlOverride w:ilvl="0">
      <w:startOverride w:val="1"/>
    </w:lvlOverride>
  </w:num>
  <w:num w:numId="173">
    <w:abstractNumId w:val="2"/>
  </w:num>
  <w:num w:numId="174">
    <w:abstractNumId w:val="2"/>
  </w:num>
  <w:num w:numId="175">
    <w:abstractNumId w:val="2"/>
  </w:num>
  <w:num w:numId="176">
    <w:abstractNumId w:val="2"/>
  </w:num>
  <w:num w:numId="177">
    <w:abstractNumId w:val="2"/>
    <w:lvlOverride w:ilvl="0">
      <w:startOverride w:val="1"/>
    </w:lvlOverride>
  </w:num>
  <w:num w:numId="178">
    <w:abstractNumId w:val="2"/>
    <w:lvlOverride w:ilvl="0">
      <w:startOverride w:val="1"/>
    </w:lvlOverride>
  </w:num>
  <w:num w:numId="179">
    <w:abstractNumId w:val="2"/>
  </w:num>
  <w:num w:numId="180">
    <w:abstractNumId w:val="2"/>
  </w:num>
  <w:num w:numId="181">
    <w:abstractNumId w:val="2"/>
  </w:num>
  <w:num w:numId="182">
    <w:abstractNumId w:val="2"/>
  </w:num>
  <w:num w:numId="183">
    <w:abstractNumId w:val="2"/>
    <w:lvlOverride w:ilvl="0">
      <w:startOverride w:val="1"/>
    </w:lvlOverride>
  </w:num>
  <w:num w:numId="184">
    <w:abstractNumId w:val="2"/>
  </w:num>
  <w:num w:numId="185">
    <w:abstractNumId w:val="2"/>
  </w:num>
  <w:num w:numId="186">
    <w:abstractNumId w:val="2"/>
  </w:num>
  <w:num w:numId="187">
    <w:abstractNumId w:val="2"/>
    <w:lvlOverride w:ilvl="0">
      <w:startOverride w:val="1"/>
    </w:lvlOverride>
  </w:num>
  <w:num w:numId="188">
    <w:abstractNumId w:val="2"/>
    <w:lvlOverride w:ilvl="0">
      <w:startOverride w:val="1"/>
    </w:lvlOverride>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lvlOverride w:ilvl="0">
      <w:startOverride w:val="1"/>
    </w:lvlOverride>
  </w:num>
  <w:num w:numId="204">
    <w:abstractNumId w:val="2"/>
  </w:num>
  <w:num w:numId="205">
    <w:abstractNumId w:val="2"/>
  </w:num>
  <w:num w:numId="206">
    <w:abstractNumId w:val="2"/>
  </w:num>
  <w:num w:numId="207">
    <w:abstractNumId w:val="2"/>
  </w:num>
  <w:num w:numId="208">
    <w:abstractNumId w:val="2"/>
    <w:lvlOverride w:ilvl="0">
      <w:startOverride w:val="1"/>
    </w:lvlOverride>
  </w:num>
  <w:num w:numId="209">
    <w:abstractNumId w:val="2"/>
  </w:num>
  <w:num w:numId="210">
    <w:abstractNumId w:val="2"/>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lvlOverride w:ilvl="0">
      <w:startOverride w:val="1"/>
    </w:lvlOverride>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lvlOverride w:ilvl="0">
      <w:startOverride w:val="1"/>
    </w:lvlOverride>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lvlOverride w:ilvl="0">
      <w:startOverride w:val="1"/>
    </w:lvlOverride>
  </w:num>
  <w:num w:numId="238">
    <w:abstractNumId w:val="2"/>
  </w:num>
  <w:num w:numId="239">
    <w:abstractNumId w:val="2"/>
  </w:num>
  <w:num w:numId="240">
    <w:abstractNumId w:val="2"/>
    <w:lvlOverride w:ilvl="0">
      <w:startOverride w:val="1"/>
    </w:lvlOverride>
  </w:num>
  <w:num w:numId="241">
    <w:abstractNumId w:val="2"/>
  </w:num>
  <w:num w:numId="242">
    <w:abstractNumId w:val="2"/>
  </w:num>
  <w:num w:numId="243">
    <w:abstractNumId w:val="2"/>
    <w:lvlOverride w:ilvl="0">
      <w:startOverride w:val="1"/>
    </w:lvlOverride>
  </w:num>
  <w:num w:numId="244">
    <w:abstractNumId w:val="2"/>
  </w:num>
  <w:num w:numId="245">
    <w:abstractNumId w:val="2"/>
  </w:num>
  <w:num w:numId="246">
    <w:abstractNumId w:val="2"/>
  </w:num>
  <w:num w:numId="247">
    <w:abstractNumId w:val="2"/>
  </w:num>
  <w:num w:numId="248">
    <w:abstractNumId w:val="2"/>
    <w:lvlOverride w:ilvl="0">
      <w:startOverride w:val="1"/>
    </w:lvlOverride>
  </w:num>
  <w:num w:numId="249">
    <w:abstractNumId w:val="2"/>
  </w:num>
  <w:num w:numId="250">
    <w:abstractNumId w:val="2"/>
    <w:lvlOverride w:ilvl="0">
      <w:startOverride w:val="1"/>
    </w:lvlOverride>
  </w:num>
  <w:num w:numId="251">
    <w:abstractNumId w:val="2"/>
  </w:num>
  <w:num w:numId="252">
    <w:abstractNumId w:val="2"/>
  </w:num>
  <w:num w:numId="253">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de-DE" w:eastAsia="zh-CN" w:bidi="hi-IN"/>
      </w:rPr>
    </w:rPrDefault>
    <w:pPrDefault>
      <w:pPr>
        <w:suppressAutoHyphens w:val="true"/>
      </w:pPr>
    </w:pPrDefault>
  </w:docDefaults>
  <w:style w:type="paragraph" w:styleId="Normal">
    <w:name w:val="Normal"/>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Heading1">
    <w:name w:val="Heading 1"/>
    <w:basedOn w:val="Heading"/>
    <w:qFormat/>
    <w:pPr>
      <w:spacing w:before="0" w:after="360"/>
      <w:outlineLvl w:val="0"/>
    </w:pPr>
    <w:rPr>
      <w:rFonts w:ascii="Cambria" w:hAnsi="Cambria" w:eastAsia="Cambria" w:cs="Cambria"/>
      <w:b/>
      <w:bCs/>
      <w:color w:val="1F3A5F"/>
      <w:sz w:val="48"/>
      <w:szCs w:val="48"/>
    </w:rPr>
  </w:style>
  <w:style w:type="paragraph" w:styleId="Heading2">
    <w:name w:val="Heading 2"/>
    <w:basedOn w:val="Heading"/>
    <w:qFormat/>
    <w:pPr>
      <w:spacing w:before="0" w:after="300"/>
      <w:outlineLvl w:val="1"/>
    </w:pPr>
    <w:rPr>
      <w:rFonts w:ascii="Cambria" w:hAnsi="Cambria" w:eastAsia="Cambria" w:cs="Cambria"/>
      <w:b/>
      <w:bCs/>
      <w:color w:val="1F3A5F"/>
      <w:sz w:val="34"/>
      <w:szCs w:val="34"/>
    </w:rPr>
  </w:style>
  <w:style w:type="paragraph" w:styleId="Heading3">
    <w:name w:val="Heading 3"/>
    <w:basedOn w:val="Heading"/>
    <w:qFormat/>
    <w:pPr>
      <w:spacing w:before="280" w:after="100"/>
      <w:outlineLvl w:val="2"/>
    </w:pPr>
    <w:rPr>
      <w:rFonts w:ascii="Cambria" w:hAnsi="Cambria" w:eastAsia="Cambria" w:cs="Cambria"/>
      <w:b/>
      <w:bCs/>
      <w:color w:val="1F3A5F"/>
      <w:sz w:val="26"/>
      <w:szCs w:val="26"/>
    </w:rPr>
  </w:style>
  <w:style w:type="paragraph" w:styleId="Heading4">
    <w:name w:val="Heading 4"/>
    <w:basedOn w:val="Heading"/>
    <w:qFormat/>
    <w:pPr>
      <w:spacing w:before="200" w:after="80"/>
      <w:outlineLvl w:val="3"/>
    </w:pPr>
    <w:rPr>
      <w:rFonts w:ascii="Cambria" w:hAnsi="Cambria" w:eastAsia="Cambria" w:cs="Cambria"/>
      <w:b/>
      <w:bCs/>
      <w:i/>
      <w:iCs/>
      <w:sz w:val="22"/>
      <w:szCs w:val="22"/>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240" w:after="300"/>
      <w:jc w:val="center"/>
    </w:pPr>
    <w:rPr>
      <w:rFonts w:ascii="Cambria" w:hAnsi="Cambria" w:eastAsia="Cambria" w:cs="Cambria"/>
      <w:b/>
      <w:bCs/>
      <w:sz w:val="60"/>
      <w:szCs w:val="60"/>
    </w:rPr>
  </w:style>
  <w:style w:type="paragraph" w:styleId="StrongEmphasis">
    <w:name w:val="Strong Emphasis"/>
    <w:qFormat/>
    <w:pPr>
      <w:widowControl/>
      <w:bidi w:val="0"/>
      <w:spacing w:lineRule="exact" w:line="288" w:before="0" w:after="0"/>
      <w:jc w:val="left"/>
    </w:pPr>
    <w:rPr>
      <w:rFonts w:ascii="Cambria" w:hAnsi="Cambria" w:eastAsia="Cambria" w:cs="Cambria"/>
      <w:b/>
      <w:bCs/>
      <w:color w:val="auto"/>
      <w:kern w:val="0"/>
      <w:sz w:val="22"/>
      <w:szCs w:val="22"/>
      <w:lang w:val="de-DE" w:eastAsia="zh-CN" w:bidi="hi-IN"/>
    </w:rPr>
  </w:style>
  <w:style w:type="paragraph" w:styleId="ListParagraph">
    <w:name w:val="List Paragraph"/>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200" w:after="60"/>
    </w:pPr>
    <w:rPr>
      <w:rFonts w:ascii="Cambria" w:hAnsi="Cambria" w:eastAsia="Cambria" w:cs="Cambria"/>
      <w:b/>
      <w:bCs/>
      <w:sz w:val="22"/>
      <w:szCs w:val="22"/>
    </w:rPr>
  </w:style>
  <w:style w:type="paragraph" w:styleId="TOC2">
    <w:name w:val="TOC 2"/>
    <w:basedOn w:val="Index"/>
    <w:pPr>
      <w:spacing w:before="0" w:after="30"/>
      <w:ind w:left="240"/>
    </w:pPr>
    <w:rPr>
      <w:rFonts w:ascii="Cambria" w:hAnsi="Cambria" w:eastAsia="Cambria" w:cs="Cambria"/>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hyperlink" Target="https://auswaertiges-amt.de/" TargetMode="External"/><Relationship Id="rId12" Type="http://schemas.openxmlformats.org/officeDocument/2006/relationships/hyperlink" Target="https://bva.bund.de/" TargetMode="External"/><Relationship Id="rId13" Type="http://schemas.openxmlformats.org/officeDocument/2006/relationships/hyperlink" Target="https://raphaelswerk.de/" TargetMode="External"/><Relationship Id="rId14" Type="http://schemas.openxmlformats.org/officeDocument/2006/relationships/hyperlink" Target="https://harzing.com/" TargetMode="External"/><Relationship Id="rId15" Type="http://schemas.openxmlformats.org/officeDocument/2006/relationships/hyperlink" Target="https://iza.org/" TargetMode="External"/><Relationship Id="rId16" Type="http://schemas.openxmlformats.org/officeDocument/2006/relationships/hyperlink" Target="https://oecd.org/" TargetMode="External"/><Relationship Id="rId17" Type="http://schemas.openxmlformats.org/officeDocument/2006/relationships/hyperlink" Target="https://gesetze-im-internet.de/stag" TargetMode="External"/><Relationship Id="rId18" Type="http://schemas.openxmlformats.org/officeDocument/2006/relationships/hyperlink" Target="https://canada.ca/" TargetMode="External"/><Relationship Id="rId19" Type="http://schemas.openxmlformats.org/officeDocument/2006/relationships/hyperlink" Target="https://immi.homeaffairs.gov.au/" TargetMode="External"/><Relationship Id="rId20" Type="http://schemas.openxmlformats.org/officeDocument/2006/relationships/hyperlink" Target="https://immigration.govt.nz/" TargetMode="External"/><Relationship Id="rId21" Type="http://schemas.openxmlformats.org/officeDocument/2006/relationships/hyperlink" Target="https://numbeo.com/" TargetMode="Externa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hyperlink" Target="https://uscis.gov/working-in-the-united-states" TargetMode="External"/><Relationship Id="rId29" Type="http://schemas.openxmlformats.org/officeDocument/2006/relationships/hyperlink" Target="https://irs.gov/" TargetMode="External"/><Relationship Id="rId30" Type="http://schemas.openxmlformats.org/officeDocument/2006/relationships/hyperlink" Target="https://healthcare.gov/" TargetMode="External"/><Relationship Id="rId31" Type="http://schemas.openxmlformats.org/officeDocument/2006/relationships/hyperlink" Target="https://data.worldbank.org/" TargetMode="External"/><Relationship Id="rId32" Type="http://schemas.openxmlformats.org/officeDocument/2006/relationships/hyperlink" Target="https://bls.gov/oes" TargetMode="External"/><Relationship Id="rId33" Type="http://schemas.openxmlformats.org/officeDocument/2006/relationships/hyperlink" Target="https://freddiemac.com/pmms" TargetMode="External"/><Relationship Id="rId34" Type="http://schemas.openxmlformats.org/officeDocument/2006/relationships/hyperlink" Target="https://uscis.gov/" TargetMode="External"/><Relationship Id="rId35" Type="http://schemas.openxmlformats.org/officeDocument/2006/relationships/hyperlink" Target="https://irs.gov/pub/irs-trty/germany.pdf" TargetMode="External"/><Relationship Id="rId36" Type="http://schemas.openxmlformats.org/officeDocument/2006/relationships/hyperlink" Target="https://irs.gov/businesses/comparison-of-form-8938-and-fbar-requirements" TargetMode="External"/><Relationship Id="rId37" Type="http://schemas.openxmlformats.org/officeDocument/2006/relationships/hyperlink" Target="https://consumerfinance.gov/" TargetMode="External"/><Relationship Id="rId38" Type="http://schemas.openxmlformats.org/officeDocument/2006/relationships/hyperlink" Target="https://childcareaware.org/" TargetMode="External"/><Relationship Id="rId39" Type="http://schemas.openxmlformats.org/officeDocument/2006/relationships/hyperlink" Target="https://bundesfinanzministerium.de/" TargetMode="External"/><Relationship Id="rId40" Type="http://schemas.openxmlformats.org/officeDocument/2006/relationships/hyperlink" Target="https://irs.gov/individuals/tax-withholding-estimator" TargetMode="External"/><Relationship Id="rId41" Type="http://schemas.openxmlformats.org/officeDocument/2006/relationships/hyperlink" Target="https://kff.org/health-costs" TargetMode="External"/><Relationship Id="rId42" Type="http://schemas.openxmlformats.org/officeDocument/2006/relationships/hyperlink" Target="https://uscis.gov/green-card/green-card-eligibility/green-card-for-employment-based-immigrants" TargetMode="External"/><Relationship Id="rId43" Type="http://schemas.openxmlformats.org/officeDocument/2006/relationships/hyperlink" Target="https://familienportal.de/" TargetMode="External"/><Relationship Id="rId44" Type="http://schemas.openxmlformats.org/officeDocument/2006/relationships/hyperlink" Target="https://destatis.de/" TargetMode="External"/><Relationship Id="rId45" Type="http://schemas.openxmlformats.org/officeDocument/2006/relationships/footer" Target="footer16.xml"/><Relationship Id="rId46" Type="http://schemas.openxmlformats.org/officeDocument/2006/relationships/footer" Target="footer17.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yperlink" Target="https://uscis.gov/working-in-the-united-states" TargetMode="External"/><Relationship Id="rId52" Type="http://schemas.openxmlformats.org/officeDocument/2006/relationships/hyperlink" Target="https://uscis.gov/green-card" TargetMode="External"/><Relationship Id="rId53" Type="http://schemas.openxmlformats.org/officeDocument/2006/relationships/hyperlink" Target="https://travel.state.gov/visa" TargetMode="External"/><Relationship Id="rId54" Type="http://schemas.openxmlformats.org/officeDocument/2006/relationships/hyperlink" Target="https://travel.state.gov/visa-bulletin" TargetMode="External"/><Relationship Id="rId55" Type="http://schemas.openxmlformats.org/officeDocument/2006/relationships/hyperlink" Target="https://ice.gov/sevis" TargetMode="External"/><Relationship Id="rId56" Type="http://schemas.openxmlformats.org/officeDocument/2006/relationships/hyperlink" Target="https://cbp.gov/travel" TargetMode="External"/><Relationship Id="rId57" Type="http://schemas.openxmlformats.org/officeDocument/2006/relationships/hyperlink" Target="https://uscis.gov/working-in-the-united-states/h-1b-specialty-occupations" TargetMode="External"/><Relationship Id="rId58" Type="http://schemas.openxmlformats.org/officeDocument/2006/relationships/hyperlink" Target="https://uscis.gov/newsroom/alerts/h-1b-faq" TargetMode="External"/><Relationship Id="rId59" Type="http://schemas.openxmlformats.org/officeDocument/2006/relationships/hyperlink" Target="https://uscis.gov/g-1055" TargetMode="External"/><Relationship Id="rId60" Type="http://schemas.openxmlformats.org/officeDocument/2006/relationships/hyperlink" Target="https://federalregister.gov/" TargetMode="External"/><Relationship Id="rId61" Type="http://schemas.openxmlformats.org/officeDocument/2006/relationships/hyperlink" Target="https://dol.gov/agencies/eta/foreign-labor/programs/h-1b" TargetMode="External"/><Relationship Id="rId62" Type="http://schemas.openxmlformats.org/officeDocument/2006/relationships/hyperlink" Target="https://dol.gov/agencies/whd/immigration/h1b/projectfirewall" TargetMode="External"/><Relationship Id="rId63" Type="http://schemas.openxmlformats.org/officeDocument/2006/relationships/hyperlink" Target="https://travel.state.gov/" TargetMode="External"/><Relationship Id="rId64" Type="http://schemas.openxmlformats.org/officeDocument/2006/relationships/hyperlink" Target="https://de.usembassy.gov/visas" TargetMode="External"/><Relationship Id="rId65" Type="http://schemas.openxmlformats.org/officeDocument/2006/relationships/hyperlink" Target="https://travel.state.gov/visabulletin" TargetMode="External"/><Relationship Id="rId66" Type="http://schemas.openxmlformats.org/officeDocument/2006/relationships/hyperlink" Target="https://uscis.gov/green-card" TargetMode="External"/><Relationship Id="rId67" Type="http://schemas.openxmlformats.org/officeDocument/2006/relationships/hyperlink" Target="https://uscis.gov/g-1055" TargetMode="External"/><Relationship Id="rId68" Type="http://schemas.openxmlformats.org/officeDocument/2006/relationships/hyperlink" Target="https://flag.dol.gov/processingtimes" TargetMode="External"/><Relationship Id="rId69" Type="http://schemas.openxmlformats.org/officeDocument/2006/relationships/hyperlink" Target="https://de.usembassy.gov/" TargetMode="External"/><Relationship Id="rId70" Type="http://schemas.openxmlformats.org/officeDocument/2006/relationships/hyperlink" Target="https://federalregister.gov/" TargetMode="External"/><Relationship Id="rId71" Type="http://schemas.openxmlformats.org/officeDocument/2006/relationships/hyperlink" Target="https://irs.gov/individuals/international-taxpayers" TargetMode="External"/><Relationship Id="rId72" Type="http://schemas.openxmlformats.org/officeDocument/2006/relationships/hyperlink" Target="https://sss.gov/" TargetMode="External"/><Relationship Id="rId73" Type="http://schemas.openxmlformats.org/officeDocument/2006/relationships/hyperlink" Target="https://travel.state.gov/" TargetMode="External"/><Relationship Id="rId74" Type="http://schemas.openxmlformats.org/officeDocument/2006/relationships/hyperlink" Target="https://uscis.gov/" TargetMode="External"/><Relationship Id="rId75" Type="http://schemas.openxmlformats.org/officeDocument/2006/relationships/hyperlink" Target="https://flag.dol.gov/processingtimes" TargetMode="External"/><Relationship Id="rId76" Type="http://schemas.openxmlformats.org/officeDocument/2006/relationships/hyperlink" Target="https://uscis.gov/g-1055" TargetMode="External"/><Relationship Id="rId77" Type="http://schemas.openxmlformats.org/officeDocument/2006/relationships/hyperlink" Target="https://ecfr.gov/" TargetMode="External"/><Relationship Id="rId78" Type="http://schemas.openxmlformats.org/officeDocument/2006/relationships/hyperlink" Target="https://federalregister.gov/" TargetMode="External"/><Relationship Id="rId79" Type="http://schemas.openxmlformats.org/officeDocument/2006/relationships/hyperlink" Target="https://gesetze-im-internet.de/aufenthg_2004/__18c.html" TargetMode="External"/><Relationship Id="rId80" Type="http://schemas.openxmlformats.org/officeDocument/2006/relationships/hyperlink" Target="https://studyinthestates.dhs.gov/" TargetMode="External"/><Relationship Id="rId81" Type="http://schemas.openxmlformats.org/officeDocument/2006/relationships/hyperlink" Target="https://uscis.gov/working-in-the-united-states/students-and-exchange-visitors" TargetMode="External"/><Relationship Id="rId82" Type="http://schemas.openxmlformats.org/officeDocument/2006/relationships/hyperlink" Target="https://uscis.gov/g-1055" TargetMode="External"/><Relationship Id="rId83" Type="http://schemas.openxmlformats.org/officeDocument/2006/relationships/hyperlink" Target="https://ice.gov/sevis/i901" TargetMode="External"/><Relationship Id="rId84" Type="http://schemas.openxmlformats.org/officeDocument/2006/relationships/hyperlink" Target="https://travel.state.gov/" TargetMode="External"/><Relationship Id="rId85" Type="http://schemas.openxmlformats.org/officeDocument/2006/relationships/hyperlink" Target="https://irs.gov/individuals/international-taxpayers" TargetMode="External"/><Relationship Id="rId86" Type="http://schemas.openxmlformats.org/officeDocument/2006/relationships/hyperlink" Target="https://daad.de/" TargetMode="External"/><Relationship Id="rId87" Type="http://schemas.openxmlformats.org/officeDocument/2006/relationships/hyperlink" Target="https://fulbright.de/" TargetMode="External"/><Relationship Id="rId88" Type="http://schemas.openxmlformats.org/officeDocument/2006/relationships/hyperlink" Target="https://opendoorsdata.org/" TargetMode="External"/><Relationship Id="rId89" Type="http://schemas.openxmlformats.org/officeDocument/2006/relationships/hyperlink" Target="https://uscis.gov/working-in-the-united-states/temporary-workers" TargetMode="External"/><Relationship Id="rId90" Type="http://schemas.openxmlformats.org/officeDocument/2006/relationships/hyperlink" Target="https://uscis.gov/g-1055" TargetMode="External"/><Relationship Id="rId91" Type="http://schemas.openxmlformats.org/officeDocument/2006/relationships/hyperlink" Target="https://uscis.gov/working-in-the-united-states/international-entrepreneur-rule" TargetMode="External"/><Relationship Id="rId92" Type="http://schemas.openxmlformats.org/officeDocument/2006/relationships/hyperlink" Target="https://exchanges.state.gov/" TargetMode="External"/><Relationship Id="rId93" Type="http://schemas.openxmlformats.org/officeDocument/2006/relationships/hyperlink" Target="https://travel.state.gov/content/travel/en/us-visas/business/b-1-fact-sheet.html" TargetMode="External"/><Relationship Id="rId94" Type="http://schemas.openxmlformats.org/officeDocument/2006/relationships/hyperlink" Target="https://esta.cbp.dhs.gov/" TargetMode="External"/><Relationship Id="rId95" Type="http://schemas.openxmlformats.org/officeDocument/2006/relationships/hyperlink" Target="https://cbp.gov/travel/international-visitors/visa-waiver-program" TargetMode="External"/><Relationship Id="rId96" Type="http://schemas.openxmlformats.org/officeDocument/2006/relationships/hyperlink" Target="https://dvprogram.state.gov/" TargetMode="External"/><Relationship Id="rId97" Type="http://schemas.openxmlformats.org/officeDocument/2006/relationships/hyperlink" Target="https://de.usembassy.gov/" TargetMode="External"/><Relationship Id="rId98" Type="http://schemas.openxmlformats.org/officeDocument/2006/relationships/hyperlink" Target="https://uscis.gov/i-765" TargetMode="External"/><Relationship Id="rId99" Type="http://schemas.openxmlformats.org/officeDocument/2006/relationships/hyperlink" Target="https://uscis.gov/g-1055" TargetMode="External"/><Relationship Id="rId100" Type="http://schemas.openxmlformats.org/officeDocument/2006/relationships/hyperlink" Target="https://uscis.gov/working-in-the-united-states/temporary-workers/l-1a-intracompany-transferee-executive-or-manager" TargetMode="External"/><Relationship Id="rId101" Type="http://schemas.openxmlformats.org/officeDocument/2006/relationships/hyperlink" Target="https://uscis.gov/policy-manual/volume-6-part-b-chapter-6" TargetMode="External"/><Relationship Id="rId102" Type="http://schemas.openxmlformats.org/officeDocument/2006/relationships/hyperlink" Target="https://uscis.gov/policy-manual/volume-7-part-a-chapter-7" TargetMode="External"/><Relationship Id="rId103" Type="http://schemas.openxmlformats.org/officeDocument/2006/relationships/hyperlink" Target="https://i94.cbp.dhs.gov/" TargetMode="External"/><Relationship Id="rId104" Type="http://schemas.openxmlformats.org/officeDocument/2006/relationships/hyperlink" Target="https://reginfo.gov/" TargetMode="External"/><Relationship Id="rId105" Type="http://schemas.openxmlformats.org/officeDocument/2006/relationships/hyperlink" Target="https://michigan.gov/mde" TargetMode="External"/><Relationship Id="rId106" Type="http://schemas.openxmlformats.org/officeDocument/2006/relationships/hyperlink" Target="https://travel.state.gov/visas" TargetMode="External"/><Relationship Id="rId107" Type="http://schemas.openxmlformats.org/officeDocument/2006/relationships/hyperlink" Target="https://de.usembassy.gov/visas" TargetMode="External"/><Relationship Id="rId108" Type="http://schemas.openxmlformats.org/officeDocument/2006/relationships/hyperlink" Target="https://ceac.state.gov/genniv" TargetMode="External"/><Relationship Id="rId109" Type="http://schemas.openxmlformats.org/officeDocument/2006/relationships/hyperlink" Target="https://uscis.gov/g-1055" TargetMode="External"/><Relationship Id="rId110" Type="http://schemas.openxmlformats.org/officeDocument/2006/relationships/hyperlink" Target="https://uscis.gov/working-in-the-united-states/h-1b-specialty-occupations" TargetMode="External"/><Relationship Id="rId111" Type="http://schemas.openxmlformats.org/officeDocument/2006/relationships/hyperlink" Target="https://uscis.gov/processing-times" TargetMode="External"/><Relationship Id="rId112" Type="http://schemas.openxmlformats.org/officeDocument/2006/relationships/hyperlink" Target="https://uscis.gov/avoid-scams" TargetMode="External"/><Relationship Id="rId113" Type="http://schemas.openxmlformats.org/officeDocument/2006/relationships/hyperlink" Target="https://reportfraud.ftc.gov/" TargetMode="External"/><Relationship Id="rId114" Type="http://schemas.openxmlformats.org/officeDocument/2006/relationships/footer" Target="footer22.xml"/><Relationship Id="rId115" Type="http://schemas.openxmlformats.org/officeDocument/2006/relationships/footer" Target="footer23.xml"/><Relationship Id="rId116" Type="http://schemas.openxmlformats.org/officeDocument/2006/relationships/footer" Target="footer24.xml"/><Relationship Id="rId117" Type="http://schemas.openxmlformats.org/officeDocument/2006/relationships/footer" Target="footer25.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yperlink" Target="https://bls.gov/" TargetMode="External"/><Relationship Id="rId121" Type="http://schemas.openxmlformats.org/officeDocument/2006/relationships/hyperlink" Target="https://nar.realtor/" TargetMode="External"/><Relationship Id="rId122" Type="http://schemas.openxmlformats.org/officeDocument/2006/relationships/hyperlink" Target="https://zumper.com/rent-research" TargetMode="External"/><Relationship Id="rId123" Type="http://schemas.openxmlformats.org/officeDocument/2006/relationships/hyperlink" Target="https://census.gov/" TargetMode="External"/><Relationship Id="rId124" Type="http://schemas.openxmlformats.org/officeDocument/2006/relationships/hyperlink" Target="https://taxfoundation.org/" TargetMode="External"/><Relationship Id="rId125" Type="http://schemas.openxmlformats.org/officeDocument/2006/relationships/hyperlink" Target="https://uscis.gov/" TargetMode="External"/><Relationship Id="rId126" Type="http://schemas.openxmlformats.org/officeDocument/2006/relationships/hyperlink" Target="https://hud.gov/fairhousing" TargetMode="External"/><Relationship Id="rId127" Type="http://schemas.openxmlformats.org/officeDocument/2006/relationships/hyperlink" Target="https://consumer.ftc.gov/" TargetMode="External"/><Relationship Id="rId128" Type="http://schemas.openxmlformats.org/officeDocument/2006/relationships/hyperlink" Target="https://reportfraud.ftc.gov/" TargetMode="External"/><Relationship Id="rId129" Type="http://schemas.openxmlformats.org/officeDocument/2006/relationships/hyperlink" Target="https://nyc.gov/site/dca/about/FAQ-Broker-Fees.page" TargetMode="External"/><Relationship Id="rId130" Type="http://schemas.openxmlformats.org/officeDocument/2006/relationships/hyperlink" Target="https://seattle.gov/rentinginseattle" TargetMode="External"/><Relationship Id="rId131" Type="http://schemas.openxmlformats.org/officeDocument/2006/relationships/hyperlink" Target="https://michiganlegalhelp.org/" TargetMode="External"/><Relationship Id="rId132" Type="http://schemas.openxmlformats.org/officeDocument/2006/relationships/hyperlink" Target="https://commerce.wa.gov/housing-policy/hb1217-landlord-resource-center" TargetMode="External"/><Relationship Id="rId133" Type="http://schemas.openxmlformats.org/officeDocument/2006/relationships/hyperlink" Target="https://gesetze-im-internet.de/bgb" TargetMode="External"/><Relationship Id="rId134" Type="http://schemas.openxmlformats.org/officeDocument/2006/relationships/hyperlink" Target="https://consumerfinance.gov/owning-a-home" TargetMode="External"/><Relationship Id="rId135" Type="http://schemas.openxmlformats.org/officeDocument/2006/relationships/hyperlink" Target="https://selling-guide.fanniemae.com/" TargetMode="External"/><Relationship Id="rId136" Type="http://schemas.openxmlformats.org/officeDocument/2006/relationships/hyperlink" Target="https://hud.gov/sites/default/files/OCHCO/documents/2025-09hsgml.pdf" TargetMode="External"/><Relationship Id="rId137" Type="http://schemas.openxmlformats.org/officeDocument/2006/relationships/hyperlink" Target="https://freddiemac.com/pmms" TargetMode="External"/><Relationship Id="rId138" Type="http://schemas.openxmlformats.org/officeDocument/2006/relationships/hyperlink" Target="https://fhfa.gov/" TargetMode="External"/><Relationship Id="rId139" Type="http://schemas.openxmlformats.org/officeDocument/2006/relationships/hyperlink" Target="https://irs.gov/publications/p936" TargetMode="External"/><Relationship Id="rId140" Type="http://schemas.openxmlformats.org/officeDocument/2006/relationships/hyperlink" Target="https://irs.gov/taxtopics/tc701" TargetMode="External"/><Relationship Id="rId141" Type="http://schemas.openxmlformats.org/officeDocument/2006/relationships/hyperlink" Target="https://fema.gov/flood-maps" TargetMode="External"/><Relationship Id="rId142" Type="http://schemas.openxmlformats.org/officeDocument/2006/relationships/hyperlink" Target="https://gesetze-im-internet.de/estg/__23.html" TargetMode="External"/><Relationship Id="rId143" Type="http://schemas.openxmlformats.org/officeDocument/2006/relationships/footer" Target="footer28.xml"/><Relationship Id="rId144" Type="http://schemas.openxmlformats.org/officeDocument/2006/relationships/footer" Target="footer29.xml"/><Relationship Id="rId145" Type="http://schemas.openxmlformats.org/officeDocument/2006/relationships/footer" Target="footer30.xml"/><Relationship Id="rId146" Type="http://schemas.openxmlformats.org/officeDocument/2006/relationships/footer" Target="footer31.xml"/><Relationship Id="rId147" Type="http://schemas.openxmlformats.org/officeDocument/2006/relationships/footer" Target="footer32.xml"/><Relationship Id="rId148" Type="http://schemas.openxmlformats.org/officeDocument/2006/relationships/footer" Target="footer33.xml"/><Relationship Id="rId149" Type="http://schemas.openxmlformats.org/officeDocument/2006/relationships/hyperlink" Target="https://uscis.gov/processing-times" TargetMode="External"/><Relationship Id="rId150" Type="http://schemas.openxmlformats.org/officeDocument/2006/relationships/hyperlink" Target="https://uscis.gov/working-in-the-united-states/h-1b-specialty-occupations" TargetMode="External"/><Relationship Id="rId151" Type="http://schemas.openxmlformats.org/officeDocument/2006/relationships/hyperlink" Target="https://travel.state.gov/" TargetMode="External"/><Relationship Id="rId152" Type="http://schemas.openxmlformats.org/officeDocument/2006/relationships/hyperlink" Target="https://gesetze-im-internet.de/" TargetMode="External"/><Relationship Id="rId153" Type="http://schemas.openxmlformats.org/officeDocument/2006/relationships/hyperlink" Target="https://deutsche-rentenversicherung.de/" TargetMode="External"/><Relationship Id="rId154" Type="http://schemas.openxmlformats.org/officeDocument/2006/relationships/hyperlink" Target="https://gesetze-im-internet.de/" TargetMode="External"/><Relationship Id="rId155" Type="http://schemas.openxmlformats.org/officeDocument/2006/relationships/hyperlink" Target="https://rundfunkbeitrag.de/" TargetMode="External"/><Relationship Id="rId156" Type="http://schemas.openxmlformats.org/officeDocument/2006/relationships/hyperlink" Target="https://deutschepost.de/de/n/nachsendeservice.html" TargetMode="External"/><Relationship Id="rId157" Type="http://schemas.openxmlformats.org/officeDocument/2006/relationships/hyperlink" Target="https://germany.info/us-en/service" TargetMode="External"/><Relationship Id="rId158" Type="http://schemas.openxmlformats.org/officeDocument/2006/relationships/hyperlink" Target="https://auswaertiges-amt.de/" TargetMode="External"/><Relationship Id="rId159" Type="http://schemas.openxmlformats.org/officeDocument/2006/relationships/hyperlink" Target="https://vorsorgeregister.de/" TargetMode="External"/><Relationship Id="rId160" Type="http://schemas.openxmlformats.org/officeDocument/2006/relationships/hyperlink" Target="https://arbeitsagentur.de/" TargetMode="External"/><Relationship Id="rId161" Type="http://schemas.openxmlformats.org/officeDocument/2006/relationships/hyperlink" Target="https://familienportal.de/" TargetMode="External"/><Relationship Id="rId162" Type="http://schemas.openxmlformats.org/officeDocument/2006/relationships/hyperlink" Target="https://bmvg.de/" TargetMode="External"/><Relationship Id="rId163" Type="http://schemas.openxmlformats.org/officeDocument/2006/relationships/hyperlink" Target="https://gesetze-im-internet.de/" TargetMode="External"/><Relationship Id="rId164" Type="http://schemas.openxmlformats.org/officeDocument/2006/relationships/hyperlink" Target="https://deutsche-rentenversicherung.de/" TargetMode="External"/><Relationship Id="rId165" Type="http://schemas.openxmlformats.org/officeDocument/2006/relationships/hyperlink" Target="https://bzst.de/" TargetMode="External"/><Relationship Id="rId166" Type="http://schemas.openxmlformats.org/officeDocument/2006/relationships/hyperlink" Target="https://bundesfinanzministerium.de/" TargetMode="External"/><Relationship Id="rId167" Type="http://schemas.openxmlformats.org/officeDocument/2006/relationships/hyperlink" Target="https://irs.gov/pub/irs-trty/germany.pdf" TargetMode="External"/><Relationship Id="rId168" Type="http://schemas.openxmlformats.org/officeDocument/2006/relationships/hyperlink" Target="https://irs.gov/instructions/i8621" TargetMode="External"/><Relationship Id="rId169" Type="http://schemas.openxmlformats.org/officeDocument/2006/relationships/hyperlink" Target="https://gesetze-im-internet.de/" TargetMode="External"/><Relationship Id="rId170" Type="http://schemas.openxmlformats.org/officeDocument/2006/relationships/hyperlink" Target="https://gkv-spitzenverband.de/" TargetMode="External"/><Relationship Id="rId171" Type="http://schemas.openxmlformats.org/officeDocument/2006/relationships/hyperlink" Target="https://tk.de/" TargetMode="External"/><Relationship Id="rId172" Type="http://schemas.openxmlformats.org/officeDocument/2006/relationships/hyperlink" Target="https://kff.org/" TargetMode="External"/><Relationship Id="rId173" Type="http://schemas.openxmlformats.org/officeDocument/2006/relationships/hyperlink" Target="https://cdc.gov/vaccines" TargetMode="External"/><Relationship Id="rId174" Type="http://schemas.openxmlformats.org/officeDocument/2006/relationships/hyperlink" Target="https://cbp.gov/" TargetMode="External"/><Relationship Id="rId175" Type="http://schemas.openxmlformats.org/officeDocument/2006/relationships/hyperlink" Target="https://germany.info/us-de/service" TargetMode="External"/><Relationship Id="rId176" Type="http://schemas.openxmlformats.org/officeDocument/2006/relationships/hyperlink" Target="https://bfaa.diplo.de/" TargetMode="External"/><Relationship Id="rId177" Type="http://schemas.openxmlformats.org/officeDocument/2006/relationships/hyperlink" Target="https://bundesjustizamt.de/" TargetMode="External"/><Relationship Id="rId178" Type="http://schemas.openxmlformats.org/officeDocument/2006/relationships/hyperlink" Target="https://uscis.gov/" TargetMode="External"/><Relationship Id="rId179" Type="http://schemas.openxmlformats.org/officeDocument/2006/relationships/hyperlink" Target="https://law.cornell.edu/cfr/text/8/103.2" TargetMode="External"/><Relationship Id="rId180" Type="http://schemas.openxmlformats.org/officeDocument/2006/relationships/hyperlink" Target="https://travel.state.gov/" TargetMode="External"/><Relationship Id="rId181" Type="http://schemas.openxmlformats.org/officeDocument/2006/relationships/hyperlink" Target="https://wes.org/evaluations" TargetMode="External"/><Relationship Id="rId182" Type="http://schemas.openxmlformats.org/officeDocument/2006/relationships/hyperlink" Target="https://ece.org/" TargetMode="External"/><Relationship Id="rId183" Type="http://schemas.openxmlformats.org/officeDocument/2006/relationships/hyperlink" Target="https://naces.org/members" TargetMode="External"/><Relationship Id="rId184" Type="http://schemas.openxmlformats.org/officeDocument/2006/relationships/hyperlink" Target="https://ncees.org/engineering/pe" TargetMode="External"/><Relationship Id="rId185" Type="http://schemas.openxmlformats.org/officeDocument/2006/relationships/hyperlink" Target="https://ecfmg.org/certification-pathways" TargetMode="External"/><Relationship Id="rId186" Type="http://schemas.openxmlformats.org/officeDocument/2006/relationships/hyperlink" Target="https://trumerit.org/" TargetMode="External"/><Relationship Id="rId187" Type="http://schemas.openxmlformats.org/officeDocument/2006/relationships/hyperlink" Target="https://nclex.com/" TargetMode="External"/><Relationship Id="rId188" Type="http://schemas.openxmlformats.org/officeDocument/2006/relationships/footer" Target="footer34.xml"/><Relationship Id="rId189" Type="http://schemas.openxmlformats.org/officeDocument/2006/relationships/footer" Target="footer35.xml"/><Relationship Id="rId190" Type="http://schemas.openxmlformats.org/officeDocument/2006/relationships/footer" Target="footer36.xml"/><Relationship Id="rId191" Type="http://schemas.openxmlformats.org/officeDocument/2006/relationships/footer" Target="footer37.xml"/><Relationship Id="rId192" Type="http://schemas.openxmlformats.org/officeDocument/2006/relationships/footer" Target="footer38.xml"/><Relationship Id="rId193" Type="http://schemas.openxmlformats.org/officeDocument/2006/relationships/footer" Target="footer39.xml"/><Relationship Id="rId194" Type="http://schemas.openxmlformats.org/officeDocument/2006/relationships/hyperlink" Target="https://cbp.gov/document/forms/form-3299-declaration-free-entry-unaccompanied-articles" TargetMode="External"/><Relationship Id="rId195" Type="http://schemas.openxmlformats.org/officeDocument/2006/relationships/hyperlink" Target="https://law.cornell.edu/cfr/text/19/148.52" TargetMode="External"/><Relationship Id="rId196" Type="http://schemas.openxmlformats.org/officeDocument/2006/relationships/hyperlink" Target="https://aphis.usda.gov/" TargetMode="External"/><Relationship Id="rId197" Type="http://schemas.openxmlformats.org/officeDocument/2006/relationships/hyperlink" Target="https://irs.gov/pub/irs-pdf/p15b.pdf" TargetMode="External"/><Relationship Id="rId198" Type="http://schemas.openxmlformats.org/officeDocument/2006/relationships/hyperlink" Target="https://fidi.org/" TargetMode="External"/><Relationship Id="rId199" Type="http://schemas.openxmlformats.org/officeDocument/2006/relationships/hyperlink" Target="https://fmcsa.dot.gov/" TargetMode="External"/><Relationship Id="rId200" Type="http://schemas.openxmlformats.org/officeDocument/2006/relationships/hyperlink" Target="https://zoll.de/" TargetMode="External"/><Relationship Id="rId201" Type="http://schemas.openxmlformats.org/officeDocument/2006/relationships/hyperlink" Target="https://cbp.gov/" TargetMode="External"/><Relationship Id="rId202" Type="http://schemas.openxmlformats.org/officeDocument/2006/relationships/hyperlink" Target="https://ecfr.gov/" TargetMode="External"/><Relationship Id="rId203" Type="http://schemas.openxmlformats.org/officeDocument/2006/relationships/hyperlink" Target="https://federalregister.gov/" TargetMode="External"/><Relationship Id="rId204" Type="http://schemas.openxmlformats.org/officeDocument/2006/relationships/hyperlink" Target="https://nhtsa.gov/vehicle-safety/car-seats-and-booster-seats" TargetMode="External"/><Relationship Id="rId205" Type="http://schemas.openxmlformats.org/officeDocument/2006/relationships/hyperlink" Target="https://cpsc.gov/recalls" TargetMode="External"/><Relationship Id="rId206" Type="http://schemas.openxmlformats.org/officeDocument/2006/relationships/hyperlink" Target="https://iec.ch/world-plugs" TargetMode="External"/><Relationship Id="rId207" Type="http://schemas.openxmlformats.org/officeDocument/2006/relationships/hyperlink" Target="https://zoll.de/" TargetMode="External"/><Relationship Id="rId208" Type="http://schemas.openxmlformats.org/officeDocument/2006/relationships/hyperlink" Target="https://cdc.gov/importation" TargetMode="External"/><Relationship Id="rId209" Type="http://schemas.openxmlformats.org/officeDocument/2006/relationships/hyperlink" Target="https://aphis.usda.gov/pet-travel" TargetMode="External"/><Relationship Id="rId210" Type="http://schemas.openxmlformats.org/officeDocument/2006/relationships/hyperlink" Target="https://dab.hawaii.gov/ai" TargetMode="External"/><Relationship Id="rId211" Type="http://schemas.openxmlformats.org/officeDocument/2006/relationships/hyperlink" Target="https://maricopa.gov/226/Dog-License" TargetMode="External"/><Relationship Id="rId212" Type="http://schemas.openxmlformats.org/officeDocument/2006/relationships/hyperlink" Target="https://fws.gov/" TargetMode="External"/><Relationship Id="rId213" Type="http://schemas.openxmlformats.org/officeDocument/2006/relationships/hyperlink" Target="https://zoll.de/" TargetMode="External"/><Relationship Id="rId214" Type="http://schemas.openxmlformats.org/officeDocument/2006/relationships/footer" Target="footer40.xml"/><Relationship Id="rId215" Type="http://schemas.openxmlformats.org/officeDocument/2006/relationships/footer" Target="footer41.xml"/><Relationship Id="rId216" Type="http://schemas.openxmlformats.org/officeDocument/2006/relationships/footer" Target="footer42.xml"/><Relationship Id="rId217" Type="http://schemas.openxmlformats.org/officeDocument/2006/relationships/footer" Target="footer43.xml"/><Relationship Id="rId218" Type="http://schemas.openxmlformats.org/officeDocument/2006/relationships/footer" Target="footer44.xml"/><Relationship Id="rId219" Type="http://schemas.openxmlformats.org/officeDocument/2006/relationships/footer" Target="footer45.xml"/><Relationship Id="rId220" Type="http://schemas.openxmlformats.org/officeDocument/2006/relationships/hyperlink" Target="https://cbp.gov/travel/international-visitors/i-94" TargetMode="External"/><Relationship Id="rId221" Type="http://schemas.openxmlformats.org/officeDocument/2006/relationships/hyperlink" Target="https://i94.cbp.dhs.gov/" TargetMode="External"/><Relationship Id="rId222" Type="http://schemas.openxmlformats.org/officeDocument/2006/relationships/hyperlink" Target="https://federalregister.gov/d/2025-19655" TargetMode="External"/><Relationship Id="rId223" Type="http://schemas.openxmlformats.org/officeDocument/2006/relationships/hyperlink" Target="https://uscis.gov/i-9" TargetMode="External"/><Relationship Id="rId224" Type="http://schemas.openxmlformats.org/officeDocument/2006/relationships/hyperlink" Target="https://irs.gov/forms-pubs/about-form-w-4" TargetMode="External"/><Relationship Id="rId225" Type="http://schemas.openxmlformats.org/officeDocument/2006/relationships/hyperlink" Target="https://reportfraud.ftc.gov/" TargetMode="External"/><Relationship Id="rId226" Type="http://schemas.openxmlformats.org/officeDocument/2006/relationships/hyperlink" Target="https://germany.info/" TargetMode="External"/><Relationship Id="rId227" Type="http://schemas.openxmlformats.org/officeDocument/2006/relationships/hyperlink" Target="https://ssa.gov/forms/ss-5.pdf" TargetMode="External"/><Relationship Id="rId228" Type="http://schemas.openxmlformats.org/officeDocument/2006/relationships/hyperlink" Target="https://ssa.gov/international/Agreement_Pamphlets/germany.html" TargetMode="External"/><Relationship Id="rId229" Type="http://schemas.openxmlformats.org/officeDocument/2006/relationships/hyperlink" Target="https://ssa.gov/number-card" TargetMode="External"/><Relationship Id="rId230" Type="http://schemas.openxmlformats.org/officeDocument/2006/relationships/hyperlink" Target="https://irs.gov/individuals/how-do-i-apply-for-an-itin" TargetMode="External"/><Relationship Id="rId231" Type="http://schemas.openxmlformats.org/officeDocument/2006/relationships/hyperlink" Target="https://irs.gov/identity-theft-fraud-scams/get-an-identity-protection-pin" TargetMode="External"/><Relationship Id="rId232" Type="http://schemas.openxmlformats.org/officeDocument/2006/relationships/hyperlink" Target="https://consumer.ftc.gov/articles/what-know-about-credit-freezes-fraud-alerts" TargetMode="External"/><Relationship Id="rId233" Type="http://schemas.openxmlformats.org/officeDocument/2006/relationships/hyperlink" Target="https://myfico.com/" TargetMode="External"/><Relationship Id="rId234" Type="http://schemas.openxmlformats.org/officeDocument/2006/relationships/hyperlink" Target="https://annualcreditreport.com/" TargetMode="External"/><Relationship Id="rId235" Type="http://schemas.openxmlformats.org/officeDocument/2006/relationships/hyperlink" Target="https://federalreserve.gov/releases/g19" TargetMode="External"/><Relationship Id="rId236" Type="http://schemas.openxmlformats.org/officeDocument/2006/relationships/hyperlink" Target="https://consumer.ftc.gov/articles/what-know-about-credit-freezes-fraud-alerts" TargetMode="External"/><Relationship Id="rId237" Type="http://schemas.openxmlformats.org/officeDocument/2006/relationships/hyperlink" Target="https://identitytheft.gov/" TargetMode="External"/><Relationship Id="rId238" Type="http://schemas.openxmlformats.org/officeDocument/2006/relationships/hyperlink" Target="https://irs.gov/identity-theft-fraud-scams/get-an-identity-protection-pin" TargetMode="External"/><Relationship Id="rId239" Type="http://schemas.openxmlformats.org/officeDocument/2006/relationships/hyperlink" Target="https://novacredit.com/credit-passport" TargetMode="External"/><Relationship Id="rId240" Type="http://schemas.openxmlformats.org/officeDocument/2006/relationships/hyperlink" Target="https://wise.com/" TargetMode="External"/><Relationship Id="rId241" Type="http://schemas.openxmlformats.org/officeDocument/2006/relationships/hyperlink" Target="https://healthcare.gov/" TargetMode="External"/><Relationship Id="rId242" Type="http://schemas.openxmlformats.org/officeDocument/2006/relationships/hyperlink" Target="https://cms.gov/nosurprises/consumers" TargetMode="External"/><Relationship Id="rId243" Type="http://schemas.openxmlformats.org/officeDocument/2006/relationships/hyperlink" Target="https://dol.gov/agencies/ebsa" TargetMode="External"/><Relationship Id="rId244" Type="http://schemas.openxmlformats.org/officeDocument/2006/relationships/hyperlink" Target="https://irs.gov/publications/p969" TargetMode="External"/><Relationship Id="rId245" Type="http://schemas.openxmlformats.org/officeDocument/2006/relationships/hyperlink" Target="https://kff.org/health-costs/2025-employer-health-benefits-survey" TargetMode="External"/><Relationship Id="rId246" Type="http://schemas.openxmlformats.org/officeDocument/2006/relationships/hyperlink" Target="https://census.gov/library/publications/2026/demo/p60-291.html" TargetMode="External"/><Relationship Id="rId247" Type="http://schemas.openxmlformats.org/officeDocument/2006/relationships/hyperlink" Target="https://988lifeline.org/" TargetMode="External"/><Relationship Id="rId248" Type="http://schemas.openxmlformats.org/officeDocument/2006/relationships/hyperlink" Target="https://findtreatment.gov/" TargetMode="External"/><Relationship Id="rId249" Type="http://schemas.openxmlformats.org/officeDocument/2006/relationships/hyperlink" Target="https://germany.info/us-de" TargetMode="External"/><Relationship Id="rId250" Type="http://schemas.openxmlformats.org/officeDocument/2006/relationships/hyperlink" Target="https://dmv.ca.gov/" TargetMode="External"/><Relationship Id="rId251" Type="http://schemas.openxmlformats.org/officeDocument/2006/relationships/hyperlink" Target="https://dmv.ny.gov/" TargetMode="External"/><Relationship Id="rId252" Type="http://schemas.openxmlformats.org/officeDocument/2006/relationships/hyperlink" Target="https://dps.texas.gov/" TargetMode="External"/><Relationship Id="rId253" Type="http://schemas.openxmlformats.org/officeDocument/2006/relationships/hyperlink" Target="https://dol.wa.gov/" TargetMode="External"/><Relationship Id="rId254" Type="http://schemas.openxmlformats.org/officeDocument/2006/relationships/hyperlink" Target="https://dmv.colorado.gov/" TargetMode="External"/><Relationship Id="rId255" Type="http://schemas.openxmlformats.org/officeDocument/2006/relationships/hyperlink" Target="https://ncdot.gov/dmv" TargetMode="External"/><Relationship Id="rId256" Type="http://schemas.openxmlformats.org/officeDocument/2006/relationships/hyperlink" Target="https://flhsmv.gov/" TargetMode="External"/><Relationship Id="rId257" Type="http://schemas.openxmlformats.org/officeDocument/2006/relationships/hyperlink" Target="https://oregon.gov/odot/dmv" TargetMode="External"/><Relationship Id="rId258" Type="http://schemas.openxmlformats.org/officeDocument/2006/relationships/hyperlink" Target="https://dld.utah.gov/" TargetMode="External"/><Relationship Id="rId259" Type="http://schemas.openxmlformats.org/officeDocument/2006/relationships/hyperlink" Target="https://tsa.gov/real-id" TargetMode="External"/><Relationship Id="rId260" Type="http://schemas.openxmlformats.org/officeDocument/2006/relationships/hyperlink" Target="https://cbp.gov/trade/basic-import-export/importing-car" TargetMode="External"/><Relationship Id="rId261" Type="http://schemas.openxmlformats.org/officeDocument/2006/relationships/hyperlink" Target="https://eia.gov/petroleum/gasdiesel" TargetMode="External"/><Relationship Id="rId262" Type="http://schemas.openxmlformats.org/officeDocument/2006/relationships/hyperlink" Target="https://irs.gov/individuals/international-taxpayers/taxation-of-nonresident-aliens" TargetMode="External"/><Relationship Id="rId263" Type="http://schemas.openxmlformats.org/officeDocument/2006/relationships/hyperlink" Target="https://irs.gov/publications/p519" TargetMode="External"/><Relationship Id="rId264" Type="http://schemas.openxmlformats.org/officeDocument/2006/relationships/hyperlink" Target="https://irs.gov/credits-deductions/individuals/child-tax-credit" TargetMode="External"/><Relationship Id="rId265" Type="http://schemas.openxmlformats.org/officeDocument/2006/relationships/hyperlink" Target="https://irs.gov/businesses/small-businesses-self-employed/report-of-foreign-bank-and-financial-accounts-fbar" TargetMode="External"/><Relationship Id="rId266" Type="http://schemas.openxmlformats.org/officeDocument/2006/relationships/hyperlink" Target="https://irs.gov/businesses/comparison-of-form-8938-and-fbar-requirements" TargetMode="External"/><Relationship Id="rId267" Type="http://schemas.openxmlformats.org/officeDocument/2006/relationships/hyperlink" Target="https://irs.gov/pub/irs-trty/germany.pdf" TargetMode="External"/><Relationship Id="rId268" Type="http://schemas.openxmlformats.org/officeDocument/2006/relationships/hyperlink" Target="https://irs.gov/payments/failure-to-file-penalty" TargetMode="External"/><Relationship Id="rId269" Type="http://schemas.openxmlformats.org/officeDocument/2006/relationships/hyperlink" Target="https://irs.gov/tax-professionals/choosing-a-tax-professional" TargetMode="External"/><Relationship Id="rId270" Type="http://schemas.openxmlformats.org/officeDocument/2006/relationships/hyperlink" Target="https://irs.gov/newsroom/tax-scams-consumer-alerts" TargetMode="External"/><Relationship Id="rId271" Type="http://schemas.openxmlformats.org/officeDocument/2006/relationships/footer" Target="footer46.xml"/><Relationship Id="rId272" Type="http://schemas.openxmlformats.org/officeDocument/2006/relationships/footer" Target="footer47.xml"/><Relationship Id="rId273" Type="http://schemas.openxmlformats.org/officeDocument/2006/relationships/footer" Target="footer48.xml"/><Relationship Id="rId274" Type="http://schemas.openxmlformats.org/officeDocument/2006/relationships/footer" Target="footer49.xml"/><Relationship Id="rId275" Type="http://schemas.openxmlformats.org/officeDocument/2006/relationships/footer" Target="footer50.xml"/><Relationship Id="rId276" Type="http://schemas.openxmlformats.org/officeDocument/2006/relationships/footer" Target="footer51.xml"/><Relationship Id="rId277" Type="http://schemas.openxmlformats.org/officeDocument/2006/relationships/hyperlink" Target="https://dol.gov/agencies/whd/fmla" TargetMode="External"/><Relationship Id="rId278" Type="http://schemas.openxmlformats.org/officeDocument/2006/relationships/hyperlink" Target="https://dol.gov/agencies/whd/flsa" TargetMode="External"/><Relationship Id="rId279" Type="http://schemas.openxmlformats.org/officeDocument/2006/relationships/hyperlink" Target="https://eeoc.gov/" TargetMode="External"/><Relationship Id="rId280" Type="http://schemas.openxmlformats.org/officeDocument/2006/relationships/hyperlink" Target="https://ftc.gov/" TargetMode="External"/><Relationship Id="rId281" Type="http://schemas.openxmlformats.org/officeDocument/2006/relationships/hyperlink" Target="https://bls.gov/ebs" TargetMode="External"/><Relationship Id="rId282" Type="http://schemas.openxmlformats.org/officeDocument/2006/relationships/hyperlink" Target="https://bls.gov/oes" TargetMode="External"/><Relationship Id="rId283" Type="http://schemas.openxmlformats.org/officeDocument/2006/relationships/hyperlink" Target="https://irs.gov/retirement-plans/401k-plans" TargetMode="External"/><Relationship Id="rId284" Type="http://schemas.openxmlformats.org/officeDocument/2006/relationships/hyperlink" Target="https://dol.gov/agencies/eta/foreign-labor/programs/h-1b" TargetMode="External"/><Relationship Id="rId285" Type="http://schemas.openxmlformats.org/officeDocument/2006/relationships/hyperlink" Target="https://careeronestop.org/" TargetMode="External"/><Relationship Id="rId286" Type="http://schemas.openxmlformats.org/officeDocument/2006/relationships/hyperlink" Target="https://uscis.gov/working-in-the-united-states/h-1b-specialty-occupations" TargetMode="External"/><Relationship Id="rId287" Type="http://schemas.openxmlformats.org/officeDocument/2006/relationships/hyperlink" Target="https://uscis.gov/g-1055" TargetMode="External"/><Relationship Id="rId288" Type="http://schemas.openxmlformats.org/officeDocument/2006/relationships/hyperlink" Target="https://uscis.gov/policy-manual/volume-7-part-e-chapter-5" TargetMode="External"/><Relationship Id="rId289" Type="http://schemas.openxmlformats.org/officeDocument/2006/relationships/hyperlink" Target="https://uscis.gov/ar-11" TargetMode="External"/><Relationship Id="rId290" Type="http://schemas.openxmlformats.org/officeDocument/2006/relationships/hyperlink" Target="https://federalregister.gov/" TargetMode="External"/><Relationship Id="rId291" Type="http://schemas.openxmlformats.org/officeDocument/2006/relationships/hyperlink" Target="https://dol.gov/agencies/eta/foreign-labor/programs/h-1b" TargetMode="External"/><Relationship Id="rId292" Type="http://schemas.openxmlformats.org/officeDocument/2006/relationships/hyperlink" Target="https://dol.gov/general/topic/health-plans/cobra" TargetMode="External"/><Relationship Id="rId293" Type="http://schemas.openxmlformats.org/officeDocument/2006/relationships/hyperlink" Target="https://dol.gov/agencies/eta/layoffs/warn" TargetMode="External"/><Relationship Id="rId294" Type="http://schemas.openxmlformats.org/officeDocument/2006/relationships/footer" Target="footer52.xml"/><Relationship Id="rId295" Type="http://schemas.openxmlformats.org/officeDocument/2006/relationships/footer" Target="footer53.xml"/><Relationship Id="rId296" Type="http://schemas.openxmlformats.org/officeDocument/2006/relationships/footer" Target="footer54.xml"/><Relationship Id="rId297" Type="http://schemas.openxmlformats.org/officeDocument/2006/relationships/footer" Target="footer55.xml"/><Relationship Id="rId298" Type="http://schemas.openxmlformats.org/officeDocument/2006/relationships/footer" Target="footer56.xml"/><Relationship Id="rId299" Type="http://schemas.openxmlformats.org/officeDocument/2006/relationships/footer" Target="footer57.xml"/><Relationship Id="rId300" Type="http://schemas.openxmlformats.org/officeDocument/2006/relationships/hyperlink" Target="https://pewresearch.org/religion" TargetMode="External"/><Relationship Id="rId301" Type="http://schemas.openxmlformats.org/officeDocument/2006/relationships/hyperlink" Target="https://pewresearch.org/short-reads" TargetMode="External"/><Relationship Id="rId302" Type="http://schemas.openxmlformats.org/officeDocument/2006/relationships/hyperlink" Target="https://dol.gov/agencies/whd" TargetMode="External"/><Relationship Id="rId303" Type="http://schemas.openxmlformats.org/officeDocument/2006/relationships/hyperlink" Target="https://ftc.gov/" TargetMode="External"/><Relationship Id="rId304" Type="http://schemas.openxmlformats.org/officeDocument/2006/relationships/hyperlink" Target="https://fec.gov/" TargetMode="External"/><Relationship Id="rId305" Type="http://schemas.openxmlformats.org/officeDocument/2006/relationships/hyperlink" Target="https://uscis.gov/policy-manual" TargetMode="External"/><Relationship Id="rId306" Type="http://schemas.openxmlformats.org/officeDocument/2006/relationships/hyperlink" Target="https://dea.gov/marijuana-rescheduling-regulatory-actions" TargetMode="External"/><Relationship Id="rId307" Type="http://schemas.openxmlformats.org/officeDocument/2006/relationships/hyperlink" Target="https://opm.gov/policy-data-oversight/pay-leave/federal-holidays" TargetMode="External"/><Relationship Id="rId308" Type="http://schemas.openxmlformats.org/officeDocument/2006/relationships/hyperlink" Target="https://alcoholpolicy.niaaa.nih.gov/" TargetMode="External"/><Relationship Id="rId309" Type="http://schemas.openxmlformats.org/officeDocument/2006/relationships/hyperlink" Target="https://news.ku.edu/" TargetMode="External"/><Relationship Id="rId310" Type="http://schemas.openxmlformats.org/officeDocument/2006/relationships/hyperlink" Target="https://census.gov/topics/population/migration" TargetMode="External"/><Relationship Id="rId311" Type="http://schemas.openxmlformats.org/officeDocument/2006/relationships/hyperlink" Target="https://ekd.de/auslandsgemeinden-amerika-47196.htm" TargetMode="External"/><Relationship Id="rId312" Type="http://schemas.openxmlformats.org/officeDocument/2006/relationships/hyperlink" Target="https://goethe.de/ins/us" TargetMode="External"/><Relationship Id="rId313" Type="http://schemas.openxmlformats.org/officeDocument/2006/relationships/hyperlink" Target="https://idealist.org/" TargetMode="External"/><Relationship Id="rId314" Type="http://schemas.openxmlformats.org/officeDocument/2006/relationships/hyperlink" Target="https://uscis.gov/" TargetMode="External"/><Relationship Id="rId315" Type="http://schemas.openxmlformats.org/officeDocument/2006/relationships/hyperlink" Target="https://help.meetup.com/" TargetMode="External"/><Relationship Id="rId316" Type="http://schemas.openxmlformats.org/officeDocument/2006/relationships/hyperlink" Target="https://988lifeline.org/" TargetMode="External"/><Relationship Id="rId317" Type="http://schemas.openxmlformats.org/officeDocument/2006/relationships/hyperlink" Target="https://samhsa.gov/mental-health/988/faqs" TargetMode="External"/><Relationship Id="rId318" Type="http://schemas.openxmlformats.org/officeDocument/2006/relationships/hyperlink" Target="https://findtreatment.gov/" TargetMode="External"/><Relationship Id="rId319" Type="http://schemas.openxmlformats.org/officeDocument/2006/relationships/hyperlink" Target="https://psychologytoday.com/us/therapists/german" TargetMode="External"/><Relationship Id="rId320" Type="http://schemas.openxmlformats.org/officeDocument/2006/relationships/hyperlink" Target="https://openpathcollective.org/" TargetMode="External"/><Relationship Id="rId321" Type="http://schemas.openxmlformats.org/officeDocument/2006/relationships/hyperlink" Target="https://opm.gov/" TargetMode="External"/><Relationship Id="rId322" Type="http://schemas.openxmlformats.org/officeDocument/2006/relationships/hyperlink" Target="https://nces.ed.gov/fastfacts" TargetMode="External"/><Relationship Id="rId323" Type="http://schemas.openxmlformats.org/officeDocument/2006/relationships/hyperlink" Target="https://cpsc.gov/" TargetMode="External"/><Relationship Id="rId324" Type="http://schemas.openxmlformats.org/officeDocument/2006/relationships/hyperlink" Target="https://ftc.gov/" TargetMode="External"/><Relationship Id="rId325" Type="http://schemas.openxmlformats.org/officeDocument/2006/relationships/hyperlink" Target="https://weather.gov/safety" TargetMode="External"/><Relationship Id="rId326" Type="http://schemas.openxmlformats.org/officeDocument/2006/relationships/hyperlink" Target="https://aad.org/" TargetMode="External"/><Relationship Id="rId327" Type="http://schemas.openxmlformats.org/officeDocument/2006/relationships/hyperlink" Target="https://tax.ny.gov/" TargetMode="External"/><Relationship Id="rId328" Type="http://schemas.openxmlformats.org/officeDocument/2006/relationships/hyperlink" Target="https://revenue.pa.gov/" TargetMode="External"/><Relationship Id="rId329" Type="http://schemas.openxmlformats.org/officeDocument/2006/relationships/hyperlink" Target="https://fna.usda.gov/research/cnpp/usda-food-plans" TargetMode="External"/><Relationship Id="rId330" Type="http://schemas.openxmlformats.org/officeDocument/2006/relationships/hyperlink" Target="https://fna.usda.gov/nslp" TargetMode="External"/><Relationship Id="rId331" Type="http://schemas.openxmlformats.org/officeDocument/2006/relationships/hyperlink" Target="https://bls.gov/" TargetMode="External"/><Relationship Id="rId332" Type="http://schemas.openxmlformats.org/officeDocument/2006/relationships/hyperlink" Target="https://usda.gov/topics/organic" TargetMode="External"/><Relationship Id="rId333" Type="http://schemas.openxmlformats.org/officeDocument/2006/relationships/hyperlink" Target="https://fda.gov/food" TargetMode="External"/><Relationship Id="rId334" Type="http://schemas.openxmlformats.org/officeDocument/2006/relationships/hyperlink" Target="https://epa.gov/ground-water-and-drinking-water" TargetMode="External"/><Relationship Id="rId335" Type="http://schemas.openxmlformats.org/officeDocument/2006/relationships/hyperlink" Target="https://alcoholpolicy.niaaa.nih.gov/" TargetMode="External"/><Relationship Id="rId336" Type="http://schemas.openxmlformats.org/officeDocument/2006/relationships/hyperlink" Target="https://cbp.gov/" TargetMode="External"/><Relationship Id="rId337" Type="http://schemas.openxmlformats.org/officeDocument/2006/relationships/footer" Target="footer58.xml"/><Relationship Id="rId338" Type="http://schemas.openxmlformats.org/officeDocument/2006/relationships/footer" Target="footer59.xml"/><Relationship Id="rId339" Type="http://schemas.openxmlformats.org/officeDocument/2006/relationships/footer" Target="footer60.xml"/><Relationship Id="rId340" Type="http://schemas.openxmlformats.org/officeDocument/2006/relationships/footer" Target="footer61.xml"/><Relationship Id="rId341" Type="http://schemas.openxmlformats.org/officeDocument/2006/relationships/footer" Target="footer62.xml"/><Relationship Id="rId342" Type="http://schemas.openxmlformats.org/officeDocument/2006/relationships/footer" Target="footer63.xml"/><Relationship Id="rId343" Type="http://schemas.openxmlformats.org/officeDocument/2006/relationships/hyperlink" Target="https://nces.ed.gov/fastfacts" TargetMode="External"/><Relationship Id="rId344" Type="http://schemas.openxmlformats.org/officeDocument/2006/relationships/hyperlink" Target="https://nces.ed.gov/programs/digest" TargetMode="External"/><Relationship Id="rId345" Type="http://schemas.openxmlformats.org/officeDocument/2006/relationships/hyperlink" Target="https://ed.gov/" TargetMode="External"/><Relationship Id="rId346" Type="http://schemas.openxmlformats.org/officeDocument/2006/relationships/hyperlink" Target="https://greatschools.org/gk/ratings" TargetMode="External"/><Relationship Id="rId347" Type="http://schemas.openxmlformats.org/officeDocument/2006/relationships/hyperlink" Target="https://mischooldata.org/" TargetMode="External"/><Relationship Id="rId348" Type="http://schemas.openxmlformats.org/officeDocument/2006/relationships/hyperlink" Target="https://auslandsschulwesen.de/" TargetMode="External"/><Relationship Id="rId349" Type="http://schemas.openxmlformats.org/officeDocument/2006/relationships/hyperlink" Target="https://collegeboard.org/" TargetMode="External"/><Relationship Id="rId350" Type="http://schemas.openxmlformats.org/officeDocument/2006/relationships/hyperlink" Target="https://wida.wisc.edu/assess/screener" TargetMode="External"/><Relationship Id="rId351" Type="http://schemas.openxmlformats.org/officeDocument/2006/relationships/hyperlink" Target="https://ed.gov/" TargetMode="External"/><Relationship Id="rId352" Type="http://schemas.openxmlformats.org/officeDocument/2006/relationships/hyperlink" Target="https://law.cornell.edu/uscode/text/20/6312" TargetMode="External"/><Relationship Id="rId353" Type="http://schemas.openxmlformats.org/officeDocument/2006/relationships/hyperlink" Target="https://aefla.ed.gov/" TargetMode="External"/><Relationship Id="rId354" Type="http://schemas.openxmlformats.org/officeDocument/2006/relationships/hyperlink" Target="https://gissv.org/gissv-home-english/locations/saturday-school" TargetMode="External"/><Relationship Id="rId355" Type="http://schemas.openxmlformats.org/officeDocument/2006/relationships/hyperlink" Target="https://tcgis.org/" TargetMode="External"/><Relationship Id="rId356" Type="http://schemas.openxmlformats.org/officeDocument/2006/relationships/hyperlink" Target="https://goethe.de/ins/us/en/spr/prf.html" TargetMode="External"/><Relationship Id="rId357" Type="http://schemas.openxmlformats.org/officeDocument/2006/relationships/hyperlink" Target="https://ets.org/toefl" TargetMode="External"/><Relationship Id="rId358" Type="http://schemas.openxmlformats.org/officeDocument/2006/relationships/hyperlink" Target="https://ielts.org/" TargetMode="External"/><Relationship Id="rId359" Type="http://schemas.openxmlformats.org/officeDocument/2006/relationships/hyperlink" Target="https://supremecourt.gov/opinions/25pdf/25-365_4hdj.pdf" TargetMode="External"/><Relationship Id="rId360" Type="http://schemas.openxmlformats.org/officeDocument/2006/relationships/hyperlink" Target="https://germany.info/" TargetMode="External"/><Relationship Id="rId361" Type="http://schemas.openxmlformats.org/officeDocument/2006/relationships/hyperlink" Target="https://dol.gov/agencies/whd/fmla" TargetMode="External"/><Relationship Id="rId362" Type="http://schemas.openxmlformats.org/officeDocument/2006/relationships/hyperlink" Target="https://childcareaware.org/" TargetMode="External"/><Relationship Id="rId363" Type="http://schemas.openxmlformats.org/officeDocument/2006/relationships/hyperlink" Target="https://j1visa.state.gov/programs/au-pair" TargetMode="External"/><Relationship Id="rId364" Type="http://schemas.openxmlformats.org/officeDocument/2006/relationships/hyperlink" Target="https://research.collegeboard.org/trends/college-pricing" TargetMode="External"/><Relationship Id="rId365" Type="http://schemas.openxmlformats.org/officeDocument/2006/relationships/hyperlink" Target="https://studentaid.gov/" TargetMode="External"/><Relationship Id="rId366" Type="http://schemas.openxmlformats.org/officeDocument/2006/relationships/hyperlink" Target="https://daad.org/en/study-research-in-germany/study-in-germany/undergraduate" TargetMode="External"/><Relationship Id="rId367" Type="http://schemas.openxmlformats.org/officeDocument/2006/relationships/footer" Target="footer64.xml"/><Relationship Id="rId368" Type="http://schemas.openxmlformats.org/officeDocument/2006/relationships/footer" Target="footer65.xml"/><Relationship Id="rId369" Type="http://schemas.openxmlformats.org/officeDocument/2006/relationships/footer" Target="footer66.xml"/><Relationship Id="rId370" Type="http://schemas.openxmlformats.org/officeDocument/2006/relationships/footer" Target="footer67.xml"/><Relationship Id="rId371" Type="http://schemas.openxmlformats.org/officeDocument/2006/relationships/footer" Target="footer68.xml"/><Relationship Id="rId372" Type="http://schemas.openxmlformats.org/officeDocument/2006/relationships/footer" Target="footer69.xml"/><Relationship Id="rId373" Type="http://schemas.openxmlformats.org/officeDocument/2006/relationships/hyperlink" Target="https://ssa.gov/international/Agreement_Pamphlets/germany.html" TargetMode="External"/><Relationship Id="rId374" Type="http://schemas.openxmlformats.org/officeDocument/2006/relationships/hyperlink" Target="https://ssa.gov/benefits/retirement/social-security-fairness-act.html" TargetMode="External"/><Relationship Id="rId375" Type="http://schemas.openxmlformats.org/officeDocument/2006/relationships/hyperlink" Target="https://medicare.gov/basics/costs" TargetMode="External"/><Relationship Id="rId376" Type="http://schemas.openxmlformats.org/officeDocument/2006/relationships/hyperlink" Target="https://irs.gov/businesses/small-businesses-self-employed/whats-new-estate-and-gift-tax" TargetMode="External"/><Relationship Id="rId377" Type="http://schemas.openxmlformats.org/officeDocument/2006/relationships/hyperlink" Target="https://irs.gov/instructions/i3520" TargetMode="External"/><Relationship Id="rId378" Type="http://schemas.openxmlformats.org/officeDocument/2006/relationships/hyperlink" Target="https://deutsche-rentenversicherung.de/" TargetMode="External"/><Relationship Id="rId379" Type="http://schemas.openxmlformats.org/officeDocument/2006/relationships/hyperlink" Target="https://gesetze-im-internet.de/erbstg_1974" TargetMode="External"/><Relationship Id="rId380" Type="http://schemas.openxmlformats.org/officeDocument/2006/relationships/hyperlink" Target="https://letsmakeaplan.org/" TargetMode="External"/><Relationship Id="rId381" Type="http://schemas.openxmlformats.org/officeDocument/2006/relationships/hyperlink" Target="https://uscis.gov/alienregistration" TargetMode="External"/><Relationship Id="rId382" Type="http://schemas.openxmlformats.org/officeDocument/2006/relationships/hyperlink" Target="https://uscis.gov/ar-11" TargetMode="External"/><Relationship Id="rId383" Type="http://schemas.openxmlformats.org/officeDocument/2006/relationships/hyperlink" Target="https://sss.gov/" TargetMode="External"/><Relationship Id="rId384" Type="http://schemas.openxmlformats.org/officeDocument/2006/relationships/hyperlink" Target="https://law.cornell.edu/uscode/text/18/922" TargetMode="External"/><Relationship Id="rId385" Type="http://schemas.openxmlformats.org/officeDocument/2006/relationships/hyperlink" Target="https://mapresearch.org/equality-maps" TargetMode="External"/><Relationship Id="rId386" Type="http://schemas.openxmlformats.org/officeDocument/2006/relationships/hyperlink" Target="https://dea.gov/marijuana-rescheduling-regulatory-actions" TargetMode="External"/><Relationship Id="rId387" Type="http://schemas.openxmlformats.org/officeDocument/2006/relationships/hyperlink" Target="https://reportfraud.ftc.gov/" TargetMode="External"/><Relationship Id="rId388" Type="http://schemas.openxmlformats.org/officeDocument/2006/relationships/hyperlink" Target="https://identitytheft.gov/" TargetMode="External"/><Relationship Id="rId389" Type="http://schemas.openxmlformats.org/officeDocument/2006/relationships/hyperlink" Target="https://ready.gov/" TargetMode="External"/><Relationship Id="rId390" Type="http://schemas.openxmlformats.org/officeDocument/2006/relationships/hyperlink" Target="https://weather.gov/" TargetMode="External"/><Relationship Id="rId391" Type="http://schemas.openxmlformats.org/officeDocument/2006/relationships/hyperlink" Target="https://germany.info/us-de/service/hilfe" TargetMode="External"/><Relationship Id="rId392" Type="http://schemas.openxmlformats.org/officeDocument/2006/relationships/hyperlink" Target="https://aclu.org/know-your-rights/photographers" TargetMode="External"/><Relationship Id="rId393" Type="http://schemas.openxmlformats.org/officeDocument/2006/relationships/hyperlink" Target="https://uscis.gov/n-400" TargetMode="External"/><Relationship Id="rId394" Type="http://schemas.openxmlformats.org/officeDocument/2006/relationships/hyperlink" Target="https://uscis.gov/citizenship" TargetMode="External"/><Relationship Id="rId395" Type="http://schemas.openxmlformats.org/officeDocument/2006/relationships/hyperlink" Target="https://uscis.gov/g-1055" TargetMode="External"/><Relationship Id="rId396" Type="http://schemas.openxmlformats.org/officeDocument/2006/relationships/hyperlink" Target="https://egov.uscis.gov/processing-times" TargetMode="External"/><Relationship Id="rId397" Type="http://schemas.openxmlformats.org/officeDocument/2006/relationships/hyperlink" Target="https://travel.state.gov/" TargetMode="External"/><Relationship Id="rId398" Type="http://schemas.openxmlformats.org/officeDocument/2006/relationships/hyperlink" Target="https://irs.gov/individuals/international-taxpayers/expatriation-tax" TargetMode="External"/><Relationship Id="rId399" Type="http://schemas.openxmlformats.org/officeDocument/2006/relationships/hyperlink" Target="https://bva.bund.de/" TargetMode="External"/><Relationship Id="rId400" Type="http://schemas.openxmlformats.org/officeDocument/2006/relationships/hyperlink" Target="https://germany.info/us-en" TargetMode="External"/><Relationship Id="rId401" Type="http://schemas.openxmlformats.org/officeDocument/2006/relationships/hyperlink" Target="https://bundeswahlleiterin.de/" TargetMode="External"/><Relationship Id="rId402" Type="http://schemas.openxmlformats.org/officeDocument/2006/relationships/hyperlink" Target="https://supremecourt.gov/opinions/25pdf/25-365_4hdj.pdf" TargetMode="External"/><Relationship Id="rId403" Type="http://schemas.openxmlformats.org/officeDocument/2006/relationships/hyperlink" Target="https://uscis.gov/green-card" TargetMode="External"/><Relationship Id="rId404" Type="http://schemas.openxmlformats.org/officeDocument/2006/relationships/hyperlink" Target="https://uscis.gov/i-131" TargetMode="External"/><Relationship Id="rId405" Type="http://schemas.openxmlformats.org/officeDocument/2006/relationships/hyperlink" Target="https://irs.gov/individuals/international-taxpayers/expatriation-tax" TargetMode="External"/><Relationship Id="rId406" Type="http://schemas.openxmlformats.org/officeDocument/2006/relationships/hyperlink" Target="https://irs.gov/individuals/international-taxpayers/firpta-withholding" TargetMode="External"/><Relationship Id="rId407" Type="http://schemas.openxmlformats.org/officeDocument/2006/relationships/hyperlink" Target="https://gesetze-im-internet.de/sgb_5" TargetMode="External"/><Relationship Id="rId408" Type="http://schemas.openxmlformats.org/officeDocument/2006/relationships/hyperlink" Target="https://deutsche-rentenversicherung.de/" TargetMode="External"/><Relationship Id="rId409" Type="http://schemas.openxmlformats.org/officeDocument/2006/relationships/hyperlink" Target="https://zoll.de/" TargetMode="External"/><Relationship Id="rId410" Type="http://schemas.openxmlformats.org/officeDocument/2006/relationships/hyperlink" Target="https://daad.org/" TargetMode="External"/><Relationship Id="rId411" Type="http://schemas.openxmlformats.org/officeDocument/2006/relationships/footer" Target="footer70.xml"/><Relationship Id="rId412" Type="http://schemas.openxmlformats.org/officeDocument/2006/relationships/footer" Target="footer71.xml"/><Relationship Id="rId413" Type="http://schemas.openxmlformats.org/officeDocument/2006/relationships/footer" Target="footer72.xml"/><Relationship Id="rId414" Type="http://schemas.openxmlformats.org/officeDocument/2006/relationships/footer" Target="footer73.xml"/><Relationship Id="rId415" Type="http://schemas.openxmlformats.org/officeDocument/2006/relationships/footer" Target="footer74.xml"/><Relationship Id="rId416" Type="http://schemas.openxmlformats.org/officeDocument/2006/relationships/footer" Target="footer75.xml"/><Relationship Id="rId417" Type="http://schemas.openxmlformats.org/officeDocument/2006/relationships/hyperlink" Target="https://immi.homeaffairs.gov.au/" TargetMode="External"/><Relationship Id="rId418" Type="http://schemas.openxmlformats.org/officeDocument/2006/relationships/hyperlink" Target="https://ato.gov.au/" TargetMode="External"/><Relationship Id="rId419" Type="http://schemas.openxmlformats.org/officeDocument/2006/relationships/hyperlink" Target="https://servicesaustralia.gov.au/" TargetMode="External"/><Relationship Id="rId420" Type="http://schemas.openxmlformats.org/officeDocument/2006/relationships/hyperlink" Target="https://ato.gov.au/" TargetMode="External"/><Relationship Id="rId421" Type="http://schemas.openxmlformats.org/officeDocument/2006/relationships/hyperlink" Target="https://oecd.org/" TargetMode="External"/><Relationship Id="rId422" Type="http://schemas.openxmlformats.org/officeDocument/2006/relationships/hyperlink" Target="https://numbeo.com/" TargetMode="External"/><Relationship Id="rId423" Type="http://schemas.openxmlformats.org/officeDocument/2006/relationships/hyperlink" Target="https://immi.homeaffairs.gov.au/" TargetMode="External"/><Relationship Id="rId424" Type="http://schemas.openxmlformats.org/officeDocument/2006/relationships/hyperlink" Target="https://immi.homeaffairs.gov.au/visas/working-in-australia/skillselect" TargetMode="External"/><Relationship Id="rId425" Type="http://schemas.openxmlformats.org/officeDocument/2006/relationships/hyperlink" Target="https://immi.homeaffairs.gov.au/" TargetMode="External"/><Relationship Id="rId426" Type="http://schemas.openxmlformats.org/officeDocument/2006/relationships/hyperlink" Target="https://immi.homeaffairs.gov.au/" TargetMode="External"/><Relationship Id="rId427" Type="http://schemas.openxmlformats.org/officeDocument/2006/relationships/hyperlink" Target="https://immi.homeaffairs.gov.au/visas/getting-a-visa/fees-and-charges" TargetMode="External"/><Relationship Id="rId428" Type="http://schemas.openxmlformats.org/officeDocument/2006/relationships/hyperlink" Target="https://immi.homeaffairs.gov.au/" TargetMode="External"/><Relationship Id="rId429" Type="http://schemas.openxmlformats.org/officeDocument/2006/relationships/hyperlink" Target="https://immi.homeaffairs.gov.au/" TargetMode="External"/><Relationship Id="rId430" Type="http://schemas.openxmlformats.org/officeDocument/2006/relationships/hyperlink" Target="https://immi.homeaffairs.gov.au/" TargetMode="External"/><Relationship Id="rId431" Type="http://schemas.openxmlformats.org/officeDocument/2006/relationships/hyperlink" Target="https://immi.homeaffairs.gov.au/" TargetMode="External"/><Relationship Id="rId432" Type="http://schemas.openxmlformats.org/officeDocument/2006/relationships/hyperlink" Target="https://immi.homeaffairs.gov.au/" TargetMode="External"/><Relationship Id="rId433" Type="http://schemas.openxmlformats.org/officeDocument/2006/relationships/hyperlink" Target="https://immi.homeaffairs.gov.au/visas/working-in-australia/skillselect" TargetMode="External"/><Relationship Id="rId434" Type="http://schemas.openxmlformats.org/officeDocument/2006/relationships/hyperlink" Target="https://immi.homeaffairs.gov.au/visas/getting-a-visa/fees-and-charges" TargetMode="External"/><Relationship Id="rId435" Type="http://schemas.openxmlformats.org/officeDocument/2006/relationships/hyperlink" Target="https://dewr.gov.au/" TargetMode="External"/><Relationship Id="rId436" Type="http://schemas.openxmlformats.org/officeDocument/2006/relationships/hyperlink" Target="https://immi.homeaffairs.gov.au/" TargetMode="External"/><Relationship Id="rId437" Type="http://schemas.openxmlformats.org/officeDocument/2006/relationships/hyperlink" Target="https://immi.homeaffairs.gov.au/" TargetMode="External"/><Relationship Id="rId438" Type="http://schemas.openxmlformats.org/officeDocument/2006/relationships/hyperlink" Target="https://immi.homeaffairs.gov.au/" TargetMode="External"/><Relationship Id="rId439" Type="http://schemas.openxmlformats.org/officeDocument/2006/relationships/hyperlink" Target="https://immi.homeaffairs.gov.au/" TargetMode="External"/><Relationship Id="rId440" Type="http://schemas.openxmlformats.org/officeDocument/2006/relationships/hyperlink" Target="https://immi.homeaffairs.gov.au/visas/getting-a-visa/visa-processing-times" TargetMode="External"/><Relationship Id="rId441" Type="http://schemas.openxmlformats.org/officeDocument/2006/relationships/hyperlink" Target="https://ato.gov.au/" TargetMode="External"/><Relationship Id="rId442" Type="http://schemas.openxmlformats.org/officeDocument/2006/relationships/hyperlink" Target="https://immi.homeaffairs.gov.au/" TargetMode="External"/><Relationship Id="rId443" Type="http://schemas.openxmlformats.org/officeDocument/2006/relationships/hyperlink" Target="https://immi.homeaffairs.gov.au/visas/working-in-australia/skillselect" TargetMode="External"/><Relationship Id="rId444" Type="http://schemas.openxmlformats.org/officeDocument/2006/relationships/hyperlink" Target="https://immi.homeaffairs.gov.au/visas/getting-a-visa/visa-processing-times" TargetMode="External"/><Relationship Id="rId445" Type="http://schemas.openxmlformats.org/officeDocument/2006/relationships/hyperlink" Target="https://portal.mara.gov.au/" TargetMode="External"/><Relationship Id="rId446" Type="http://schemas.openxmlformats.org/officeDocument/2006/relationships/hyperlink" Target="https://bundesjustizamt.de/" TargetMode="External"/><Relationship Id="rId447" Type="http://schemas.openxmlformats.org/officeDocument/2006/relationships/hyperlink" Target="https://bfaa.diplo.de/" TargetMode="External"/><Relationship Id="rId448" Type="http://schemas.openxmlformats.org/officeDocument/2006/relationships/hyperlink" Target="https://australien.diplo.de/" TargetMode="External"/><Relationship Id="rId449" Type="http://schemas.openxmlformats.org/officeDocument/2006/relationships/hyperlink" Target="https://immi.homeaffairs.gov.au/" TargetMode="External"/><Relationship Id="rId450" Type="http://schemas.openxmlformats.org/officeDocument/2006/relationships/hyperlink" Target="https://abf.gov.au/" TargetMode="External"/><Relationship Id="rId451" Type="http://schemas.openxmlformats.org/officeDocument/2006/relationships/hyperlink" Target="https://ato.gov.au/" TargetMode="External"/><Relationship Id="rId452" Type="http://schemas.openxmlformats.org/officeDocument/2006/relationships/hyperlink" Target="https://servicesaustralia.gov.au/" TargetMode="External"/><Relationship Id="rId453" Type="http://schemas.openxmlformats.org/officeDocument/2006/relationships/hyperlink" Target="https://australien.diplo.de/" TargetMode="External"/><Relationship Id="rId454" Type="http://schemas.openxmlformats.org/officeDocument/2006/relationships/hyperlink" Target="https://ato.gov.au/" TargetMode="External"/><Relationship Id="rId455" Type="http://schemas.openxmlformats.org/officeDocument/2006/relationships/hyperlink" Target="https://servicesaustralia.gov.au/" TargetMode="External"/><Relationship Id="rId456" Type="http://schemas.openxmlformats.org/officeDocument/2006/relationships/hyperlink" Target="https://moneysmart.gov.au/" TargetMode="External"/><Relationship Id="rId457" Type="http://schemas.openxmlformats.org/officeDocument/2006/relationships/hyperlink" Target="https://equifax.com.au/" TargetMode="External"/><Relationship Id="rId458" Type="http://schemas.openxmlformats.org/officeDocument/2006/relationships/hyperlink" Target="https://experian.com.au/" TargetMode="External"/><Relationship Id="rId459" Type="http://schemas.openxmlformats.org/officeDocument/2006/relationships/hyperlink" Target="https://illion.com.au/" TargetMode="External"/><Relationship Id="rId460" Type="http://schemas.openxmlformats.org/officeDocument/2006/relationships/hyperlink" Target="https://commbank.com.au/" TargetMode="External"/><Relationship Id="rId461" Type="http://schemas.openxmlformats.org/officeDocument/2006/relationships/hyperlink" Target="https://westpac.com.au/" TargetMode="External"/><Relationship Id="rId462" Type="http://schemas.openxmlformats.org/officeDocument/2006/relationships/hyperlink" Target="https://nab.com.au/" TargetMode="External"/><Relationship Id="rId463" Type="http://schemas.openxmlformats.org/officeDocument/2006/relationships/hyperlink" Target="https://anz.com.au/" TargetMode="External"/><Relationship Id="rId464" Type="http://schemas.openxmlformats.org/officeDocument/2006/relationships/hyperlink" Target="https://mygov.au/" TargetMode="External"/><Relationship Id="rId465" Type="http://schemas.openxmlformats.org/officeDocument/2006/relationships/hyperlink" Target="https://servicesaustralia.gov.au/" TargetMode="External"/><Relationship Id="rId466" Type="http://schemas.openxmlformats.org/officeDocument/2006/relationships/hyperlink" Target="https://ato.gov.au/" TargetMode="External"/><Relationship Id="rId467" Type="http://schemas.openxmlformats.org/officeDocument/2006/relationships/hyperlink" Target="https://immi.homeaffairs.gov.au/" TargetMode="External"/><Relationship Id="rId468" Type="http://schemas.openxmlformats.org/officeDocument/2006/relationships/hyperlink" Target="https://privatehealth.gov.au/" TargetMode="External"/><Relationship Id="rId469" Type="http://schemas.openxmlformats.org/officeDocument/2006/relationships/hyperlink" Target="https://australien.diplo.de/" TargetMode="External"/><Relationship Id="rId470" Type="http://schemas.openxmlformats.org/officeDocument/2006/relationships/hyperlink" Target="https://firb.gov.au/" TargetMode="External"/><Relationship Id="rId471" Type="http://schemas.openxmlformats.org/officeDocument/2006/relationships/hyperlink" Target="https://ato.gov.au/" TargetMode="External"/><Relationship Id="rId472" Type="http://schemas.openxmlformats.org/officeDocument/2006/relationships/hyperlink" Target="https://fairtrading.nsw.gov.au/" TargetMode="External"/><Relationship Id="rId473" Type="http://schemas.openxmlformats.org/officeDocument/2006/relationships/hyperlink" Target="https://domain.com.au/" TargetMode="External"/><Relationship Id="rId474" Type="http://schemas.openxmlformats.org/officeDocument/2006/relationships/hyperlink" Target="https://cotality.com/" TargetMode="External"/><Relationship Id="rId475" Type="http://schemas.openxmlformats.org/officeDocument/2006/relationships/hyperlink" Target="https://australien.diplo.de/" TargetMode="External"/><Relationship Id="rId476" Type="http://schemas.openxmlformats.org/officeDocument/2006/relationships/hyperlink" Target="https://transport.vic.gov.au/" TargetMode="External"/><Relationship Id="rId477" Type="http://schemas.openxmlformats.org/officeDocument/2006/relationships/hyperlink" Target="https://service.nsw.gov.au/" TargetMode="External"/><Relationship Id="rId478" Type="http://schemas.openxmlformats.org/officeDocument/2006/relationships/hyperlink" Target="https://tmr.qld.gov.au/" TargetMode="External"/><Relationship Id="rId479" Type="http://schemas.openxmlformats.org/officeDocument/2006/relationships/hyperlink" Target="https://australien.diplo.de/" TargetMode="External"/><Relationship Id="rId480" Type="http://schemas.openxmlformats.org/officeDocument/2006/relationships/hyperlink" Target="https://austroads.gov.au/" TargetMode="External"/><Relationship Id="rId481" Type="http://schemas.openxmlformats.org/officeDocument/2006/relationships/hyperlink" Target="https://nsw.gov.au/" TargetMode="External"/><Relationship Id="rId482" Type="http://schemas.openxmlformats.org/officeDocument/2006/relationships/hyperlink" Target="https://kangaroomanagementtaskforce.com.au/" TargetMode="External"/><Relationship Id="rId483" Type="http://schemas.openxmlformats.org/officeDocument/2006/relationships/hyperlink" Target="https://csiro.au/" TargetMode="External"/><Relationship Id="rId484" Type="http://schemas.openxmlformats.org/officeDocument/2006/relationships/hyperlink" Target="https://nrma.com.au/" TargetMode="External"/><Relationship Id="rId485" Type="http://schemas.openxmlformats.org/officeDocument/2006/relationships/hyperlink" Target="https://racv.com.au/" TargetMode="External"/><Relationship Id="rId486" Type="http://schemas.openxmlformats.org/officeDocument/2006/relationships/hyperlink" Target="https://culturalatlas.sbs.com.au/" TargetMode="External"/><Relationship Id="rId487" Type="http://schemas.openxmlformats.org/officeDocument/2006/relationships/hyperlink" Target="https://australien.diplo.de/" TargetMode="External"/><Relationship Id="rId488" Type="http://schemas.openxmlformats.org/officeDocument/2006/relationships/hyperlink" Target="https://fairwork.gov.au/" TargetMode="External"/><Relationship Id="rId489" Type="http://schemas.openxmlformats.org/officeDocument/2006/relationships/hyperlink" Target="https://australia.com/" TargetMode="External"/><Relationship Id="rId490" Type="http://schemas.openxmlformats.org/officeDocument/2006/relationships/hyperlink" Target="https://youtube.com/@wired" TargetMode="External"/><Relationship Id="rId491" Type="http://schemas.openxmlformats.org/officeDocument/2006/relationships/hyperlink" Target="https://ardalpha.de/" TargetMode="External"/><Relationship Id="rId492" Type="http://schemas.openxmlformats.org/officeDocument/2006/relationships/hyperlink" Target="https://justwatch.de/" TargetMode="External"/><Relationship Id="rId493" Type="http://schemas.openxmlformats.org/officeDocument/2006/relationships/hyperlink" Target="https://australien.diplo.de/" TargetMode="External"/><Relationship Id="rId494" Type="http://schemas.openxmlformats.org/officeDocument/2006/relationships/hyperlink" Target="https://goethe.de/ins/au" TargetMode="External"/><Relationship Id="rId495" Type="http://schemas.openxmlformats.org/officeDocument/2006/relationships/hyperlink" Target="https://lifeline.org.au/" TargetMode="External"/><Relationship Id="rId496" Type="http://schemas.openxmlformats.org/officeDocument/2006/relationships/hyperlink" Target="https://sls.com.au/" TargetMode="External"/><Relationship Id="rId497" Type="http://schemas.openxmlformats.org/officeDocument/2006/relationships/hyperlink" Target="https://rfs.nsw.gov.au/" TargetMode="External"/><Relationship Id="rId498" Type="http://schemas.openxmlformats.org/officeDocument/2006/relationships/hyperlink" Target="https://ses.nsw.gov.au/" TargetMode="External"/><Relationship Id="rId499" Type="http://schemas.openxmlformats.org/officeDocument/2006/relationships/hyperlink" Target="https://abs.gov.au/statistics/people/education/schools" TargetMode="External"/><Relationship Id="rId500" Type="http://schemas.openxmlformats.org/officeDocument/2006/relationships/hyperlink" Target="https://acara.edu.au/" TargetMode="External"/><Relationship Id="rId501" Type="http://schemas.openxmlformats.org/officeDocument/2006/relationships/hyperlink" Target="https://education.nsw.gov.au/" TargetMode="External"/><Relationship Id="rId502" Type="http://schemas.openxmlformats.org/officeDocument/2006/relationships/hyperlink" Target="https://auslandsschulwesen.de/" TargetMode="External"/><Relationship Id="rId503" Type="http://schemas.openxmlformats.org/officeDocument/2006/relationships/hyperlink" Target="https://goethe.de/ins/au" TargetMode="External"/><Relationship Id="rId504" Type="http://schemas.openxmlformats.org/officeDocument/2006/relationships/hyperlink" Target="https://uac.edu.au/" TargetMode="External"/><Relationship Id="rId505" Type="http://schemas.openxmlformats.org/officeDocument/2006/relationships/hyperlink" Target="https://fairwork.gov.au/" TargetMode="External"/><Relationship Id="rId506" Type="http://schemas.openxmlformats.org/officeDocument/2006/relationships/hyperlink" Target="https://fwc.gov.au/" TargetMode="External"/><Relationship Id="rId507" Type="http://schemas.openxmlformats.org/officeDocument/2006/relationships/hyperlink" Target="https://immi.homeaffairs.gov.au/visas/getting-a-visa/visa-listing/skills-in-demand-visa-subclass-482" TargetMode="External"/><Relationship Id="rId508" Type="http://schemas.openxmlformats.org/officeDocument/2006/relationships/hyperlink" Target="https://ato.gov.au/super" TargetMode="External"/><Relationship Id="rId509" Type="http://schemas.openxmlformats.org/officeDocument/2006/relationships/hyperlink" Target="https://fairwork.gov.au/employment-conditions/right-to-disconnect" TargetMode="External"/><Relationship Id="rId510" Type="http://schemas.openxmlformats.org/officeDocument/2006/relationships/hyperlink" Target="https://afdrs.com.au/" TargetMode="External"/><Relationship Id="rId511" Type="http://schemas.openxmlformats.org/officeDocument/2006/relationships/hyperlink" Target="https://bom.gov.au/" TargetMode="External"/><Relationship Id="rId512" Type="http://schemas.openxmlformats.org/officeDocument/2006/relationships/hyperlink" Target="https://rfs.nsw.gov.au/" TargetMode="External"/><Relationship Id="rId513" Type="http://schemas.openxmlformats.org/officeDocument/2006/relationships/hyperlink" Target="https://cfa.vic.gov.au/" TargetMode="External"/><Relationship Id="rId514" Type="http://schemas.openxmlformats.org/officeDocument/2006/relationships/hyperlink" Target="https://health.gov.au/" TargetMode="External"/><Relationship Id="rId515" Type="http://schemas.openxmlformats.org/officeDocument/2006/relationships/hyperlink" Target="https://tga.gov.au/" TargetMode="External"/><Relationship Id="rId516" Type="http://schemas.openxmlformats.org/officeDocument/2006/relationships/hyperlink" Target="https://legislation.act.gov.au/" TargetMode="External"/><Relationship Id="rId517" Type="http://schemas.openxmlformats.org/officeDocument/2006/relationships/hyperlink" Target="https://acic.gov.au/" TargetMode="External"/><Relationship Id="rId518" Type="http://schemas.openxmlformats.org/officeDocument/2006/relationships/hyperlink" Target="https://transport.nsw.gov.au/" TargetMode="External"/><Relationship Id="rId519" Type="http://schemas.openxmlformats.org/officeDocument/2006/relationships/hyperlink" Target="https://germany.info/" TargetMode="External"/><Relationship Id="rId520" Type="http://schemas.openxmlformats.org/officeDocument/2006/relationships/hyperlink" Target="https://homeaffairs.gov.au/" TargetMode="External"/><Relationship Id="rId521" Type="http://schemas.openxmlformats.org/officeDocument/2006/relationships/hyperlink" Target="https://ato.gov.au/" TargetMode="External"/><Relationship Id="rId522" Type="http://schemas.openxmlformats.org/officeDocument/2006/relationships/hyperlink" Target="https://bmi.bund.de/" TargetMode="External"/><Relationship Id="rId523" Type="http://schemas.openxmlformats.org/officeDocument/2006/relationships/hyperlink" Target="https://auswaertiges-amt.de/" TargetMode="External"/><Relationship Id="rId524" Type="http://schemas.openxmlformats.org/officeDocument/2006/relationships/hyperlink" Target="https://germany.info/" TargetMode="External"/><Relationship Id="rId525" Type="http://schemas.openxmlformats.org/officeDocument/2006/relationships/footer" Target="footer76.xml"/><Relationship Id="rId526" Type="http://schemas.openxmlformats.org/officeDocument/2006/relationships/footer" Target="footer77.xml"/><Relationship Id="rId527" Type="http://schemas.openxmlformats.org/officeDocument/2006/relationships/footer" Target="footer78.xml"/><Relationship Id="rId528" Type="http://schemas.openxmlformats.org/officeDocument/2006/relationships/footer" Target="footer79.xml"/><Relationship Id="rId529" Type="http://schemas.openxmlformats.org/officeDocument/2006/relationships/footer" Target="footer80.xml"/><Relationship Id="rId530" Type="http://schemas.openxmlformats.org/officeDocument/2006/relationships/footer" Target="footer81.xml"/><Relationship Id="rId531" Type="http://schemas.openxmlformats.org/officeDocument/2006/relationships/hyperlink" Target="https://canada.ca/en/revenue-agency" TargetMode="External"/><Relationship Id="rId532" Type="http://schemas.openxmlformats.org/officeDocument/2006/relationships/hyperlink" Target="https://gov.bc.ca/" TargetMode="External"/><Relationship Id="rId533" Type="http://schemas.openxmlformats.org/officeDocument/2006/relationships/hyperlink" Target="https://taxtips.ca/" TargetMode="External"/><Relationship Id="rId534" Type="http://schemas.openxmlformats.org/officeDocument/2006/relationships/hyperlink" Target="https://taxtips.ca/" TargetMode="External"/><Relationship Id="rId535" Type="http://schemas.openxmlformats.org/officeDocument/2006/relationships/hyperlink" Target="https://ircc.canada.ca/english/information/fees" TargetMode="External"/><Relationship Id="rId536" Type="http://schemas.openxmlformats.org/officeDocument/2006/relationships/hyperlink" Target="https://oecd.org/" TargetMode="External"/><Relationship Id="rId537" Type="http://schemas.openxmlformats.org/officeDocument/2006/relationships/hyperlink" Target="https://numbeo.com/" TargetMode="External"/><Relationship Id="rId538" Type="http://schemas.openxmlformats.org/officeDocument/2006/relationships/hyperlink" Target="https://canada.ca/en/immigration-refugees-citizenship" TargetMode="External"/><Relationship Id="rId539" Type="http://schemas.openxmlformats.org/officeDocument/2006/relationships/hyperlink" Target="https://canada.ca/" TargetMode="External"/><Relationship Id="rId540" Type="http://schemas.openxmlformats.org/officeDocument/2006/relationships/hyperlink" Target="https://ircc.canada.ca/english/information/fees" TargetMode="External"/><Relationship Id="rId541" Type="http://schemas.openxmlformats.org/officeDocument/2006/relationships/hyperlink" Target="https://canada.ca/en/employment-social-development" TargetMode="External"/><Relationship Id="rId542" Type="http://schemas.openxmlformats.org/officeDocument/2006/relationships/hyperlink" Target="https://canada.ca/" TargetMode="External"/><Relationship Id="rId543" Type="http://schemas.openxmlformats.org/officeDocument/2006/relationships/hyperlink" Target="https://canada.ca/" TargetMode="External"/><Relationship Id="rId544" Type="http://schemas.openxmlformats.org/officeDocument/2006/relationships/hyperlink" Target="https://canada.ca/en/immigration-refugees-citizenship/services/immigrate-canada/express-entry.html" TargetMode="External"/><Relationship Id="rId545" Type="http://schemas.openxmlformats.org/officeDocument/2006/relationships/hyperlink" Target="https://canada.ca/.../express-entry/eligibility/criteria-comprehensive-ranking-system.html" TargetMode="External"/><Relationship Id="rId546" Type="http://schemas.openxmlformats.org/officeDocument/2006/relationships/hyperlink" Target="https://canada.ca/.../express-entry/eligibility/federal-skilled-workers.html" TargetMode="External"/><Relationship Id="rId547" Type="http://schemas.openxmlformats.org/officeDocument/2006/relationships/hyperlink" Target="https://canada.ca/.../provincial-nominees.html" TargetMode="External"/><Relationship Id="rId548" Type="http://schemas.openxmlformats.org/officeDocument/2006/relationships/hyperlink" Target="https://ircc.canada.ca/english/information/fees/fees.asp" TargetMode="External"/><Relationship Id="rId549" Type="http://schemas.openxmlformats.org/officeDocument/2006/relationships/hyperlink" Target="https://ontario.ca/page/ontario-immigrant-nominee-program" TargetMode="External"/><Relationship Id="rId550" Type="http://schemas.openxmlformats.org/officeDocument/2006/relationships/hyperlink" Target="https://welcomebc.ca/immigrate-to-b-c/about-the-bc-pnp" TargetMode="External"/><Relationship Id="rId551" Type="http://schemas.openxmlformats.org/officeDocument/2006/relationships/hyperlink" Target="https://ircc.canada.ca/english/information/fees/fees.asp" TargetMode="External"/><Relationship Id="rId552" Type="http://schemas.openxmlformats.org/officeDocument/2006/relationships/hyperlink" Target="https://canada.ca/.../sponsor-spouse-partner-child.html" TargetMode="External"/><Relationship Id="rId553" Type="http://schemas.openxmlformats.org/officeDocument/2006/relationships/hyperlink" Target="https://canada.ca/.../sponsor-parents-grandparents/eligibility/income.html" TargetMode="External"/><Relationship Id="rId554" Type="http://schemas.openxmlformats.org/officeDocument/2006/relationships/hyperlink" Target="https://canada.ca/.../super-visa.html" TargetMode="External"/><Relationship Id="rId555" Type="http://schemas.openxmlformats.org/officeDocument/2006/relationships/hyperlink" Target="https://canada.ca/.../start-visa.html" TargetMode="External"/><Relationship Id="rId556" Type="http://schemas.openxmlformats.org/officeDocument/2006/relationships/hyperlink" Target="https://canada.ca/" TargetMode="External"/><Relationship Id="rId557" Type="http://schemas.openxmlformats.org/officeDocument/2006/relationships/hyperlink" Target="https://bzst.de/" TargetMode="External"/><Relationship Id="rId558" Type="http://schemas.openxmlformats.org/officeDocument/2006/relationships/hyperlink" Target="https://ircc.canada.ca/english/information/fees/fees.asp" TargetMode="External"/><Relationship Id="rId559" Type="http://schemas.openxmlformats.org/officeDocument/2006/relationships/hyperlink" Target="https://canada.ca/en/immigration-refugees-citizenship/services/application/check-processing-times.html" TargetMode="External"/><Relationship Id="rId560" Type="http://schemas.openxmlformats.org/officeDocument/2006/relationships/hyperlink" Target="https://canada.ca/en/immigration-refugees-citizenship/corporate/partners-service-providers/panel-physicians.html" TargetMode="External"/><Relationship Id="rId561" Type="http://schemas.openxmlformats.org/officeDocument/2006/relationships/hyperlink" Target="https://canada.ca/en/immigration-refugees-citizenship/services/application/medical-police/police-certificates/how/germany.html" TargetMode="External"/><Relationship Id="rId562" Type="http://schemas.openxmlformats.org/officeDocument/2006/relationships/hyperlink" Target="https://college-ic.ca/" TargetMode="External"/><Relationship Id="rId563" Type="http://schemas.openxmlformats.org/officeDocument/2006/relationships/hyperlink" Target="https://visa.vfsglobal.com/deu/de/can" TargetMode="External"/><Relationship Id="rId564" Type="http://schemas.openxmlformats.org/officeDocument/2006/relationships/hyperlink" Target="https://kanada.diplo.de/" TargetMode="External"/><Relationship Id="rId565" Type="http://schemas.openxmlformats.org/officeDocument/2006/relationships/hyperlink" Target="https://bundesjustizamt.de/" TargetMode="External"/><Relationship Id="rId566" Type="http://schemas.openxmlformats.org/officeDocument/2006/relationships/hyperlink" Target="https://cbsa-asfc.gc.ca/" TargetMode="External"/><Relationship Id="rId567" Type="http://schemas.openxmlformats.org/officeDocument/2006/relationships/hyperlink" Target="https://canada.ca/en/employment-social-development/services/sin.html" TargetMode="External"/><Relationship Id="rId568" Type="http://schemas.openxmlformats.org/officeDocument/2006/relationships/hyperlink" Target="https://ontario.ca/page/apply-ohip-and-get-health-card" TargetMode="External"/><Relationship Id="rId569" Type="http://schemas.openxmlformats.org/officeDocument/2006/relationships/hyperlink" Target="https://www2.gov.bc.ca/gov/content/health/health-drug-coverage/msp" TargetMode="External"/><Relationship Id="rId570" Type="http://schemas.openxmlformats.org/officeDocument/2006/relationships/hyperlink" Target="https://canada.ca/en/revenue-agency/services/tax/individuals/international-tax/newcomers-canada-immigrants.html" TargetMode="External"/><Relationship Id="rId571" Type="http://schemas.openxmlformats.org/officeDocument/2006/relationships/hyperlink" Target="https://kanada.diplo.de/" TargetMode="External"/><Relationship Id="rId572" Type="http://schemas.openxmlformats.org/officeDocument/2006/relationships/hyperlink" Target="https://canada.ca/en/revenue-agency" TargetMode="External"/><Relationship Id="rId573" Type="http://schemas.openxmlformats.org/officeDocument/2006/relationships/hyperlink" Target="https://canada.ca/en/employment-social-development/services/sin" TargetMode="External"/><Relationship Id="rId574" Type="http://schemas.openxmlformats.org/officeDocument/2006/relationships/hyperlink" Target="https://www2.gov.bc.ca/gov/content/taxes/income-taxes" TargetMode="External"/><Relationship Id="rId575" Type="http://schemas.openxmlformats.org/officeDocument/2006/relationships/hyperlink" Target="https://taxtips.ca/" TargetMode="External"/><Relationship Id="rId576" Type="http://schemas.openxmlformats.org/officeDocument/2006/relationships/hyperlink" Target="https://rbc.com/" TargetMode="External"/><Relationship Id="rId577" Type="http://schemas.openxmlformats.org/officeDocument/2006/relationships/hyperlink" Target="https://td.com/" TargetMode="External"/><Relationship Id="rId578" Type="http://schemas.openxmlformats.org/officeDocument/2006/relationships/hyperlink" Target="https://scotiabank.com/" TargetMode="External"/><Relationship Id="rId579" Type="http://schemas.openxmlformats.org/officeDocument/2006/relationships/hyperlink" Target="https://bmo.com/" TargetMode="External"/><Relationship Id="rId580" Type="http://schemas.openxmlformats.org/officeDocument/2006/relationships/hyperlink" Target="https://cibc.com/" TargetMode="External"/><Relationship Id="rId581" Type="http://schemas.openxmlformats.org/officeDocument/2006/relationships/hyperlink" Target="https://equifax.ca/" TargetMode="External"/><Relationship Id="rId582" Type="http://schemas.openxmlformats.org/officeDocument/2006/relationships/hyperlink" Target="https://transunion.ca/" TargetMode="External"/><Relationship Id="rId583" Type="http://schemas.openxmlformats.org/officeDocument/2006/relationships/hyperlink" Target="https://canada.ca/en/health-canada" TargetMode="External"/><Relationship Id="rId584" Type="http://schemas.openxmlformats.org/officeDocument/2006/relationships/hyperlink" Target="https://ontario.ca/page/apply-ohip-and-get-health-card" TargetMode="External"/><Relationship Id="rId585" Type="http://schemas.openxmlformats.org/officeDocument/2006/relationships/hyperlink" Target="https://www2.gov.bc.ca/gov/content/health/health-drug-coverage/msp" TargetMode="External"/><Relationship Id="rId586" Type="http://schemas.openxmlformats.org/officeDocument/2006/relationships/hyperlink" Target="https://ramq.gouv.qc.ca/" TargetMode="External"/><Relationship Id="rId587" Type="http://schemas.openxmlformats.org/officeDocument/2006/relationships/hyperlink" Target="https://alberta.ca/ahcip" TargetMode="External"/><Relationship Id="rId588" Type="http://schemas.openxmlformats.org/officeDocument/2006/relationships/hyperlink" Target="https://saskatchewan.ca/residents/health" TargetMode="External"/><Relationship Id="rId589" Type="http://schemas.openxmlformats.org/officeDocument/2006/relationships/hyperlink" Target="https://statcan.gc.ca/" TargetMode="External"/><Relationship Id="rId590" Type="http://schemas.openxmlformats.org/officeDocument/2006/relationships/hyperlink" Target="https://cmhc-schl.gc.ca/" TargetMode="External"/><Relationship Id="rId591" Type="http://schemas.openxmlformats.org/officeDocument/2006/relationships/hyperlink" Target="https://canada.ca/" TargetMode="External"/><Relationship Id="rId592" Type="http://schemas.openxmlformats.org/officeDocument/2006/relationships/hyperlink" Target="https://gov.bc.ca/" TargetMode="External"/><Relationship Id="rId593" Type="http://schemas.openxmlformats.org/officeDocument/2006/relationships/hyperlink" Target="https://ontario.ca/" TargetMode="External"/><Relationship Id="rId594" Type="http://schemas.openxmlformats.org/officeDocument/2006/relationships/hyperlink" Target="https://kanada.diplo.de/" TargetMode="External"/><Relationship Id="rId595" Type="http://schemas.openxmlformats.org/officeDocument/2006/relationships/hyperlink" Target="https://drivetest.ca/" TargetMode="External"/><Relationship Id="rId596" Type="http://schemas.openxmlformats.org/officeDocument/2006/relationships/hyperlink" Target="https://icbc.com/" TargetMode="External"/><Relationship Id="rId597" Type="http://schemas.openxmlformats.org/officeDocument/2006/relationships/hyperlink" Target="https://saaq.gouv.qc.ca/" TargetMode="External"/><Relationship Id="rId598" Type="http://schemas.openxmlformats.org/officeDocument/2006/relationships/hyperlink" Target="https://rcmp.ca/" TargetMode="External"/><Relationship Id="rId599" Type="http://schemas.openxmlformats.org/officeDocument/2006/relationships/hyperlink" Target="https://quebec.ca/" TargetMode="External"/><Relationship Id="rId600" Type="http://schemas.openxmlformats.org/officeDocument/2006/relationships/hyperlink" Target="https://wildlifecollisions.ca/" TargetMode="External"/><Relationship Id="rId601" Type="http://schemas.openxmlformats.org/officeDocument/2006/relationships/hyperlink" Target="https://rates.ca/" TargetMode="External"/><Relationship Id="rId602" Type="http://schemas.openxmlformats.org/officeDocument/2006/relationships/hyperlink" Target="https://kanada.diplo.de/" TargetMode="External"/><Relationship Id="rId603" Type="http://schemas.openxmlformats.org/officeDocument/2006/relationships/hyperlink" Target="https://bpb.de/" TargetMode="External"/><Relationship Id="rId604" Type="http://schemas.openxmlformats.org/officeDocument/2006/relationships/hyperlink" Target="https://bpb.de/" TargetMode="External"/><Relationship Id="rId605" Type="http://schemas.openxmlformats.org/officeDocument/2006/relationships/hyperlink" Target="https://canada.ca/" TargetMode="External"/><Relationship Id="rId606" Type="http://schemas.openxmlformats.org/officeDocument/2006/relationships/hyperlink" Target="https://quebec.ca/" TargetMode="External"/><Relationship Id="rId607" Type="http://schemas.openxmlformats.org/officeDocument/2006/relationships/hyperlink" Target="https://lexology.com/" TargetMode="External"/><Relationship Id="rId608" Type="http://schemas.openxmlformats.org/officeDocument/2006/relationships/hyperlink" Target="https://cbc.ca/" TargetMode="External"/><Relationship Id="rId609" Type="http://schemas.openxmlformats.org/officeDocument/2006/relationships/hyperlink" Target="https://kanada.diplo.de/" TargetMode="External"/><Relationship Id="rId610" Type="http://schemas.openxmlformats.org/officeDocument/2006/relationships/hyperlink" Target="https://kanada.diplo.de/" TargetMode="External"/><Relationship Id="rId611" Type="http://schemas.openxmlformats.org/officeDocument/2006/relationships/hyperlink" Target="https://goethe.de/ins/ca" TargetMode="External"/><Relationship Id="rId612" Type="http://schemas.openxmlformats.org/officeDocument/2006/relationships/hyperlink" Target="https://988.ca/" TargetMode="External"/><Relationship Id="rId613" Type="http://schemas.openxmlformats.org/officeDocument/2006/relationships/hyperlink" Target="https://kidshelpphone.ca/" TargetMode="External"/><Relationship Id="rId614" Type="http://schemas.openxmlformats.org/officeDocument/2006/relationships/hyperlink" Target="https://canada.ca/" TargetMode="External"/><Relationship Id="rId615" Type="http://schemas.openxmlformats.org/officeDocument/2006/relationships/hyperlink" Target="https://vwgs.org/" TargetMode="External"/><Relationship Id="rId616" Type="http://schemas.openxmlformats.org/officeDocument/2006/relationships/hyperlink" Target="https://calgarygermanschool.com/" TargetMode="External"/><Relationship Id="rId617" Type="http://schemas.openxmlformats.org/officeDocument/2006/relationships/hyperlink" Target="https://ontario.ca/page/education-and-training" TargetMode="External"/><Relationship Id="rId618" Type="http://schemas.openxmlformats.org/officeDocument/2006/relationships/hyperlink" Target="https://education.gouv.qc.ca/" TargetMode="External"/><Relationship Id="rId619" Type="http://schemas.openxmlformats.org/officeDocument/2006/relationships/hyperlink" Target="https://quebec.ca/" TargetMode="External"/><Relationship Id="rId620" Type="http://schemas.openxmlformats.org/officeDocument/2006/relationships/hyperlink" Target="https://canada.ca/en/employment-social-development/campaigns/child-care.html" TargetMode="External"/><Relationship Id="rId621" Type="http://schemas.openxmlformats.org/officeDocument/2006/relationships/hyperlink" Target="https://auslandsschulwesen.de/" TargetMode="External"/><Relationship Id="rId622" Type="http://schemas.openxmlformats.org/officeDocument/2006/relationships/hyperlink" Target="https://gistonline.ca/" TargetMode="External"/><Relationship Id="rId623" Type="http://schemas.openxmlformats.org/officeDocument/2006/relationships/hyperlink" Target="https://vwgs.org/" TargetMode="External"/><Relationship Id="rId624" Type="http://schemas.openxmlformats.org/officeDocument/2006/relationships/hyperlink" Target="https://calgarygermanschool.com/" TargetMode="External"/><Relationship Id="rId625" Type="http://schemas.openxmlformats.org/officeDocument/2006/relationships/hyperlink" Target="https://canada.ca/en/employment-social-development/services/foreign-workers" TargetMode="External"/><Relationship Id="rId626" Type="http://schemas.openxmlformats.org/officeDocument/2006/relationships/hyperlink" Target="https://canada.ca/en/immigration-refugees-citizenship/services/work-canada" TargetMode="External"/><Relationship Id="rId627" Type="http://schemas.openxmlformats.org/officeDocument/2006/relationships/hyperlink" Target="https://canada.ca/en/immigration-refugees-citizenship/services/work-canada/permit/temporary/vulnerable-workers.html" TargetMode="External"/><Relationship Id="rId628" Type="http://schemas.openxmlformats.org/officeDocument/2006/relationships/hyperlink" Target="https://jobbank.gc.ca/" TargetMode="External"/><Relationship Id="rId629" Type="http://schemas.openxmlformats.org/officeDocument/2006/relationships/hyperlink" Target="https://ontario.ca/document/your-guide-employment-standards-act-0" TargetMode="External"/><Relationship Id="rId630" Type="http://schemas.openxmlformats.org/officeDocument/2006/relationships/hyperlink" Target="https://alberta.ca/employment-standards" TargetMode="External"/><Relationship Id="rId631" Type="http://schemas.openxmlformats.org/officeDocument/2006/relationships/hyperlink" Target="https://rcmp.ca/en/bc/corporate-information/newcomers-guide/interactions-police" TargetMode="External"/><Relationship Id="rId632" Type="http://schemas.openxmlformats.org/officeDocument/2006/relationships/hyperlink" Target="https://rcmp.ca/en/firearms" TargetMode="External"/><Relationship Id="rId633" Type="http://schemas.openxmlformats.org/officeDocument/2006/relationships/hyperlink" Target="https://canada.ca/" TargetMode="External"/><Relationship Id="rId634" Type="http://schemas.openxmlformats.org/officeDocument/2006/relationships/hyperlink" Target="https://canada.ca/en/health-canada/services/drugs-medication/cannabis.html" TargetMode="External"/><Relationship Id="rId635" Type="http://schemas.openxmlformats.org/officeDocument/2006/relationships/hyperlink" Target="https://cbsa-asfc.gc.ca/" TargetMode="External"/><Relationship Id="rId636" Type="http://schemas.openxmlformats.org/officeDocument/2006/relationships/hyperlink" Target="https://alertready.ca/" TargetMode="External"/><Relationship Id="rId637" Type="http://schemas.openxmlformats.org/officeDocument/2006/relationships/hyperlink" Target="https://weather.gc.ca/" TargetMode="External"/><Relationship Id="rId638" Type="http://schemas.openxmlformats.org/officeDocument/2006/relationships/hyperlink" Target="https://auswaertiges-amt.de/" TargetMode="External"/><Relationship Id="rId639" Type="http://schemas.openxmlformats.org/officeDocument/2006/relationships/hyperlink" Target="https://canada.ca/" TargetMode="External"/><Relationship Id="rId640" Type="http://schemas.openxmlformats.org/officeDocument/2006/relationships/hyperlink" Target="https://canada.ca/" TargetMode="External"/><Relationship Id="rId641" Type="http://schemas.openxmlformats.org/officeDocument/2006/relationships/hyperlink" Target="https://cra-arc.gc.ca/" TargetMode="External"/><Relationship Id="rId642" Type="http://schemas.openxmlformats.org/officeDocument/2006/relationships/hyperlink" Target="https://bmi.bund.de/" TargetMode="External"/><Relationship Id="rId643" Type="http://schemas.openxmlformats.org/officeDocument/2006/relationships/hyperlink" Target="https://kanada.diplo.de/" TargetMode="External"/><Relationship Id="rId644" Type="http://schemas.openxmlformats.org/officeDocument/2006/relationships/footer" Target="footer82.xml"/><Relationship Id="rId645" Type="http://schemas.openxmlformats.org/officeDocument/2006/relationships/footer" Target="footer83.xml"/><Relationship Id="rId646" Type="http://schemas.openxmlformats.org/officeDocument/2006/relationships/footer" Target="footer84.xml"/><Relationship Id="rId647" Type="http://schemas.openxmlformats.org/officeDocument/2006/relationships/footer" Target="footer85.xml"/><Relationship Id="rId648" Type="http://schemas.openxmlformats.org/officeDocument/2006/relationships/footer" Target="footer86.xml"/><Relationship Id="rId649" Type="http://schemas.openxmlformats.org/officeDocument/2006/relationships/footer" Target="footer87.xml"/><Relationship Id="rId650" Type="http://schemas.openxmlformats.org/officeDocument/2006/relationships/hyperlink" Target="https://immigration.govt.nz/" TargetMode="External"/><Relationship Id="rId651" Type="http://schemas.openxmlformats.org/officeDocument/2006/relationships/hyperlink" Target="https://ird.govt.nz/" TargetMode="External"/><Relationship Id="rId652" Type="http://schemas.openxmlformats.org/officeDocument/2006/relationships/hyperlink" Target="https://acc.co.nz/" TargetMode="External"/><Relationship Id="rId653" Type="http://schemas.openxmlformats.org/officeDocument/2006/relationships/hyperlink" Target="https://oecd.org/" TargetMode="External"/><Relationship Id="rId654" Type="http://schemas.openxmlformats.org/officeDocument/2006/relationships/hyperlink" Target="https://numbeo.com/" TargetMode="External"/><Relationship Id="rId655" Type="http://schemas.openxmlformats.org/officeDocument/2006/relationships/hyperlink" Target="https://stats.govt.nz/" TargetMode="External"/><Relationship Id="rId656" Type="http://schemas.openxmlformats.org/officeDocument/2006/relationships/hyperlink" Target="https://immigration.govt.nz/" TargetMode="External"/><Relationship Id="rId657" Type="http://schemas.openxmlformats.org/officeDocument/2006/relationships/hyperlink" Target="https://immigration.govt.nz/" TargetMode="External"/><Relationship Id="rId658" Type="http://schemas.openxmlformats.org/officeDocument/2006/relationships/hyperlink" Target="https://immigration.govt.nz/" TargetMode="External"/><Relationship Id="rId659" Type="http://schemas.openxmlformats.org/officeDocument/2006/relationships/hyperlink" Target="https://immigration.govt.nz/" TargetMode="External"/><Relationship Id="rId660" Type="http://schemas.openxmlformats.org/officeDocument/2006/relationships/hyperlink" Target="https://immigration.govt.nz/" TargetMode="External"/><Relationship Id="rId661" Type="http://schemas.openxmlformats.org/officeDocument/2006/relationships/hyperlink" Target="https://immigration.govt.nz/" TargetMode="External"/><Relationship Id="rId662" Type="http://schemas.openxmlformats.org/officeDocument/2006/relationships/hyperlink" Target="https://immigration.govt.nz/new-zealand-visas/visas/visa/accredited-employer-work-visa" TargetMode="External"/><Relationship Id="rId663" Type="http://schemas.openxmlformats.org/officeDocument/2006/relationships/hyperlink" Target="https://immigration.govt.nz/new-zealand-visas/visas/visa/skilled-migrant-category-resident-visa" TargetMode="External"/><Relationship Id="rId664" Type="http://schemas.openxmlformats.org/officeDocument/2006/relationships/hyperlink" Target="https://immigration.govt.nz/new-zealand-visas/preparing-a-visa-application/working-in-nz/green-list" TargetMode="External"/><Relationship Id="rId665" Type="http://schemas.openxmlformats.org/officeDocument/2006/relationships/hyperlink" Target="https://immigration.govt.nz/.../skilled-migrant-category-resident-visa-wage-rate-thresholds" TargetMode="External"/><Relationship Id="rId666" Type="http://schemas.openxmlformats.org/officeDocument/2006/relationships/hyperlink" Target="https://immigration.govt.nz/assets/inz/documents/forms-and-guides/Fees-Guide-INZ-1028.pdf" TargetMode="External"/><Relationship Id="rId667" Type="http://schemas.openxmlformats.org/officeDocument/2006/relationships/hyperlink" Target="https://immigration.govt.nz/process-to-apply/applying-for-a-visa/providing-evidence-and-documents-to-support-your-visa-application/health-requirements" TargetMode="External"/><Relationship Id="rId668" Type="http://schemas.openxmlformats.org/officeDocument/2006/relationships/hyperlink" Target="https://immigration.govt.nz/new-zealand-visas/visas/visa/partner-of-a-new-zealander-resident-visa" TargetMode="External"/><Relationship Id="rId669" Type="http://schemas.openxmlformats.org/officeDocument/2006/relationships/hyperlink" Target="https://immigration.govt.nz/assets/inz/documents/forms-and-guides/Fees-Guide-INZ-1028.pdf" TargetMode="External"/><Relationship Id="rId670" Type="http://schemas.openxmlformats.org/officeDocument/2006/relationships/hyperlink" Target="https://immigration.govt.nz/about-us/news-centre" TargetMode="External"/><Relationship Id="rId671" Type="http://schemas.openxmlformats.org/officeDocument/2006/relationships/hyperlink" Target="https://immigration.govt.nz/new-zealand-visas/visas/visa/active-investor-plus-visa" TargetMode="External"/><Relationship Id="rId672" Type="http://schemas.openxmlformats.org/officeDocument/2006/relationships/hyperlink" Target="https://immigration.govt.nz/new-zealand-visas/visas/visa/parent-resident-visa" TargetMode="External"/><Relationship Id="rId673" Type="http://schemas.openxmlformats.org/officeDocument/2006/relationships/hyperlink" Target="https://workandincome.govt.nz/" TargetMode="External"/><Relationship Id="rId674" Type="http://schemas.openxmlformats.org/officeDocument/2006/relationships/hyperlink" Target="https://immigration.govt.nz/" TargetMode="External"/><Relationship Id="rId675" Type="http://schemas.openxmlformats.org/officeDocument/2006/relationships/hyperlink" Target="https://immigration.govt.nz/assets/inz/documents/forms-and-guides/Fees-Guide-INZ-1028.pdf" TargetMode="External"/><Relationship Id="rId676" Type="http://schemas.openxmlformats.org/officeDocument/2006/relationships/hyperlink" Target="https://immigration.govt.nz/process-to-apply/applying-for-a-visa/providing-evidence-and-documents-to-support-your-visa-application/health-requirements" TargetMode="External"/><Relationship Id="rId677"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678" Type="http://schemas.openxmlformats.org/officeDocument/2006/relationships/hyperlink" Target="https://iaa.govt.nz/" TargetMode="External"/><Relationship Id="rId679" Type="http://schemas.openxmlformats.org/officeDocument/2006/relationships/hyperlink" Target="https://wellington.diplo.de/" TargetMode="External"/><Relationship Id="rId680" Type="http://schemas.openxmlformats.org/officeDocument/2006/relationships/hyperlink" Target="https://bundesjustizamt.de/" TargetMode="External"/><Relationship Id="rId681" Type="http://schemas.openxmlformats.org/officeDocument/2006/relationships/hyperlink" Target="https://travellerdeclaration.govt.nz/" TargetMode="External"/><Relationship Id="rId682" Type="http://schemas.openxmlformats.org/officeDocument/2006/relationships/hyperlink" Target="https://mpi.govt.nz/" TargetMode="External"/><Relationship Id="rId683" Type="http://schemas.openxmlformats.org/officeDocument/2006/relationships/hyperlink" Target="https://ird.govt.nz/" TargetMode="External"/><Relationship Id="rId684" Type="http://schemas.openxmlformats.org/officeDocument/2006/relationships/hyperlink" Target="https://immigration.govt.nz/" TargetMode="External"/><Relationship Id="rId685" Type="http://schemas.openxmlformats.org/officeDocument/2006/relationships/hyperlink" Target="https://tenancy.govt.nz/" TargetMode="External"/><Relationship Id="rId686" Type="http://schemas.openxmlformats.org/officeDocument/2006/relationships/hyperlink" Target="https://wellington.diplo.de/" TargetMode="External"/><Relationship Id="rId687" Type="http://schemas.openxmlformats.org/officeDocument/2006/relationships/hyperlink" Target="https://ird.govt.nz/" TargetMode="External"/><Relationship Id="rId688" Type="http://schemas.openxmlformats.org/officeDocument/2006/relationships/hyperlink" Target="https://immigration.govt.nz/" TargetMode="External"/><Relationship Id="rId689" Type="http://schemas.openxmlformats.org/officeDocument/2006/relationships/hyperlink" Target="https://centrix.co.nz/" TargetMode="External"/><Relationship Id="rId690" Type="http://schemas.openxmlformats.org/officeDocument/2006/relationships/hyperlink" Target="https://equifax.co.nz/nz" TargetMode="External"/><Relationship Id="rId691" Type="http://schemas.openxmlformats.org/officeDocument/2006/relationships/hyperlink" Target="https://illion.co.nz/" TargetMode="External"/><Relationship Id="rId692" Type="http://schemas.openxmlformats.org/officeDocument/2006/relationships/hyperlink" Target="https://anz.co.nz/" TargetMode="External"/><Relationship Id="rId693" Type="http://schemas.openxmlformats.org/officeDocument/2006/relationships/hyperlink" Target="https://asb.co.nz/" TargetMode="External"/><Relationship Id="rId694" Type="http://schemas.openxmlformats.org/officeDocument/2006/relationships/hyperlink" Target="https://westpac.co.nz/" TargetMode="External"/><Relationship Id="rId695" Type="http://schemas.openxmlformats.org/officeDocument/2006/relationships/hyperlink" Target="https://bnz.co.nz/" TargetMode="External"/><Relationship Id="rId696" Type="http://schemas.openxmlformats.org/officeDocument/2006/relationships/hyperlink" Target="https://govt.nz/" TargetMode="External"/><Relationship Id="rId697" Type="http://schemas.openxmlformats.org/officeDocument/2006/relationships/hyperlink" Target="https://immigration.govt.nz/" TargetMode="External"/><Relationship Id="rId698" Type="http://schemas.openxmlformats.org/officeDocument/2006/relationships/hyperlink" Target="https://health.govt.nz/" TargetMode="External"/><Relationship Id="rId699" Type="http://schemas.openxmlformats.org/officeDocument/2006/relationships/hyperlink" Target="https://acc.co.nz/" TargetMode="External"/><Relationship Id="rId700" Type="http://schemas.openxmlformats.org/officeDocument/2006/relationships/hyperlink" Target="https://southerncross.co.nz/" TargetMode="External"/><Relationship Id="rId701" Type="http://schemas.openxmlformats.org/officeDocument/2006/relationships/hyperlink" Target="https://nib.co.nz/" TargetMode="External"/><Relationship Id="rId702" Type="http://schemas.openxmlformats.org/officeDocument/2006/relationships/hyperlink" Target="https://healthpoint.co.nz/" TargetMode="External"/><Relationship Id="rId703" Type="http://schemas.openxmlformats.org/officeDocument/2006/relationships/hyperlink" Target="https://tenancy.govt.nz/" TargetMode="External"/><Relationship Id="rId704" Type="http://schemas.openxmlformats.org/officeDocument/2006/relationships/hyperlink" Target="https://linz.govt.nz/" TargetMode="External"/><Relationship Id="rId705" Type="http://schemas.openxmlformats.org/officeDocument/2006/relationships/hyperlink" Target="https://reinz.co.nz/" TargetMode="External"/><Relationship Id="rId706" Type="http://schemas.openxmlformats.org/officeDocument/2006/relationships/hyperlink" Target="https://naturalhazards.govt.nz/" TargetMode="External"/><Relationship Id="rId707" Type="http://schemas.openxmlformats.org/officeDocument/2006/relationships/hyperlink" Target="https://wellington.diplo.de/" TargetMode="External"/><Relationship Id="rId708" Type="http://schemas.openxmlformats.org/officeDocument/2006/relationships/hyperlink" Target="https://nzta.govt.nz/" TargetMode="External"/><Relationship Id="rId709" Type="http://schemas.openxmlformats.org/officeDocument/2006/relationships/hyperlink" Target="https://aa.co.nz/" TargetMode="External"/><Relationship Id="rId710" Type="http://schemas.openxmlformats.org/officeDocument/2006/relationships/hyperlink" Target="https://transport.govt.nz/" TargetMode="External"/><Relationship Id="rId711" Type="http://schemas.openxmlformats.org/officeDocument/2006/relationships/hyperlink" Target="https://consumerprotection.govt.nz/" TargetMode="External"/><Relationship Id="rId712" Type="http://schemas.openxmlformats.org/officeDocument/2006/relationships/hyperlink" Target="https://police.govt.nz/" TargetMode="External"/><Relationship Id="rId713" Type="http://schemas.openxmlformats.org/officeDocument/2006/relationships/hyperlink" Target="https://tpk.govt.nz/" TargetMode="External"/><Relationship Id="rId714" Type="http://schemas.openxmlformats.org/officeDocument/2006/relationships/hyperlink" Target="https://newzealand.govt.nz/" TargetMode="External"/><Relationship Id="rId715" Type="http://schemas.openxmlformats.org/officeDocument/2006/relationships/hyperlink" Target="https://mch.govt.nz/" TargetMode="External"/><Relationship Id="rId716" Type="http://schemas.openxmlformats.org/officeDocument/2006/relationships/hyperlink" Target="https://stats.govt.nz/" TargetMode="External"/><Relationship Id="rId717" Type="http://schemas.openxmlformats.org/officeDocument/2006/relationships/hyperlink" Target="https://wellington.diplo.de/" TargetMode="External"/><Relationship Id="rId718" Type="http://schemas.openxmlformats.org/officeDocument/2006/relationships/hyperlink" Target="https://goethe.de/ins/nz" TargetMode="External"/><Relationship Id="rId719" Type="http://schemas.openxmlformats.org/officeDocument/2006/relationships/hyperlink" Target="https://1737.org.nz/" TargetMode="External"/><Relationship Id="rId720" Type="http://schemas.openxmlformats.org/officeDocument/2006/relationships/hyperlink" Target="https://lifeline.org.nz/" TargetMode="External"/><Relationship Id="rId721" Type="http://schemas.openxmlformats.org/officeDocument/2006/relationships/hyperlink" Target="https://plunket.org.nz/" TargetMode="External"/><Relationship Id="rId722" Type="http://schemas.openxmlformats.org/officeDocument/2006/relationships/hyperlink" Target="https://fireandemergency.nz/" TargetMode="External"/><Relationship Id="rId723" Type="http://schemas.openxmlformats.org/officeDocument/2006/relationships/hyperlink" Target="https://education.govt.nz/" TargetMode="External"/><Relationship Id="rId724" Type="http://schemas.openxmlformats.org/officeDocument/2006/relationships/hyperlink" Target="https://nzqa.govt.nz/" TargetMode="External"/><Relationship Id="rId725" Type="http://schemas.openxmlformats.org/officeDocument/2006/relationships/hyperlink" Target="https://education.govt.nz/" TargetMode="External"/><Relationship Id="rId726" Type="http://schemas.openxmlformats.org/officeDocument/2006/relationships/hyperlink" Target="https://auslandsschulwesen.de/" TargetMode="External"/><Relationship Id="rId727" Type="http://schemas.openxmlformats.org/officeDocument/2006/relationships/hyperlink" Target="https://goethe.de/ins/nz" TargetMode="External"/><Relationship Id="rId728" Type="http://schemas.openxmlformats.org/officeDocument/2006/relationships/hyperlink" Target="https://employment.govt.nz/" TargetMode="External"/><Relationship Id="rId729" Type="http://schemas.openxmlformats.org/officeDocument/2006/relationships/hyperlink" Target="https://employment.govt.nz/starting-employment/trial-periods" TargetMode="External"/><Relationship Id="rId730" Type="http://schemas.openxmlformats.org/officeDocument/2006/relationships/hyperlink" Target="https://era.govt.nz/" TargetMode="External"/><Relationship Id="rId731" Type="http://schemas.openxmlformats.org/officeDocument/2006/relationships/hyperlink" Target="https://immigration.govt.nz/visas/accredited-employer-work-visa" TargetMode="External"/><Relationship Id="rId732" Type="http://schemas.openxmlformats.org/officeDocument/2006/relationships/hyperlink" Target="https://legislation.govt.nz/" TargetMode="External"/><Relationship Id="rId733" Type="http://schemas.openxmlformats.org/officeDocument/2006/relationships/hyperlink" Target="https://seek.co.nz/" TargetMode="External"/><Relationship Id="rId734" Type="http://schemas.openxmlformats.org/officeDocument/2006/relationships/hyperlink" Target="https://trademe.co.nz/jobs" TargetMode="External"/><Relationship Id="rId735" Type="http://schemas.openxmlformats.org/officeDocument/2006/relationships/hyperlink" Target="https://police.govt.nz/" TargetMode="External"/><Relationship Id="rId736" Type="http://schemas.openxmlformats.org/officeDocument/2006/relationships/hyperlink" Target="https://firearmssafety.govt.nz/" TargetMode="External"/><Relationship Id="rId737" Type="http://schemas.openxmlformats.org/officeDocument/2006/relationships/hyperlink" Target="https://justice.govt.nz/" TargetMode="External"/><Relationship Id="rId738" Type="http://schemas.openxmlformats.org/officeDocument/2006/relationships/hyperlink" Target="https://drugfoundation.org.nz/" TargetMode="External"/><Relationship Id="rId739" Type="http://schemas.openxmlformats.org/officeDocument/2006/relationships/hyperlink" Target="https://police.govt.nz/" TargetMode="External"/><Relationship Id="rId740" Type="http://schemas.openxmlformats.org/officeDocument/2006/relationships/hyperlink" Target="https://geonet.org.nz/" TargetMode="External"/><Relationship Id="rId741" Type="http://schemas.openxmlformats.org/officeDocument/2006/relationships/hyperlink" Target="https://getready.govt.nz/" TargetMode="External"/><Relationship Id="rId742" Type="http://schemas.openxmlformats.org/officeDocument/2006/relationships/hyperlink" Target="https://civildefence.govt.nz/" TargetMode="External"/><Relationship Id="rId743" Type="http://schemas.openxmlformats.org/officeDocument/2006/relationships/hyperlink" Target="https://naturalhazards.govt.nz/" TargetMode="External"/><Relationship Id="rId744" Type="http://schemas.openxmlformats.org/officeDocument/2006/relationships/hyperlink" Target="https://auswaertiges-amt.de/" TargetMode="External"/><Relationship Id="rId745" Type="http://schemas.openxmlformats.org/officeDocument/2006/relationships/hyperlink" Target="https://dia.govt.nz/" TargetMode="External"/><Relationship Id="rId746" Type="http://schemas.openxmlformats.org/officeDocument/2006/relationships/hyperlink" Target="https://immigration.govt.nz/" TargetMode="External"/><Relationship Id="rId747" Type="http://schemas.openxmlformats.org/officeDocument/2006/relationships/hyperlink" Target="https://ird.govt.nz/" TargetMode="External"/><Relationship Id="rId748" Type="http://schemas.openxmlformats.org/officeDocument/2006/relationships/hyperlink" Target="https://bmi.bund.de/" TargetMode="External"/><Relationship Id="rId749" Type="http://schemas.openxmlformats.org/officeDocument/2006/relationships/hyperlink" Target="https://wellington.diplo.de/" TargetMode="External"/><Relationship Id="rId750" Type="http://schemas.openxmlformats.org/officeDocument/2006/relationships/footer" Target="footer88.xml"/><Relationship Id="rId751" Type="http://schemas.openxmlformats.org/officeDocument/2006/relationships/footer" Target="footer89.xml"/><Relationship Id="rId752" Type="http://schemas.openxmlformats.org/officeDocument/2006/relationships/footer" Target="footer90.xml"/><Relationship Id="rId753" Type="http://schemas.openxmlformats.org/officeDocument/2006/relationships/numbering" Target="numbering.xml"/><Relationship Id="rId754" Type="http://schemas.openxmlformats.org/officeDocument/2006/relationships/fontTable" Target="fontTable.xml"/><Relationship Id="rId755" Type="http://schemas.openxmlformats.org/officeDocument/2006/relationships/settings" Target="settings.xml"/><Relationship Id="rId7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1696</Pages>
  <Words>306714</Words>
  <Characters>1939264</Characters>
  <CharactersWithSpaces>2228625</CharactersWithSpaces>
  <Paragraphs>17667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2026-09-27T06:24:09Z</dcterms:created>
  <dc:creator>Lothar J. Musiol</dc:creator>
  <dc:description>Visa und Aufenthaltstitel, Umzug und Kosten, Wohnen und Steuern, Schule, Freunde und Kultur: Alles, was du vor, während und nach dem Umzug von Deutschland in die USA, nach Kanada, Australien oder Neuseeland wissen musst.</dc:description>
  <dc:language>en-US</dc:language>
  <cp:lastModifiedBy/>
  <dcterms:modified xsi:type="dcterms:W3CDTF">2026-09-27T06:25:14Z</dcterms:modified>
  <cp:revision>2</cp:revision>
  <dc:subject>Visa und Aufenthaltstitel, Umzug und Kosten, Wohnen und Steuern, Schule, Freunde und Kultur: Alles, was du vor, während und nach dem Umzug von Deutschland in die USA, nach Kanada, Australien oder Neuseeland wissen musst.</dc:subject>
  <dc:title>Auswandern – Ab in die USA, Kanada, Australien oder Neuseeland?</dc:title>
</cp:coreProperties>
</file>